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525145</wp:posOffset>
            </wp:positionH>
            <wp:positionV relativeFrom="page">
              <wp:posOffset>431800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page">
              <wp:posOffset>525145</wp:posOffset>
            </wp:positionH>
            <wp:positionV relativeFrom="page">
              <wp:posOffset>500380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t>UNITED STATES SECURITIES AND EXCHANGE COMMISSION</w:t>
      </w:r>
    </w:p>
    <w:p>
      <w:pPr>
        <w:spacing w:after="0" w:line="37" w:lineRule="exact"/>
        <w:rPr>
          <w:sz w:val="24"/>
          <w:szCs w:val="24"/>
          <w:color w:val="auto"/>
        </w:rPr>
      </w:pPr>
    </w:p>
    <w:p>
      <w:pPr>
        <w:jc w:val="center"/>
        <w:ind w:right="-9"/>
        <w:spacing w:after="0"/>
        <w:rPr>
          <w:sz w:val="20"/>
          <w:szCs w:val="20"/>
          <w:color w:val="auto"/>
        </w:rPr>
      </w:pPr>
      <w:r>
        <w:rPr>
          <w:rFonts w:ascii="Arial" w:cs="Arial" w:eastAsia="Arial" w:hAnsi="Arial"/>
          <w:sz w:val="20"/>
          <w:szCs w:val="20"/>
          <w:color w:val="auto"/>
        </w:rPr>
        <w:t>Washington, D.C. 20549</w:t>
      </w:r>
    </w:p>
    <w:p>
      <w:pPr>
        <w:spacing w:after="0" w:line="81" w:lineRule="exact"/>
        <w:rPr>
          <w:sz w:val="24"/>
          <w:szCs w:val="24"/>
          <w:color w:val="auto"/>
        </w:rPr>
      </w:pPr>
    </w:p>
    <w:p>
      <w:pPr>
        <w:jc w:val="center"/>
        <w:ind w:right="-9"/>
        <w:spacing w:after="0"/>
        <w:rPr>
          <w:sz w:val="20"/>
          <w:szCs w:val="20"/>
          <w:color w:val="auto"/>
        </w:rPr>
      </w:pPr>
      <w:r>
        <w:rPr>
          <w:rFonts w:ascii="Arial" w:cs="Arial" w:eastAsia="Arial" w:hAnsi="Arial"/>
          <w:sz w:val="27"/>
          <w:szCs w:val="27"/>
          <w:b w:val="1"/>
          <w:bCs w:val="1"/>
          <w:color w:val="auto"/>
        </w:rPr>
        <w:t>FORM 10-K</w:t>
      </w:r>
    </w:p>
    <w:p>
      <w:pPr>
        <w:spacing w:after="0" w:line="126" w:lineRule="exact"/>
        <w:rPr>
          <w:sz w:val="24"/>
          <w:szCs w:val="24"/>
          <w:color w:val="auto"/>
        </w:rPr>
      </w:pPr>
    </w:p>
    <w:p>
      <w:pPr>
        <w:ind w:left="650" w:right="360" w:hanging="650"/>
        <w:spacing w:after="0" w:line="253" w:lineRule="auto"/>
        <w:tabs>
          <w:tab w:leader="none" w:pos="650" w:val="left"/>
        </w:tabs>
        <w:numPr>
          <w:ilvl w:val="0"/>
          <w:numId w:val="1"/>
        </w:numPr>
        <w:rPr>
          <w:rFonts w:ascii="Arial" w:cs="Arial" w:eastAsia="Arial" w:hAnsi="Arial"/>
          <w:sz w:val="16"/>
          <w:szCs w:val="16"/>
          <w:color w:val="auto"/>
        </w:rPr>
      </w:pPr>
      <w:r>
        <w:rPr>
          <w:rFonts w:ascii="Arial" w:cs="Arial" w:eastAsia="Arial" w:hAnsi="Arial"/>
          <w:sz w:val="16"/>
          <w:szCs w:val="16"/>
          <w:color w:val="auto"/>
        </w:rPr>
        <w:t xml:space="preserve">ANNUAL REPORT PURSUANT TO SECTION 13 OR 15(d) OF THE SECURITIES EXCHANGE ACT OF 1934. For the fiscal year ended </w:t>
      </w:r>
      <w:r>
        <w:rPr>
          <w:rFonts w:ascii="Arial" w:cs="Arial" w:eastAsia="Arial" w:hAnsi="Arial"/>
          <w:sz w:val="16"/>
          <w:szCs w:val="16"/>
          <w:u w:val="single" w:color="auto"/>
          <w:color w:val="auto"/>
        </w:rPr>
        <w:t>December 26, 2020</w:t>
      </w:r>
      <w:r>
        <w:rPr>
          <w:rFonts w:ascii="Arial" w:cs="Arial" w:eastAsia="Arial" w:hAnsi="Arial"/>
          <w:sz w:val="16"/>
          <w:szCs w:val="16"/>
          <w:color w:val="auto"/>
        </w:rPr>
        <w:t>.</w:t>
      </w:r>
    </w:p>
    <w:p>
      <w:pPr>
        <w:spacing w:after="0" w:line="93" w:lineRule="exact"/>
        <w:rPr>
          <w:sz w:val="24"/>
          <w:szCs w:val="24"/>
          <w:color w:val="auto"/>
        </w:rPr>
      </w:pPr>
    </w:p>
    <w:p>
      <w:pPr>
        <w:jc w:val="center"/>
        <w:ind w:right="-9"/>
        <w:spacing w:after="0"/>
        <w:rPr>
          <w:sz w:val="20"/>
          <w:szCs w:val="20"/>
          <w:color w:val="auto"/>
        </w:rPr>
      </w:pPr>
      <w:r>
        <w:rPr>
          <w:rFonts w:ascii="Arial" w:cs="Arial" w:eastAsia="Arial" w:hAnsi="Arial"/>
          <w:sz w:val="16"/>
          <w:szCs w:val="16"/>
          <w:color w:val="auto"/>
        </w:rPr>
        <w:t>OR</w:t>
      </w:r>
    </w:p>
    <w:p>
      <w:pPr>
        <w:spacing w:after="0" w:line="127" w:lineRule="exact"/>
        <w:rPr>
          <w:sz w:val="24"/>
          <w:szCs w:val="24"/>
          <w:color w:val="auto"/>
        </w:rPr>
      </w:pPr>
    </w:p>
    <w:p>
      <w:pPr>
        <w:ind w:left="650" w:right="100" w:hanging="650"/>
        <w:spacing w:after="0" w:line="253" w:lineRule="auto"/>
        <w:tabs>
          <w:tab w:leader="none" w:pos="650" w:val="left"/>
        </w:tabs>
        <w:numPr>
          <w:ilvl w:val="0"/>
          <w:numId w:val="2"/>
        </w:numPr>
        <w:rPr>
          <w:rFonts w:ascii="Arial" w:cs="Arial" w:eastAsia="Arial" w:hAnsi="Arial"/>
          <w:sz w:val="16"/>
          <w:szCs w:val="16"/>
          <w:color w:val="auto"/>
        </w:rPr>
      </w:pPr>
      <w:r>
        <w:rPr>
          <w:rFonts w:ascii="Arial" w:cs="Arial" w:eastAsia="Arial" w:hAnsi="Arial"/>
          <w:sz w:val="16"/>
          <w:szCs w:val="16"/>
          <w:color w:val="auto"/>
        </w:rPr>
        <w:t>TRANSITION REPORT PURSUANT TO SECTION 13 OR 15(d) OF THE SECURITIES EXCHANGE ACT OF 1934. For the transition period of ____ to _____.</w:t>
      </w:r>
    </w:p>
    <w:p>
      <w:pPr>
        <w:spacing w:after="0" w:line="93" w:lineRule="exact"/>
        <w:rPr>
          <w:sz w:val="24"/>
          <w:szCs w:val="24"/>
          <w:color w:val="auto"/>
        </w:rPr>
      </w:pPr>
    </w:p>
    <w:p>
      <w:pPr>
        <w:ind w:left="10"/>
        <w:spacing w:after="0"/>
        <w:rPr>
          <w:sz w:val="20"/>
          <w:szCs w:val="20"/>
          <w:color w:val="auto"/>
        </w:rPr>
      </w:pPr>
      <w:r>
        <w:rPr>
          <w:rFonts w:ascii="Arial" w:cs="Arial" w:eastAsia="Arial" w:hAnsi="Arial"/>
          <w:sz w:val="16"/>
          <w:szCs w:val="16"/>
          <w:color w:val="auto"/>
        </w:rPr>
        <w:t>Commission File No.: 0-22684</w:t>
      </w:r>
    </w:p>
    <w:p>
      <w:pPr>
        <w:spacing w:after="0" w:line="109" w:lineRule="exact"/>
        <w:rPr>
          <w:sz w:val="24"/>
          <w:szCs w:val="24"/>
          <w:color w:val="auto"/>
        </w:rPr>
      </w:pPr>
    </w:p>
    <w:p>
      <w:pPr>
        <w:jc w:val="center"/>
        <w:ind w:right="-9"/>
        <w:spacing w:after="0"/>
        <w:rPr>
          <w:sz w:val="20"/>
          <w:szCs w:val="20"/>
          <w:color w:val="auto"/>
        </w:rPr>
      </w:pPr>
      <w:r>
        <w:rPr>
          <w:rFonts w:ascii="Arial" w:cs="Arial" w:eastAsia="Arial" w:hAnsi="Arial"/>
          <w:sz w:val="27"/>
          <w:szCs w:val="27"/>
          <w:b w:val="1"/>
          <w:bCs w:val="1"/>
          <w:color w:val="auto"/>
        </w:rPr>
        <w:t>UFP INDUSTRIES, INC.</w:t>
      </w:r>
    </w:p>
    <w:p>
      <w:pPr>
        <w:spacing w:after="0" w:line="32" w:lineRule="exact"/>
        <w:rPr>
          <w:sz w:val="24"/>
          <w:szCs w:val="24"/>
          <w:color w:val="auto"/>
        </w:rPr>
      </w:pPr>
    </w:p>
    <w:p>
      <w:pPr>
        <w:jc w:val="center"/>
        <w:ind w:right="-9"/>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0230"/>
          </w:cols>
          <w:pgMar w:left="830" w:top="850" w:right="839" w:bottom="1440" w:gutter="0" w:footer="0" w:header="0"/>
        </w:sectPr>
      </w:pPr>
    </w:p>
    <w:p>
      <w:pPr>
        <w:spacing w:after="0" w:line="109" w:lineRule="exact"/>
        <w:rPr>
          <w:sz w:val="24"/>
          <w:szCs w:val="24"/>
          <w:color w:val="auto"/>
        </w:rPr>
      </w:pPr>
    </w:p>
    <w:p>
      <w:pPr>
        <w:jc w:val="center"/>
        <w:ind w:right="730"/>
        <w:spacing w:after="0"/>
        <w:rPr>
          <w:sz w:val="20"/>
          <w:szCs w:val="20"/>
          <w:color w:val="auto"/>
        </w:rPr>
      </w:pPr>
      <w:r>
        <w:rPr>
          <w:rFonts w:ascii="Arial" w:cs="Arial" w:eastAsia="Arial" w:hAnsi="Arial"/>
          <w:sz w:val="16"/>
          <w:szCs w:val="16"/>
          <w:b w:val="1"/>
          <w:bCs w:val="1"/>
          <w:color w:val="auto"/>
        </w:rPr>
        <w:t>Michigan</w:t>
      </w:r>
    </w:p>
    <w:p>
      <w:pPr>
        <w:spacing w:after="0" w:line="10" w:lineRule="exact"/>
        <w:rPr>
          <w:sz w:val="24"/>
          <w:szCs w:val="24"/>
          <w:color w:val="auto"/>
        </w:rPr>
      </w:pPr>
    </w:p>
    <w:p>
      <w:pPr>
        <w:jc w:val="center"/>
        <w:ind w:right="730"/>
        <w:spacing w:after="0"/>
        <w:rPr>
          <w:sz w:val="20"/>
          <w:szCs w:val="20"/>
          <w:color w:val="auto"/>
        </w:rPr>
      </w:pPr>
      <w:r>
        <w:rPr>
          <w:rFonts w:ascii="Arial" w:cs="Arial" w:eastAsia="Arial" w:hAnsi="Arial"/>
          <w:sz w:val="15"/>
          <w:szCs w:val="15"/>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89" w:lineRule="exact"/>
        <w:rPr>
          <w:sz w:val="24"/>
          <w:szCs w:val="24"/>
          <w:color w:val="auto"/>
        </w:rPr>
      </w:pPr>
    </w:p>
    <w:p>
      <w:pPr>
        <w:jc w:val="center"/>
        <w:ind w:right="1300"/>
        <w:spacing w:after="0"/>
        <w:rPr>
          <w:sz w:val="20"/>
          <w:szCs w:val="20"/>
          <w:color w:val="auto"/>
        </w:rPr>
      </w:pPr>
      <w:r>
        <w:rPr>
          <w:rFonts w:ascii="Arial" w:cs="Arial" w:eastAsia="Arial" w:hAnsi="Arial"/>
          <w:sz w:val="16"/>
          <w:szCs w:val="16"/>
          <w:b w:val="1"/>
          <w:bCs w:val="1"/>
          <w:color w:val="auto"/>
        </w:rPr>
        <w:t>38-1465835</w:t>
      </w:r>
    </w:p>
    <w:p>
      <w:pPr>
        <w:spacing w:after="0" w:line="10" w:lineRule="exact"/>
        <w:rPr>
          <w:sz w:val="24"/>
          <w:szCs w:val="24"/>
          <w:color w:val="auto"/>
        </w:rPr>
      </w:pPr>
    </w:p>
    <w:p>
      <w:pPr>
        <w:jc w:val="center"/>
        <w:ind w:right="1300"/>
        <w:spacing w:after="0"/>
        <w:rPr>
          <w:sz w:val="20"/>
          <w:szCs w:val="20"/>
          <w:color w:val="auto"/>
        </w:rPr>
      </w:pPr>
      <w:r>
        <w:rPr>
          <w:rFonts w:ascii="Arial" w:cs="Arial" w:eastAsia="Arial" w:hAnsi="Arial"/>
          <w:sz w:val="15"/>
          <w:szCs w:val="15"/>
          <w:color w:val="auto"/>
        </w:rPr>
        <w:t>(I.R.S. Employer Identification No.)</w:t>
      </w:r>
    </w:p>
    <w:p>
      <w:pPr>
        <w:spacing w:after="0" w:line="80" w:lineRule="exact"/>
        <w:rPr>
          <w:sz w:val="24"/>
          <w:szCs w:val="24"/>
          <w:color w:val="auto"/>
        </w:rPr>
      </w:pPr>
    </w:p>
    <w:p>
      <w:pPr>
        <w:sectPr>
          <w:pgSz w:w="11900" w:h="16838" w:orient="portrait"/>
          <w:cols w:equalWidth="0" w:num="2">
            <w:col w:w="5870" w:space="720"/>
            <w:col w:w="3640"/>
          </w:cols>
          <w:pgMar w:left="830" w:top="850" w:right="839" w:bottom="1440" w:gutter="0" w:footer="0" w:header="0"/>
          <w:type w:val="continuous"/>
        </w:sectPr>
      </w:pPr>
    </w:p>
    <w:p>
      <w:pPr>
        <w:jc w:val="center"/>
        <w:ind w:right="1550"/>
        <w:spacing w:after="0"/>
        <w:rPr>
          <w:sz w:val="20"/>
          <w:szCs w:val="20"/>
          <w:color w:val="auto"/>
        </w:rPr>
      </w:pPr>
      <w:r>
        <w:rPr>
          <w:rFonts w:ascii="Arial" w:cs="Arial" w:eastAsia="Arial" w:hAnsi="Arial"/>
          <w:sz w:val="14"/>
          <w:szCs w:val="14"/>
          <w:b w:val="1"/>
          <w:bCs w:val="1"/>
          <w:color w:val="auto"/>
        </w:rPr>
        <w:t>2801 East Beltline, N.E., Grand Rapids, Michigan</w:t>
      </w:r>
    </w:p>
    <w:p>
      <w:pPr>
        <w:spacing w:after="0" w:line="33" w:lineRule="exact"/>
        <w:rPr>
          <w:sz w:val="24"/>
          <w:szCs w:val="24"/>
          <w:color w:val="auto"/>
        </w:rPr>
      </w:pPr>
    </w:p>
    <w:p>
      <w:pPr>
        <w:jc w:val="center"/>
        <w:ind w:right="155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120"/>
        <w:spacing w:after="0"/>
        <w:rPr>
          <w:sz w:val="20"/>
          <w:szCs w:val="20"/>
          <w:color w:val="auto"/>
        </w:rPr>
      </w:pPr>
      <w:r>
        <w:rPr>
          <w:rFonts w:ascii="Arial" w:cs="Arial" w:eastAsia="Arial" w:hAnsi="Arial"/>
          <w:sz w:val="16"/>
          <w:szCs w:val="16"/>
          <w:b w:val="1"/>
          <w:bCs w:val="1"/>
          <w:color w:val="auto"/>
        </w:rPr>
        <w:t>49525</w:t>
      </w:r>
    </w:p>
    <w:p>
      <w:pPr>
        <w:spacing w:after="0" w:line="10" w:lineRule="exact"/>
        <w:rPr>
          <w:sz w:val="24"/>
          <w:szCs w:val="24"/>
          <w:color w:val="auto"/>
        </w:rPr>
      </w:pPr>
    </w:p>
    <w:p>
      <w:pPr>
        <w:jc w:val="center"/>
        <w:ind w:right="2120"/>
        <w:spacing w:after="0"/>
        <w:rPr>
          <w:sz w:val="20"/>
          <w:szCs w:val="20"/>
          <w:color w:val="auto"/>
        </w:rPr>
      </w:pPr>
      <w:r>
        <w:rPr>
          <w:rFonts w:ascii="Arial" w:cs="Arial" w:eastAsia="Arial" w:hAnsi="Arial"/>
          <w:sz w:val="14"/>
          <w:szCs w:val="14"/>
          <w:color w:val="auto"/>
        </w:rPr>
        <w:t>(Zip Code)</w:t>
      </w:r>
    </w:p>
    <w:p>
      <w:pPr>
        <w:spacing w:after="0" w:line="117" w:lineRule="exact"/>
        <w:rPr>
          <w:sz w:val="24"/>
          <w:szCs w:val="24"/>
          <w:color w:val="auto"/>
        </w:rPr>
      </w:pPr>
    </w:p>
    <w:p>
      <w:pPr>
        <w:sectPr>
          <w:pgSz w:w="11900" w:h="16838" w:orient="portrait"/>
          <w:cols w:equalWidth="0" w:num="2">
            <w:col w:w="6690" w:space="720"/>
            <w:col w:w="2820"/>
          </w:cols>
          <w:pgMar w:left="830" w:top="850" w:right="839" w:bottom="1440" w:gutter="0" w:footer="0" w:header="0"/>
          <w:type w:val="continuous"/>
        </w:sectPr>
      </w:pPr>
    </w:p>
    <w:p>
      <w:pPr>
        <w:ind w:left="10"/>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4"/>
          <w:szCs w:val="14"/>
          <w:b w:val="1"/>
          <w:bCs w:val="1"/>
          <w:color w:val="auto"/>
        </w:rPr>
        <w:t>(616) 364-6161</w:t>
      </w:r>
    </w:p>
    <w:p>
      <w:pPr>
        <w:spacing w:after="0" w:line="154" w:lineRule="exact"/>
        <w:rPr>
          <w:sz w:val="24"/>
          <w:szCs w:val="24"/>
          <w:color w:val="auto"/>
        </w:rPr>
      </w:pPr>
    </w:p>
    <w:p>
      <w:pPr>
        <w:ind w:left="10"/>
        <w:spacing w:after="0"/>
        <w:rPr>
          <w:sz w:val="20"/>
          <w:szCs w:val="20"/>
          <w:color w:val="auto"/>
        </w:rPr>
      </w:pPr>
      <w:r>
        <w:rPr>
          <w:rFonts w:ascii="Arial" w:cs="Arial" w:eastAsia="Arial" w:hAnsi="Arial"/>
          <w:sz w:val="16"/>
          <w:szCs w:val="16"/>
          <w:color w:val="auto"/>
        </w:rPr>
        <w:t>Securities registered pursuant to Section 12(b) of the Act:</w:t>
      </w:r>
    </w:p>
    <w:p>
      <w:pPr>
        <w:sectPr>
          <w:pgSz w:w="11900" w:h="16838" w:orient="portrait"/>
          <w:cols w:equalWidth="0" w:num="1">
            <w:col w:w="10230"/>
          </w:cols>
          <w:pgMar w:left="830" w:top="850" w:right="839" w:bottom="1440" w:gutter="0" w:footer="0" w:header="0"/>
          <w:type w:val="continuous"/>
        </w:sectPr>
      </w:pPr>
    </w:p>
    <w:p>
      <w:pPr>
        <w:spacing w:after="0" w:line="140" w:lineRule="exact"/>
        <w:rPr>
          <w:sz w:val="24"/>
          <w:szCs w:val="24"/>
          <w:color w:val="auto"/>
        </w:rPr>
      </w:pPr>
    </w:p>
    <w:p>
      <w:pPr>
        <w:jc w:val="center"/>
        <w:ind w:right="290"/>
        <w:spacing w:after="0"/>
        <w:rPr>
          <w:sz w:val="20"/>
          <w:szCs w:val="20"/>
          <w:color w:val="auto"/>
        </w:rPr>
      </w:pPr>
      <w:r>
        <w:rPr>
          <w:rFonts w:ascii="Arial" w:cs="Arial" w:eastAsia="Arial" w:hAnsi="Arial"/>
          <w:sz w:val="16"/>
          <w:szCs w:val="16"/>
          <w:color w:val="auto"/>
        </w:rPr>
        <w:t>Title of Each Class</w:t>
      </w:r>
    </w:p>
    <w:p>
      <w:pPr>
        <w:spacing w:after="0" w:line="22" w:lineRule="exact"/>
        <w:rPr>
          <w:sz w:val="24"/>
          <w:szCs w:val="24"/>
          <w:color w:val="auto"/>
        </w:rPr>
      </w:pPr>
    </w:p>
    <w:p>
      <w:pPr>
        <w:jc w:val="center"/>
        <w:ind w:right="290"/>
        <w:spacing w:after="0"/>
        <w:rPr>
          <w:sz w:val="20"/>
          <w:szCs w:val="20"/>
          <w:color w:val="auto"/>
        </w:rPr>
      </w:pPr>
      <w:r>
        <w:rPr>
          <w:rFonts w:ascii="Arial" w:cs="Arial" w:eastAsia="Arial" w:hAnsi="Arial"/>
          <w:sz w:val="14"/>
          <w:szCs w:val="14"/>
          <w:b w:val="1"/>
          <w:bCs w:val="1"/>
          <w:color w:val="auto"/>
        </w:rPr>
        <w:t>Common Stock, $1 par value</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jc w:val="center"/>
        <w:ind w:right="660"/>
        <w:spacing w:after="0"/>
        <w:rPr>
          <w:sz w:val="20"/>
          <w:szCs w:val="20"/>
          <w:color w:val="auto"/>
        </w:rPr>
      </w:pPr>
      <w:r>
        <w:rPr>
          <w:rFonts w:ascii="Arial" w:cs="Arial" w:eastAsia="Arial" w:hAnsi="Arial"/>
          <w:sz w:val="15"/>
          <w:szCs w:val="15"/>
          <w:color w:val="auto"/>
        </w:rPr>
        <w:t>Trading Symbol</w:t>
      </w:r>
    </w:p>
    <w:p>
      <w:pPr>
        <w:spacing w:after="0" w:line="34" w:lineRule="exact"/>
        <w:rPr>
          <w:sz w:val="24"/>
          <w:szCs w:val="24"/>
          <w:color w:val="auto"/>
        </w:rPr>
      </w:pPr>
    </w:p>
    <w:p>
      <w:pPr>
        <w:jc w:val="center"/>
        <w:ind w:right="660"/>
        <w:spacing w:after="0"/>
        <w:rPr>
          <w:sz w:val="20"/>
          <w:szCs w:val="20"/>
          <w:color w:val="auto"/>
        </w:rPr>
      </w:pPr>
      <w:r>
        <w:rPr>
          <w:rFonts w:ascii="Arial" w:cs="Arial" w:eastAsia="Arial" w:hAnsi="Arial"/>
          <w:sz w:val="16"/>
          <w:szCs w:val="16"/>
          <w:b w:val="1"/>
          <w:bCs w:val="1"/>
          <w:color w:val="auto"/>
        </w:rPr>
        <w:t>UFPI</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jc w:val="center"/>
        <w:ind w:right="360"/>
        <w:spacing w:after="0"/>
        <w:rPr>
          <w:sz w:val="20"/>
          <w:szCs w:val="20"/>
          <w:color w:val="auto"/>
        </w:rPr>
      </w:pPr>
      <w:r>
        <w:rPr>
          <w:rFonts w:ascii="Arial" w:cs="Arial" w:eastAsia="Arial" w:hAnsi="Arial"/>
          <w:sz w:val="14"/>
          <w:szCs w:val="14"/>
          <w:color w:val="auto"/>
        </w:rPr>
        <w:t>Name of Each Exchange on Which Registered</w:t>
      </w:r>
    </w:p>
    <w:p>
      <w:pPr>
        <w:spacing w:after="0" w:line="45" w:lineRule="exact"/>
        <w:rPr>
          <w:sz w:val="24"/>
          <w:szCs w:val="24"/>
          <w:color w:val="auto"/>
        </w:rPr>
      </w:pPr>
    </w:p>
    <w:p>
      <w:pPr>
        <w:jc w:val="center"/>
        <w:ind w:right="360"/>
        <w:spacing w:after="0"/>
        <w:rPr>
          <w:sz w:val="20"/>
          <w:szCs w:val="20"/>
          <w:color w:val="auto"/>
        </w:rPr>
      </w:pPr>
      <w:r>
        <w:rPr>
          <w:rFonts w:ascii="Arial" w:cs="Arial" w:eastAsia="Arial" w:hAnsi="Arial"/>
          <w:sz w:val="16"/>
          <w:szCs w:val="16"/>
          <w:b w:val="1"/>
          <w:bCs w:val="1"/>
          <w:color w:val="auto"/>
        </w:rPr>
        <w:t>The NASDAQ Global Select Market</w:t>
      </w:r>
    </w:p>
    <w:p>
      <w:pPr>
        <w:spacing w:after="0" w:line="93" w:lineRule="exact"/>
        <w:rPr>
          <w:sz w:val="24"/>
          <w:szCs w:val="24"/>
          <w:color w:val="auto"/>
        </w:rPr>
      </w:pPr>
    </w:p>
    <w:p>
      <w:pPr>
        <w:sectPr>
          <w:pgSz w:w="11900" w:h="16838" w:orient="portrait"/>
          <w:cols w:equalWidth="0" w:num="3">
            <w:col w:w="3710" w:space="720"/>
            <w:col w:w="1720" w:space="720"/>
            <w:col w:w="3360"/>
          </w:cols>
          <w:pgMar w:left="830" w:top="850" w:right="839" w:bottom="1440" w:gutter="0" w:footer="0" w:header="0"/>
          <w:type w:val="continuous"/>
        </w:sectPr>
      </w:pPr>
    </w:p>
    <w:p>
      <w:pPr>
        <w:spacing w:after="0" w:line="30" w:lineRule="exact"/>
        <w:rPr>
          <w:sz w:val="24"/>
          <w:szCs w:val="24"/>
          <w:color w:val="auto"/>
        </w:rPr>
      </w:pPr>
    </w:p>
    <w:p>
      <w:pPr>
        <w:ind w:left="10"/>
        <w:spacing w:after="0"/>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181" w:lineRule="exact"/>
        <w:rPr>
          <w:sz w:val="20"/>
          <w:szCs w:val="20"/>
          <w:color w:val="auto"/>
        </w:rPr>
      </w:pPr>
      <w:r>
        <w:rPr>
          <w:rFonts w:ascii="Arial" w:cs="Arial" w:eastAsia="Arial" w:hAnsi="Arial"/>
          <w:sz w:val="15"/>
          <w:szCs w:val="15"/>
          <w:color w:val="auto"/>
        </w:rPr>
        <w:t xml:space="preserve">Yes </w:t>
      </w:r>
      <w:r>
        <w:rPr>
          <w:rFonts w:ascii="Arial Unicode MS" w:cs="Arial Unicode MS" w:eastAsia="Arial Unicode MS" w:hAnsi="Arial Unicode MS"/>
          <w:sz w:val="15"/>
          <w:szCs w:val="15"/>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No</w:t>
      </w:r>
    </w:p>
    <w:p>
      <w:pPr>
        <w:spacing w:after="0" w:line="126" w:lineRule="exact"/>
        <w:rPr>
          <w:sz w:val="24"/>
          <w:szCs w:val="24"/>
          <w:color w:val="auto"/>
        </w:rPr>
      </w:pPr>
    </w:p>
    <w:p>
      <w:pPr>
        <w:sectPr>
          <w:pgSz w:w="11900" w:h="16838" w:orient="portrait"/>
          <w:cols w:equalWidth="0" w:num="3">
            <w:col w:w="7610" w:space="120"/>
            <w:col w:w="460" w:space="480"/>
            <w:col w:w="1560"/>
          </w:cols>
          <w:pgMar w:left="830" w:top="850" w:right="839" w:bottom="1440" w:gutter="0" w:footer="0" w:header="0"/>
          <w:type w:val="continuous"/>
        </w:sectPr>
      </w:pPr>
    </w:p>
    <w:p>
      <w:pPr>
        <w:spacing w:after="0" w:line="30" w:lineRule="exact"/>
        <w:rPr>
          <w:sz w:val="24"/>
          <w:szCs w:val="24"/>
          <w:color w:val="auto"/>
        </w:rPr>
      </w:pPr>
    </w:p>
    <w:p>
      <w:pPr>
        <w:ind w:left="10"/>
        <w:spacing w:after="0"/>
        <w:rPr>
          <w:sz w:val="20"/>
          <w:szCs w:val="20"/>
          <w:color w:val="auto"/>
        </w:rPr>
      </w:pPr>
      <w:r>
        <w:rPr>
          <w:rFonts w:ascii="Arial" w:cs="Arial" w:eastAsia="Arial" w:hAnsi="Arial"/>
          <w:sz w:val="14"/>
          <w:szCs w:val="14"/>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Yes</w:t>
      </w:r>
    </w:p>
    <w:p>
      <w:pPr>
        <w:spacing w:after="0" w:line="20" w:lineRule="exact"/>
        <w:rPr>
          <w:sz w:val="24"/>
          <w:szCs w:val="24"/>
          <w:color w:val="auto"/>
        </w:rPr>
      </w:pPr>
      <w:r>
        <w:rPr>
          <w:sz w:val="24"/>
          <w:szCs w:val="24"/>
          <w:color w:val="auto"/>
        </w:rPr>
        <w:br w:type="column"/>
      </w:r>
    </w:p>
    <w:p>
      <w:pPr>
        <w:spacing w:after="0" w:line="195" w:lineRule="exact"/>
        <w:rPr>
          <w:sz w:val="20"/>
          <w:szCs w:val="20"/>
          <w:color w:val="auto"/>
        </w:rPr>
      </w:pPr>
      <w:r>
        <w:rPr>
          <w:rFonts w:ascii="Arial" w:cs="Arial" w:eastAsia="Arial" w:hAnsi="Arial"/>
          <w:sz w:val="16"/>
          <w:szCs w:val="16"/>
          <w:color w:val="auto"/>
        </w:rPr>
        <w:t xml:space="preserve">No </w:t>
      </w:r>
      <w:r>
        <w:rPr>
          <w:rFonts w:ascii="Arial Unicode MS" w:cs="Arial Unicode MS" w:eastAsia="Arial Unicode MS" w:hAnsi="Arial Unicode MS"/>
          <w:sz w:val="16"/>
          <w:szCs w:val="16"/>
          <w:color w:val="auto"/>
        </w:rPr>
        <w:t>⌧</w:t>
      </w:r>
    </w:p>
    <w:p>
      <w:pPr>
        <w:spacing w:after="0" w:line="126" w:lineRule="exact"/>
        <w:rPr>
          <w:sz w:val="24"/>
          <w:szCs w:val="24"/>
          <w:color w:val="auto"/>
        </w:rPr>
      </w:pPr>
    </w:p>
    <w:p>
      <w:pPr>
        <w:sectPr>
          <w:pgSz w:w="11900" w:h="16838" w:orient="portrait"/>
          <w:cols w:equalWidth="0" w:num="3">
            <w:col w:w="7750" w:space="120"/>
            <w:col w:w="420" w:space="480"/>
            <w:col w:w="1460"/>
          </w:cols>
          <w:pgMar w:left="830" w:top="850" w:right="839" w:bottom="1440" w:gutter="0" w:footer="0" w:header="0"/>
          <w:type w:val="continuous"/>
        </w:sectPr>
      </w:pPr>
    </w:p>
    <w:p>
      <w:pPr>
        <w:jc w:val="both"/>
        <w:ind w:left="10"/>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No</w:t>
      </w:r>
    </w:p>
    <w:p>
      <w:pPr>
        <w:spacing w:after="0" w:line="87" w:lineRule="exact"/>
        <w:rPr>
          <w:sz w:val="24"/>
          <w:szCs w:val="24"/>
          <w:color w:val="auto"/>
        </w:rPr>
      </w:pPr>
    </w:p>
    <w:p>
      <w:pPr>
        <w:ind w:left="10"/>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No</w:t>
      </w:r>
    </w:p>
    <w:p>
      <w:pPr>
        <w:spacing w:after="0" w:line="87" w:lineRule="exact"/>
        <w:rPr>
          <w:sz w:val="24"/>
          <w:szCs w:val="24"/>
          <w:color w:val="auto"/>
        </w:rPr>
      </w:pPr>
    </w:p>
    <w:p>
      <w:pPr>
        <w:jc w:val="both"/>
        <w:ind w:left="1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0" w:lineRule="exact"/>
        <w:rPr>
          <w:sz w:val="24"/>
          <w:szCs w:val="24"/>
          <w:color w:val="auto"/>
        </w:rPr>
      </w:pPr>
    </w:p>
    <w:p>
      <w:pPr>
        <w:ind w:left="250"/>
        <w:spacing w:after="0" w:line="215" w:lineRule="exact"/>
        <w:tabs>
          <w:tab w:leader="none" w:pos="2650" w:val="left"/>
          <w:tab w:leader="none" w:pos="4910" w:val="left"/>
          <w:tab w:leader="none" w:pos="7550" w:val="left"/>
        </w:tabs>
        <w:rPr>
          <w:sz w:val="20"/>
          <w:szCs w:val="20"/>
          <w:color w:val="auto"/>
        </w:rPr>
      </w:pPr>
      <w:r>
        <w:rPr>
          <w:rFonts w:ascii="Arial" w:cs="Arial" w:eastAsia="Arial" w:hAnsi="Arial"/>
          <w:sz w:val="16"/>
          <w:szCs w:val="16"/>
          <w:color w:val="auto"/>
        </w:rPr>
        <w:t xml:space="preserve">Large accelerated filer </w:t>
      </w:r>
      <w:r>
        <w:rPr>
          <w:rFonts w:ascii="Arial Unicode MS" w:cs="Arial Unicode MS" w:eastAsia="Arial Unicode MS" w:hAnsi="Arial Unicode MS"/>
          <w:sz w:val="16"/>
          <w:szCs w:val="16"/>
          <w:color w:val="auto"/>
        </w:rPr>
        <w:t>⌧</w:t>
      </w:r>
      <w:r>
        <w:rPr>
          <w:sz w:val="20"/>
          <w:szCs w:val="20"/>
          <w:color w:val="auto"/>
        </w:rPr>
        <w:tab/>
      </w:r>
      <w:r>
        <w:rPr>
          <w:rFonts w:ascii="Arial" w:cs="Arial" w:eastAsia="Arial" w:hAnsi="Arial"/>
          <w:sz w:val="16"/>
          <w:szCs w:val="16"/>
          <w:color w:val="auto"/>
        </w:rPr>
        <w:t>Accelerated filer</w:t>
      </w:r>
      <w:r>
        <w:rPr>
          <w:sz w:val="20"/>
          <w:szCs w:val="20"/>
          <w:color w:val="auto"/>
        </w:rPr>
        <w:tab/>
      </w:r>
      <w:r>
        <w:rPr>
          <w:rFonts w:ascii="Arial" w:cs="Arial" w:eastAsia="Arial" w:hAnsi="Arial"/>
          <w:sz w:val="16"/>
          <w:szCs w:val="16"/>
          <w:color w:val="auto"/>
        </w:rPr>
        <w:t>Non-accelerated filer</w:t>
      </w:r>
      <w:r>
        <w:rPr>
          <w:sz w:val="20"/>
          <w:szCs w:val="20"/>
          <w:color w:val="auto"/>
        </w:rPr>
        <w:tab/>
      </w:r>
      <w:r>
        <w:rPr>
          <w:rFonts w:ascii="Arial" w:cs="Arial" w:eastAsia="Arial" w:hAnsi="Arial"/>
          <w:sz w:val="15"/>
          <w:szCs w:val="15"/>
          <w:color w:val="auto"/>
        </w:rPr>
        <w:t xml:space="preserve">Smaller Reporting Company </w:t>
      </w:r>
      <w:r>
        <w:rPr>
          <w:rFonts w:ascii="Arial Unicode MS" w:cs="Arial Unicode MS" w:eastAsia="Arial Unicode MS" w:hAnsi="Arial Unicode MS"/>
          <w:sz w:val="15"/>
          <w:szCs w:val="15"/>
          <w:color w:val="auto"/>
        </w:rPr>
        <w:t>☐</w:t>
      </w:r>
    </w:p>
    <w:p>
      <w:pPr>
        <w:spacing w:after="0" w:line="191" w:lineRule="exact"/>
        <w:rPr>
          <w:sz w:val="24"/>
          <w:szCs w:val="24"/>
          <w:color w:val="auto"/>
        </w:rPr>
      </w:pPr>
    </w:p>
    <w:p>
      <w:pPr>
        <w:ind w:left="110"/>
        <w:spacing w:after="0" w:line="215" w:lineRule="exact"/>
        <w:rPr>
          <w:sz w:val="20"/>
          <w:szCs w:val="20"/>
          <w:color w:val="auto"/>
        </w:rPr>
      </w:pPr>
      <w:r>
        <w:rPr>
          <w:rFonts w:ascii="Arial" w:cs="Arial" w:eastAsia="Arial" w:hAnsi="Arial"/>
          <w:sz w:val="16"/>
          <w:szCs w:val="16"/>
          <w:color w:val="auto"/>
        </w:rPr>
        <w:t xml:space="preserve">Emerging growth company </w:t>
      </w:r>
      <w:r>
        <w:rPr>
          <w:rFonts w:ascii="Arial Unicode MS" w:cs="Arial Unicode MS" w:eastAsia="Arial Unicode MS" w:hAnsi="Arial Unicode MS"/>
          <w:sz w:val="16"/>
          <w:szCs w:val="16"/>
          <w:color w:val="auto"/>
        </w:rPr>
        <w:t>☐</w:t>
      </w:r>
    </w:p>
    <w:p>
      <w:pPr>
        <w:spacing w:after="0" w:line="194" w:lineRule="exact"/>
        <w:rPr>
          <w:sz w:val="24"/>
          <w:szCs w:val="24"/>
          <w:color w:val="auto"/>
        </w:rPr>
      </w:pPr>
    </w:p>
    <w:p>
      <w:pPr>
        <w:ind w:left="10" w:right="26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 new or revised financial accounting standards provided pursuant to Section 13(a) of the Exchange Act. </w:t>
      </w:r>
      <w:r>
        <w:rPr>
          <w:rFonts w:ascii="Arial Unicode MS" w:cs="Arial Unicode MS" w:eastAsia="Arial Unicode MS" w:hAnsi="Arial Unicode MS"/>
          <w:sz w:val="16"/>
          <w:szCs w:val="16"/>
          <w:color w:val="auto"/>
        </w:rPr>
        <w:t>☐</w:t>
      </w:r>
    </w:p>
    <w:p>
      <w:pPr>
        <w:spacing w:after="0" w:line="100" w:lineRule="exact"/>
        <w:rPr>
          <w:sz w:val="24"/>
          <w:szCs w:val="24"/>
          <w:color w:val="auto"/>
        </w:rPr>
      </w:pPr>
    </w:p>
    <w:p>
      <w:pPr>
        <w:jc w:val="both"/>
        <w:ind w:left="10" w:right="20"/>
        <w:spacing w:after="0" w:line="210" w:lineRule="exact"/>
        <w:rPr>
          <w:sz w:val="20"/>
          <w:szCs w:val="20"/>
          <w:color w:val="auto"/>
        </w:rPr>
      </w:pPr>
      <w:r>
        <w:rPr>
          <w:rFonts w:ascii="Arial" w:cs="Arial" w:eastAsia="Arial" w:hAnsi="Arial"/>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6"/>
          <w:szCs w:val="16"/>
          <w:color w:val="auto"/>
        </w:rPr>
        <w:t>☒</w:t>
      </w:r>
    </w:p>
    <w:p>
      <w:pPr>
        <w:spacing w:after="0" w:line="57" w:lineRule="exact"/>
        <w:rPr>
          <w:sz w:val="24"/>
          <w:szCs w:val="24"/>
          <w:color w:val="auto"/>
        </w:rPr>
      </w:pPr>
    </w:p>
    <w:p>
      <w:pPr>
        <w:ind w:left="10"/>
        <w:spacing w:after="0" w:line="215" w:lineRule="exact"/>
        <w:tabs>
          <w:tab w:leader="none" w:pos="7690" w:val="left"/>
        </w:tabs>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w:t>
      </w:r>
      <w:r>
        <w:rPr>
          <w:rFonts w:ascii="Arial Unicode MS" w:cs="Arial Unicode MS" w:eastAsia="Arial Unicode MS" w:hAnsi="Arial Unicode MS"/>
          <w:sz w:val="16"/>
          <w:szCs w:val="16"/>
          <w:color w:val="auto"/>
        </w:rPr>
        <w:t>☐</w:t>
      </w:r>
      <w:r>
        <w:rPr>
          <w:sz w:val="20"/>
          <w:szCs w:val="20"/>
          <w:color w:val="auto"/>
        </w:rPr>
        <w:tab/>
      </w:r>
      <w:r>
        <w:rPr>
          <w:rFonts w:ascii="Arial" w:cs="Arial" w:eastAsia="Arial" w:hAnsi="Arial"/>
          <w:sz w:val="16"/>
          <w:szCs w:val="16"/>
          <w:color w:val="auto"/>
        </w:rPr>
        <w:t xml:space="preserve">No </w:t>
      </w:r>
      <w:r>
        <w:rPr>
          <w:rFonts w:ascii="Arial Unicode MS" w:cs="Arial Unicode MS" w:eastAsia="Arial Unicode MS" w:hAnsi="Arial Unicode MS"/>
          <w:sz w:val="16"/>
          <w:szCs w:val="16"/>
          <w:color w:val="auto"/>
        </w:rPr>
        <w:t>⌧</w:t>
      </w:r>
    </w:p>
    <w:p>
      <w:pPr>
        <w:spacing w:after="0" w:line="126" w:lineRule="exact"/>
        <w:rPr>
          <w:sz w:val="24"/>
          <w:szCs w:val="24"/>
          <w:color w:val="auto"/>
        </w:rPr>
      </w:pPr>
    </w:p>
    <w:p>
      <w:pPr>
        <w:jc w:val="both"/>
        <w:ind w:left="10"/>
        <w:spacing w:after="0" w:line="328" w:lineRule="auto"/>
        <w:rPr>
          <w:sz w:val="20"/>
          <w:szCs w:val="20"/>
          <w:color w:val="auto"/>
        </w:rPr>
      </w:pPr>
      <w:r>
        <w:rPr>
          <w:rFonts w:ascii="Arial" w:cs="Arial" w:eastAsia="Arial" w:hAnsi="Arial"/>
          <w:sz w:val="15"/>
          <w:szCs w:val="15"/>
          <w:color w:val="auto"/>
        </w:rPr>
        <w:t>The aggregate market value of the common stock held by non-affiliates of the registrant (i.e. excluding shares held by executive officers, directors, and control persons as defined in Rule 405, 17 CFR 230.405) on June 27, 2020 was $2,635,631,630 computed at the closing price of $45.72 on that date.</w:t>
      </w:r>
    </w:p>
    <w:p>
      <w:pPr>
        <w:spacing w:after="0" w:line="42" w:lineRule="exact"/>
        <w:rPr>
          <w:sz w:val="24"/>
          <w:szCs w:val="24"/>
          <w:color w:val="auto"/>
        </w:rPr>
      </w:pPr>
    </w:p>
    <w:p>
      <w:pPr>
        <w:ind w:left="10"/>
        <w:spacing w:after="0"/>
        <w:rPr>
          <w:sz w:val="20"/>
          <w:szCs w:val="20"/>
          <w:color w:val="auto"/>
        </w:rPr>
      </w:pPr>
      <w:r>
        <w:rPr>
          <w:rFonts w:ascii="Arial" w:cs="Arial" w:eastAsia="Arial" w:hAnsi="Arial"/>
          <w:sz w:val="16"/>
          <w:szCs w:val="16"/>
          <w:color w:val="auto"/>
        </w:rPr>
        <w:t>As of January 30, 2021, 61,207,924 shares of the registrant’s common stock, $1 par value, were outstanding.</w:t>
      </w:r>
    </w:p>
    <w:p>
      <w:pPr>
        <w:spacing w:after="0" w:line="127" w:lineRule="exact"/>
        <w:rPr>
          <w:sz w:val="24"/>
          <w:szCs w:val="24"/>
          <w:color w:val="auto"/>
        </w:rPr>
      </w:pPr>
    </w:p>
    <w:p>
      <w:pPr>
        <w:ind w:left="10"/>
        <w:spacing w:after="0"/>
        <w:rPr>
          <w:sz w:val="20"/>
          <w:szCs w:val="20"/>
          <w:color w:val="auto"/>
        </w:rPr>
      </w:pPr>
      <w:r>
        <w:rPr>
          <w:rFonts w:ascii="Arial" w:cs="Arial" w:eastAsia="Arial" w:hAnsi="Arial"/>
          <w:sz w:val="16"/>
          <w:szCs w:val="16"/>
          <w:color w:val="auto"/>
        </w:rPr>
        <w:t>Documents incorporated by reference:</w:t>
      </w:r>
    </w:p>
    <w:p>
      <w:pPr>
        <w:spacing w:after="0" w:line="127" w:lineRule="exact"/>
        <w:rPr>
          <w:sz w:val="24"/>
          <w:szCs w:val="24"/>
          <w:color w:val="auto"/>
        </w:rPr>
      </w:pPr>
    </w:p>
    <w:p>
      <w:pPr>
        <w:ind w:left="530" w:right="20" w:hanging="327"/>
        <w:spacing w:after="0" w:line="293" w:lineRule="auto"/>
        <w:tabs>
          <w:tab w:leader="none" w:pos="530" w:val="left"/>
        </w:tabs>
        <w:numPr>
          <w:ilvl w:val="0"/>
          <w:numId w:val="3"/>
        </w:numPr>
        <w:rPr>
          <w:rFonts w:ascii="Arial" w:cs="Arial" w:eastAsia="Arial" w:hAnsi="Arial"/>
          <w:sz w:val="16"/>
          <w:szCs w:val="16"/>
          <w:color w:val="auto"/>
        </w:rPr>
      </w:pPr>
      <w:r>
        <w:rPr>
          <w:rFonts w:ascii="Arial" w:cs="Arial" w:eastAsia="Arial" w:hAnsi="Arial"/>
          <w:sz w:val="16"/>
          <w:szCs w:val="16"/>
          <w:color w:val="auto"/>
        </w:rPr>
        <w:t>Certain portions of the registrant’s Annual Report to Shareholders for the fiscal year ended December 26, 2020 are incorporated by reference into Part I and II of this Report.</w:t>
      </w:r>
    </w:p>
    <w:p>
      <w:pPr>
        <w:spacing w:after="0" w:line="63" w:lineRule="exact"/>
        <w:rPr>
          <w:rFonts w:ascii="Arial" w:cs="Arial" w:eastAsia="Arial" w:hAnsi="Arial"/>
          <w:sz w:val="16"/>
          <w:szCs w:val="16"/>
          <w:color w:val="auto"/>
        </w:rPr>
      </w:pPr>
    </w:p>
    <w:p>
      <w:pPr>
        <w:ind w:left="530" w:right="20" w:hanging="327"/>
        <w:spacing w:after="0" w:line="293" w:lineRule="auto"/>
        <w:tabs>
          <w:tab w:leader="none" w:pos="530" w:val="left"/>
        </w:tabs>
        <w:numPr>
          <w:ilvl w:val="0"/>
          <w:numId w:val="3"/>
        </w:numPr>
        <w:rPr>
          <w:rFonts w:ascii="Arial" w:cs="Arial" w:eastAsia="Arial" w:hAnsi="Arial"/>
          <w:sz w:val="16"/>
          <w:szCs w:val="16"/>
          <w:color w:val="auto"/>
        </w:rPr>
      </w:pPr>
      <w:r>
        <w:rPr>
          <w:rFonts w:ascii="Arial" w:cs="Arial" w:eastAsia="Arial" w:hAnsi="Arial"/>
          <w:sz w:val="16"/>
          <w:szCs w:val="16"/>
          <w:color w:val="auto"/>
        </w:rPr>
        <w:t>Certain portions of the registrant’s Proxy Statement for its 2021 Annual Meeting of Shareholders are incorporated by reference into Part III of this Report.</w:t>
      </w:r>
    </w:p>
    <w:p>
      <w:pPr>
        <w:spacing w:after="0" w:line="64" w:lineRule="exact"/>
        <w:rPr>
          <w:sz w:val="24"/>
          <w:szCs w:val="24"/>
          <w:color w:val="auto"/>
        </w:rPr>
      </w:pPr>
    </w:p>
    <w:p>
      <w:pPr>
        <w:jc w:val="center"/>
        <w:ind w:right="-9"/>
        <w:spacing w:after="0"/>
        <w:rPr>
          <w:sz w:val="20"/>
          <w:szCs w:val="20"/>
          <w:color w:val="auto"/>
        </w:rPr>
      </w:pPr>
      <w:r>
        <w:rPr>
          <w:rFonts w:ascii="Arial" w:cs="Arial" w:eastAsia="Arial" w:hAnsi="Arial"/>
          <w:sz w:val="16"/>
          <w:szCs w:val="16"/>
          <w:color w:val="auto"/>
        </w:rPr>
        <w:t>Exhibit Index located on page E-16.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626745</wp:posOffset>
            </wp:positionV>
            <wp:extent cx="649795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1714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154940</wp:posOffset>
            </wp:positionV>
            <wp:extent cx="64979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198120</wp:posOffset>
            </wp:positionV>
            <wp:extent cx="649795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30"/>
          </w:cols>
          <w:pgMar w:left="830" w:top="850" w:right="839" w:bottom="144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60" w:type="dxa"/>
            <w:vAlign w:val="bottom"/>
            <w:gridSpan w:val="2"/>
          </w:tcPr>
          <w:p>
            <w:pPr>
              <w:jc w:val="center"/>
              <w:ind w:right="1120"/>
              <w:spacing w:after="0"/>
              <w:rPr>
                <w:sz w:val="20"/>
                <w:szCs w:val="20"/>
                <w:color w:val="auto"/>
              </w:rPr>
            </w:pPr>
            <w:r>
              <w:rPr>
                <w:rFonts w:ascii="Arial" w:cs="Arial" w:eastAsia="Arial" w:hAnsi="Arial"/>
                <w:sz w:val="18"/>
                <w:szCs w:val="18"/>
                <w:b w:val="1"/>
                <w:bCs w:val="1"/>
                <w:color w:val="auto"/>
                <w:w w:val="99"/>
              </w:rPr>
              <w:t>ANNUAL REPORT ON FORM 10-K</w:t>
            </w:r>
          </w:p>
        </w:tc>
        <w:tc>
          <w:tcPr>
            <w:tcW w:w="460" w:type="dxa"/>
            <w:vAlign w:val="bottom"/>
          </w:tcPr>
          <w:p>
            <w:pPr>
              <w:spacing w:after="0"/>
              <w:rPr>
                <w:sz w:val="20"/>
                <w:szCs w:val="20"/>
                <w:color w:val="auto"/>
              </w:rPr>
            </w:pPr>
          </w:p>
        </w:tc>
      </w:tr>
      <w:tr>
        <w:trPr>
          <w:trHeight w:val="257"/>
        </w:trPr>
        <w:tc>
          <w:tcPr>
            <w:tcW w:w="8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60" w:type="dxa"/>
            <w:vAlign w:val="bottom"/>
            <w:gridSpan w:val="2"/>
          </w:tcPr>
          <w:p>
            <w:pPr>
              <w:jc w:val="center"/>
              <w:ind w:right="1140"/>
              <w:spacing w:after="0"/>
              <w:rPr>
                <w:sz w:val="20"/>
                <w:szCs w:val="20"/>
                <w:color w:val="auto"/>
              </w:rPr>
            </w:pPr>
            <w:r>
              <w:rPr>
                <w:rFonts w:ascii="Arial" w:cs="Arial" w:eastAsia="Arial" w:hAnsi="Arial"/>
                <w:sz w:val="18"/>
                <w:szCs w:val="18"/>
                <w:b w:val="1"/>
                <w:bCs w:val="1"/>
                <w:color w:val="auto"/>
                <w:w w:val="96"/>
              </w:rPr>
              <w:t>DECEMBER 26, 2020</w:t>
            </w:r>
          </w:p>
        </w:tc>
        <w:tc>
          <w:tcPr>
            <w:tcW w:w="460" w:type="dxa"/>
            <w:vAlign w:val="bottom"/>
          </w:tcPr>
          <w:p>
            <w:pPr>
              <w:spacing w:after="0"/>
              <w:rPr>
                <w:sz w:val="22"/>
                <w:szCs w:val="22"/>
                <w:color w:val="auto"/>
              </w:rPr>
            </w:pPr>
          </w:p>
        </w:tc>
      </w:tr>
      <w:tr>
        <w:trPr>
          <w:trHeight w:val="257"/>
        </w:trPr>
        <w:tc>
          <w:tcPr>
            <w:tcW w:w="8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60" w:type="dxa"/>
            <w:vAlign w:val="bottom"/>
            <w:gridSpan w:val="2"/>
          </w:tcPr>
          <w:p>
            <w:pPr>
              <w:jc w:val="center"/>
              <w:ind w:right="1140"/>
              <w:spacing w:after="0"/>
              <w:rPr>
                <w:sz w:val="20"/>
                <w:szCs w:val="20"/>
                <w:color w:val="auto"/>
              </w:rPr>
            </w:pPr>
            <w:r>
              <w:rPr>
                <w:rFonts w:ascii="Arial" w:cs="Arial" w:eastAsia="Arial" w:hAnsi="Arial"/>
                <w:sz w:val="18"/>
                <w:szCs w:val="18"/>
                <w:b w:val="1"/>
                <w:bCs w:val="1"/>
                <w:color w:val="auto"/>
                <w:w w:val="98"/>
              </w:rPr>
              <w:t>TABLE OF CONTENTS</w:t>
            </w:r>
          </w:p>
        </w:tc>
        <w:tc>
          <w:tcPr>
            <w:tcW w:w="460" w:type="dxa"/>
            <w:vAlign w:val="bottom"/>
          </w:tcPr>
          <w:p>
            <w:pPr>
              <w:spacing w:after="0"/>
              <w:rPr>
                <w:sz w:val="22"/>
                <w:szCs w:val="22"/>
                <w:color w:val="auto"/>
              </w:rPr>
            </w:pPr>
          </w:p>
        </w:tc>
      </w:tr>
      <w:tr>
        <w:trPr>
          <w:trHeight w:val="459"/>
        </w:trPr>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60" w:type="dxa"/>
            <w:vAlign w:val="bottom"/>
            <w:gridSpan w:val="2"/>
          </w:tcPr>
          <w:p>
            <w:pPr>
              <w:jc w:val="center"/>
              <w:ind w:right="1120"/>
              <w:spacing w:after="0"/>
              <w:rPr>
                <w:rFonts w:ascii="Arial" w:cs="Arial" w:eastAsia="Arial" w:hAnsi="Arial"/>
                <w:sz w:val="18"/>
                <w:szCs w:val="18"/>
                <w:b w:val="1"/>
                <w:bCs w:val="1"/>
                <w:u w:val="single" w:color="auto"/>
                <w:color w:val="0000EE"/>
                <w:w w:val="98"/>
              </w:rPr>
            </w:pPr>
            <w:hyperlink w:anchor="page3">
              <w:r>
                <w:rPr>
                  <w:rFonts w:ascii="Arial" w:cs="Arial" w:eastAsia="Arial" w:hAnsi="Arial"/>
                  <w:sz w:val="18"/>
                  <w:szCs w:val="18"/>
                  <w:b w:val="1"/>
                  <w:bCs w:val="1"/>
                  <w:u w:val="single" w:color="auto"/>
                  <w:color w:val="0000EE"/>
                  <w:w w:val="98"/>
                </w:rPr>
                <w:t>PART I</w:t>
              </w:r>
            </w:hyperlink>
          </w:p>
        </w:tc>
        <w:tc>
          <w:tcPr>
            <w:tcW w:w="460" w:type="dxa"/>
            <w:vAlign w:val="bottom"/>
          </w:tcPr>
          <w:p>
            <w:pPr>
              <w:spacing w:after="0"/>
              <w:rPr>
                <w:sz w:val="24"/>
                <w:szCs w:val="24"/>
                <w:color w:val="auto"/>
              </w:rPr>
            </w:pPr>
          </w:p>
        </w:tc>
      </w:tr>
      <w:tr>
        <w:trPr>
          <w:trHeight w:val="418"/>
        </w:trPr>
        <w:tc>
          <w:tcPr>
            <w:tcW w:w="840" w:type="dxa"/>
            <w:vAlign w:val="bottom"/>
          </w:tcPr>
          <w:p>
            <w:pPr>
              <w:ind w:left="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1.</w:t>
              </w:r>
            </w:hyperlink>
          </w:p>
        </w:tc>
        <w:tc>
          <w:tcPr>
            <w:tcW w:w="7620" w:type="dxa"/>
            <w:vAlign w:val="bottom"/>
            <w:gridSpan w:val="3"/>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Business.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840" w:type="dxa"/>
            <w:vAlign w:val="bottom"/>
          </w:tcPr>
          <w:p>
            <w:pPr>
              <w:ind w:left="2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Item 1A.</w:t>
              </w:r>
            </w:hyperlink>
          </w:p>
        </w:tc>
        <w:tc>
          <w:tcPr>
            <w:tcW w:w="7620" w:type="dxa"/>
            <w:vAlign w:val="bottom"/>
            <w:gridSpan w:val="3"/>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Risk Factors.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840" w:type="dxa"/>
            <w:vAlign w:val="bottom"/>
          </w:tcPr>
          <w:p>
            <w:pPr>
              <w:ind w:left="2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Item 1B.</w:t>
              </w:r>
            </w:hyperlink>
          </w:p>
        </w:tc>
        <w:tc>
          <w:tcPr>
            <w:tcW w:w="7620" w:type="dxa"/>
            <w:vAlign w:val="bottom"/>
            <w:gridSpan w:val="3"/>
          </w:tcPr>
          <w:p>
            <w:pPr>
              <w:spacing w:after="0"/>
              <w:rPr>
                <w:rFonts w:ascii="Arial" w:cs="Arial" w:eastAsia="Arial" w:hAnsi="Arial"/>
                <w:sz w:val="18"/>
                <w:szCs w:val="18"/>
                <w:color w:val="0000EE"/>
              </w:rPr>
            </w:pPr>
            <w:hyperlink w:anchor="page8">
              <w:r>
                <w:rPr>
                  <w:rFonts w:ascii="Arial" w:cs="Arial" w:eastAsia="Arial" w:hAnsi="Arial"/>
                  <w:sz w:val="18"/>
                  <w:szCs w:val="18"/>
                  <w:u w:val="single" w:color="auto"/>
                  <w:color w:val="0000EE"/>
                </w:rPr>
                <w:t>Unresolved Staff Comments</w:t>
              </w:r>
              <w:r>
                <w:rPr>
                  <w:rFonts w:ascii="Arial" w:cs="Arial" w:eastAsia="Arial" w:hAnsi="Arial"/>
                  <w:sz w:val="18"/>
                  <w:szCs w:val="18"/>
                  <w:color w:val="0000EE"/>
                </w:rPr>
                <w:t>.</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840" w:type="dxa"/>
            <w:vAlign w:val="bottom"/>
          </w:tcPr>
          <w:p>
            <w:pPr>
              <w:ind w:left="2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Item 2.</w:t>
              </w:r>
            </w:hyperlink>
          </w:p>
        </w:tc>
        <w:tc>
          <w:tcPr>
            <w:tcW w:w="7620" w:type="dxa"/>
            <w:vAlign w:val="bottom"/>
            <w:gridSpan w:val="3"/>
          </w:tcPr>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Properties.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840" w:type="dxa"/>
            <w:vAlign w:val="bottom"/>
          </w:tcPr>
          <w:p>
            <w:pPr>
              <w:ind w:left="2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Item 3.</w:t>
              </w:r>
            </w:hyperlink>
          </w:p>
        </w:tc>
        <w:tc>
          <w:tcPr>
            <w:tcW w:w="7620" w:type="dxa"/>
            <w:vAlign w:val="bottom"/>
            <w:gridSpan w:val="3"/>
          </w:tcPr>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Legal Proceedings.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840" w:type="dxa"/>
            <w:vAlign w:val="bottom"/>
          </w:tcPr>
          <w:p>
            <w:pPr>
              <w:ind w:left="2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Item 4.</w:t>
              </w:r>
            </w:hyperlink>
          </w:p>
        </w:tc>
        <w:tc>
          <w:tcPr>
            <w:tcW w:w="7620" w:type="dxa"/>
            <w:vAlign w:val="bottom"/>
            <w:gridSpan w:val="3"/>
          </w:tcPr>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Mine Safety Disclosures.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432"/>
        </w:trPr>
        <w:tc>
          <w:tcPr>
            <w:tcW w:w="8460" w:type="dxa"/>
            <w:vAlign w:val="bottom"/>
            <w:gridSpan w:val="4"/>
          </w:tcPr>
          <w:p>
            <w:pPr>
              <w:ind w:left="20"/>
              <w:spacing w:after="0"/>
              <w:rPr>
                <w:rFonts w:ascii="Arial" w:cs="Arial" w:eastAsia="Arial" w:hAnsi="Arial"/>
                <w:sz w:val="18"/>
                <w:szCs w:val="18"/>
                <w:color w:val="0000EE"/>
              </w:rPr>
            </w:pPr>
            <w:hyperlink w:anchor="page10">
              <w:r>
                <w:rPr>
                  <w:rFonts w:ascii="Arial" w:cs="Arial" w:eastAsia="Arial" w:hAnsi="Arial"/>
                  <w:sz w:val="18"/>
                  <w:szCs w:val="18"/>
                  <w:u w:val="single" w:color="auto"/>
                  <w:color w:val="0000EE"/>
                </w:rPr>
                <w:t>Additional item: Executive Officers of the Registrant</w:t>
              </w:r>
              <w:r>
                <w:rPr>
                  <w:rFonts w:ascii="Arial" w:cs="Arial" w:eastAsia="Arial" w:hAnsi="Arial"/>
                  <w:sz w:val="18"/>
                  <w:szCs w:val="18"/>
                  <w:color w:val="0000EE"/>
                </w:rPr>
                <w:t>.</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432"/>
        </w:trPr>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60" w:type="dxa"/>
            <w:vAlign w:val="bottom"/>
            <w:gridSpan w:val="2"/>
          </w:tcPr>
          <w:p>
            <w:pPr>
              <w:jc w:val="center"/>
              <w:ind w:right="1120"/>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PART II</w:t>
              </w:r>
            </w:hyperlink>
          </w:p>
        </w:tc>
        <w:tc>
          <w:tcPr>
            <w:tcW w:w="460" w:type="dxa"/>
            <w:vAlign w:val="bottom"/>
          </w:tcPr>
          <w:p>
            <w:pPr>
              <w:spacing w:after="0"/>
              <w:rPr>
                <w:sz w:val="24"/>
                <w:szCs w:val="24"/>
                <w:color w:val="auto"/>
              </w:rPr>
            </w:pPr>
          </w:p>
        </w:tc>
      </w:tr>
      <w:tr>
        <w:trPr>
          <w:trHeight w:val="392"/>
        </w:trPr>
        <w:tc>
          <w:tcPr>
            <w:tcW w:w="840" w:type="dxa"/>
            <w:vAlign w:val="bottom"/>
          </w:tcPr>
          <w:p>
            <w:pPr>
              <w:ind w:left="2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Item 5.</w:t>
              </w:r>
            </w:hyperlink>
          </w:p>
        </w:tc>
        <w:tc>
          <w:tcPr>
            <w:tcW w:w="732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11">
              <w:r>
                <w:rPr>
                  <w:rFonts w:ascii="Arial" w:cs="Arial" w:eastAsia="Arial" w:hAnsi="Arial"/>
                  <w:sz w:val="18"/>
                  <w:szCs w:val="18"/>
                  <w:color w:val="0000EE"/>
                  <w:w w:val="90"/>
                </w:rPr>
                <w:t>Market for Registrant’s Common Equity, Related Shareholder Matters and Issuer Purchases of Equity</w:t>
              </w:r>
            </w:hyperlink>
          </w:p>
        </w:tc>
        <w:tc>
          <w:tcPr>
            <w:tcW w:w="3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196"/>
        </w:trPr>
        <w:tc>
          <w:tcPr>
            <w:tcW w:w="840" w:type="dxa"/>
            <w:vAlign w:val="bottom"/>
          </w:tcPr>
          <w:p>
            <w:pPr>
              <w:spacing w:after="0"/>
              <w:rPr>
                <w:sz w:val="17"/>
                <w:szCs w:val="17"/>
                <w:color w:val="auto"/>
              </w:rPr>
            </w:pPr>
          </w:p>
        </w:tc>
        <w:tc>
          <w:tcPr>
            <w:tcW w:w="76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11">
              <w:r>
                <w:rPr>
                  <w:rFonts w:ascii="Arial" w:cs="Arial" w:eastAsia="Arial" w:hAnsi="Arial"/>
                  <w:sz w:val="18"/>
                  <w:szCs w:val="18"/>
                  <w:color w:val="0000EE"/>
                  <w:w w:val="88"/>
                </w:rPr>
                <w:t>Securities.</w:t>
              </w:r>
            </w:hyperlink>
          </w:p>
        </w:tc>
        <w:tc>
          <w:tcPr>
            <w:tcW w:w="6860" w:type="dxa"/>
            <w:vAlign w:val="bottom"/>
            <w:gridSpan w:val="2"/>
          </w:tcPr>
          <w:p>
            <w:pPr>
              <w:spacing w:after="0"/>
              <w:rPr>
                <w:sz w:val="17"/>
                <w:szCs w:val="17"/>
                <w:color w:val="auto"/>
              </w:rPr>
            </w:pPr>
          </w:p>
        </w:tc>
        <w:tc>
          <w:tcPr>
            <w:tcW w:w="460" w:type="dxa"/>
            <w:vAlign w:val="bottom"/>
          </w:tcPr>
          <w:p>
            <w:pPr>
              <w:spacing w:after="0"/>
              <w:rPr>
                <w:sz w:val="17"/>
                <w:szCs w:val="17"/>
                <w:color w:val="auto"/>
              </w:rPr>
            </w:pPr>
          </w:p>
        </w:tc>
      </w:tr>
      <w:tr>
        <w:trPr>
          <w:trHeight w:val="222"/>
        </w:trPr>
        <w:tc>
          <w:tcPr>
            <w:tcW w:w="840" w:type="dxa"/>
            <w:vAlign w:val="bottom"/>
          </w:tcPr>
          <w:p>
            <w:pPr>
              <w:ind w:left="2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Item 6.</w:t>
              </w:r>
            </w:hyperlink>
          </w:p>
        </w:tc>
        <w:tc>
          <w:tcPr>
            <w:tcW w:w="7620" w:type="dxa"/>
            <w:vAlign w:val="bottom"/>
            <w:gridSpan w:val="3"/>
          </w:tcPr>
          <w:p>
            <w:pPr>
              <w:spacing w:after="0"/>
              <w:rPr>
                <w:rFonts w:ascii="Arial" w:cs="Arial" w:eastAsia="Arial" w:hAnsi="Arial"/>
                <w:sz w:val="18"/>
                <w:szCs w:val="18"/>
                <w:color w:val="0000EE"/>
              </w:rPr>
            </w:pPr>
            <w:hyperlink w:anchor="page12">
              <w:r>
                <w:rPr>
                  <w:rFonts w:ascii="Arial" w:cs="Arial" w:eastAsia="Arial" w:hAnsi="Arial"/>
                  <w:sz w:val="18"/>
                  <w:szCs w:val="18"/>
                  <w:u w:val="single" w:color="auto"/>
                  <w:color w:val="0000EE"/>
                </w:rPr>
                <w:t>Selected Financial Data</w:t>
              </w:r>
              <w:r>
                <w:rPr>
                  <w:rFonts w:ascii="Arial" w:cs="Arial" w:eastAsia="Arial" w:hAnsi="Arial"/>
                  <w:sz w:val="18"/>
                  <w:szCs w:val="18"/>
                  <w:color w:val="0000EE"/>
                </w:rPr>
                <w:t>.</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840" w:type="dxa"/>
            <w:vAlign w:val="bottom"/>
          </w:tcPr>
          <w:p>
            <w:pPr>
              <w:ind w:left="2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Item 7.</w:t>
              </w:r>
            </w:hyperlink>
          </w:p>
        </w:tc>
        <w:tc>
          <w:tcPr>
            <w:tcW w:w="7620" w:type="dxa"/>
            <w:vAlign w:val="bottom"/>
            <w:gridSpan w:val="3"/>
          </w:tcPr>
          <w:p>
            <w:pPr>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Management’s Discussion and Analysis of Financial Condition and Results of Operations.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840" w:type="dxa"/>
            <w:vAlign w:val="bottom"/>
          </w:tcPr>
          <w:p>
            <w:pPr>
              <w:ind w:left="2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Item 7A.</w:t>
              </w:r>
            </w:hyperlink>
          </w:p>
        </w:tc>
        <w:tc>
          <w:tcPr>
            <w:tcW w:w="7620" w:type="dxa"/>
            <w:vAlign w:val="bottom"/>
            <w:gridSpan w:val="3"/>
          </w:tcPr>
          <w:p>
            <w:pPr>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Quantitative and Qualitative Disclosures About Market Risk.</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840" w:type="dxa"/>
            <w:vAlign w:val="bottom"/>
          </w:tcPr>
          <w:p>
            <w:pPr>
              <w:ind w:left="20"/>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Item 8.</w:t>
              </w:r>
            </w:hyperlink>
          </w:p>
        </w:tc>
        <w:tc>
          <w:tcPr>
            <w:tcW w:w="7620" w:type="dxa"/>
            <w:vAlign w:val="bottom"/>
            <w:gridSpan w:val="3"/>
          </w:tcPr>
          <w:p>
            <w:pPr>
              <w:spacing w:after="0"/>
              <w:rPr>
                <w:rFonts w:ascii="Arial" w:cs="Arial" w:eastAsia="Arial" w:hAnsi="Arial"/>
                <w:sz w:val="18"/>
                <w:szCs w:val="18"/>
                <w:color w:val="0000EE"/>
              </w:rPr>
            </w:pPr>
            <w:hyperlink w:anchor="page13">
              <w:r>
                <w:rPr>
                  <w:rFonts w:ascii="Arial" w:cs="Arial" w:eastAsia="Arial" w:hAnsi="Arial"/>
                  <w:sz w:val="18"/>
                  <w:szCs w:val="18"/>
                  <w:u w:val="single" w:color="auto"/>
                  <w:color w:val="0000EE"/>
                </w:rPr>
                <w:t>Financial Statements and Supplementary Data</w:t>
              </w:r>
              <w:r>
                <w:rPr>
                  <w:rFonts w:ascii="Arial" w:cs="Arial" w:eastAsia="Arial" w:hAnsi="Arial"/>
                  <w:sz w:val="18"/>
                  <w:szCs w:val="18"/>
                  <w:color w:val="0000EE"/>
                </w:rPr>
                <w:t>.</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840" w:type="dxa"/>
            <w:vAlign w:val="bottom"/>
          </w:tcPr>
          <w:p>
            <w:pPr>
              <w:ind w:left="20"/>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Item 9.</w:t>
              </w:r>
            </w:hyperlink>
          </w:p>
        </w:tc>
        <w:tc>
          <w:tcPr>
            <w:tcW w:w="7620" w:type="dxa"/>
            <w:vAlign w:val="bottom"/>
            <w:gridSpan w:val="3"/>
          </w:tcPr>
          <w:p>
            <w:pPr>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Changes In and Disagreements with Accountants on Accounting and Financial Disclosure.</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840" w:type="dxa"/>
            <w:vAlign w:val="bottom"/>
          </w:tcPr>
          <w:p>
            <w:pPr>
              <w:ind w:left="20"/>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Item 9A.</w:t>
              </w:r>
            </w:hyperlink>
          </w:p>
        </w:tc>
        <w:tc>
          <w:tcPr>
            <w:tcW w:w="7620" w:type="dxa"/>
            <w:vAlign w:val="bottom"/>
            <w:gridSpan w:val="3"/>
          </w:tcPr>
          <w:p>
            <w:pPr>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Controls and Procedures.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840" w:type="dxa"/>
            <w:vAlign w:val="bottom"/>
          </w:tcPr>
          <w:p>
            <w:pPr>
              <w:ind w:left="20"/>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Item 9B.</w:t>
              </w:r>
            </w:hyperlink>
          </w:p>
        </w:tc>
        <w:tc>
          <w:tcPr>
            <w:tcW w:w="7620" w:type="dxa"/>
            <w:vAlign w:val="bottom"/>
            <w:gridSpan w:val="3"/>
          </w:tcPr>
          <w:p>
            <w:pPr>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Other Information.</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432"/>
        </w:trPr>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60" w:type="dxa"/>
            <w:vAlign w:val="bottom"/>
            <w:gridSpan w:val="2"/>
          </w:tcPr>
          <w:p>
            <w:pPr>
              <w:jc w:val="center"/>
              <w:ind w:right="1140"/>
              <w:spacing w:after="0"/>
              <w:rPr>
                <w:rFonts w:ascii="Arial" w:cs="Arial" w:eastAsia="Arial" w:hAnsi="Arial"/>
                <w:sz w:val="18"/>
                <w:szCs w:val="18"/>
                <w:b w:val="1"/>
                <w:bCs w:val="1"/>
                <w:u w:val="single" w:color="auto"/>
                <w:color w:val="0000EE"/>
              </w:rPr>
            </w:pPr>
            <w:hyperlink w:anchor="page14">
              <w:r>
                <w:rPr>
                  <w:rFonts w:ascii="Arial" w:cs="Arial" w:eastAsia="Arial" w:hAnsi="Arial"/>
                  <w:sz w:val="18"/>
                  <w:szCs w:val="18"/>
                  <w:b w:val="1"/>
                  <w:bCs w:val="1"/>
                  <w:u w:val="single" w:color="auto"/>
                  <w:color w:val="0000EE"/>
                </w:rPr>
                <w:t>PART III</w:t>
              </w:r>
            </w:hyperlink>
          </w:p>
        </w:tc>
        <w:tc>
          <w:tcPr>
            <w:tcW w:w="460" w:type="dxa"/>
            <w:vAlign w:val="bottom"/>
          </w:tcPr>
          <w:p>
            <w:pPr>
              <w:spacing w:after="0"/>
              <w:rPr>
                <w:sz w:val="24"/>
                <w:szCs w:val="24"/>
                <w:color w:val="auto"/>
              </w:rPr>
            </w:pPr>
          </w:p>
        </w:tc>
      </w:tr>
      <w:tr>
        <w:trPr>
          <w:trHeight w:val="418"/>
        </w:trPr>
        <w:tc>
          <w:tcPr>
            <w:tcW w:w="840" w:type="dxa"/>
            <w:vAlign w:val="bottom"/>
          </w:tcPr>
          <w:p>
            <w:pPr>
              <w:ind w:left="20"/>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Item 10.</w:t>
              </w:r>
            </w:hyperlink>
          </w:p>
        </w:tc>
        <w:tc>
          <w:tcPr>
            <w:tcW w:w="7620" w:type="dxa"/>
            <w:vAlign w:val="bottom"/>
            <w:gridSpan w:val="3"/>
          </w:tcPr>
          <w:p>
            <w:pPr>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Directors, Executive Officers and Corporate Governance.</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840" w:type="dxa"/>
            <w:vAlign w:val="bottom"/>
          </w:tcPr>
          <w:p>
            <w:pPr>
              <w:ind w:left="20"/>
              <w:spacing w:after="0"/>
              <w:rPr>
                <w:rFonts w:ascii="Arial" w:cs="Arial" w:eastAsia="Arial" w:hAnsi="Arial"/>
                <w:sz w:val="18"/>
                <w:szCs w:val="18"/>
                <w:color w:val="0000EE"/>
              </w:rPr>
            </w:pPr>
            <w:hyperlink w:anchor="page14">
              <w:r>
                <w:rPr>
                  <w:rFonts w:ascii="Arial" w:cs="Arial" w:eastAsia="Arial" w:hAnsi="Arial"/>
                  <w:sz w:val="18"/>
                  <w:szCs w:val="18"/>
                  <w:u w:val="single" w:color="auto"/>
                  <w:color w:val="0000EE"/>
                </w:rPr>
                <w:t>Item 11</w:t>
              </w:r>
              <w:r>
                <w:rPr>
                  <w:rFonts w:ascii="Arial" w:cs="Arial" w:eastAsia="Arial" w:hAnsi="Arial"/>
                  <w:sz w:val="18"/>
                  <w:szCs w:val="18"/>
                  <w:color w:val="0000EE"/>
                </w:rPr>
                <w:t>.</w:t>
              </w:r>
            </w:hyperlink>
          </w:p>
        </w:tc>
        <w:tc>
          <w:tcPr>
            <w:tcW w:w="7620" w:type="dxa"/>
            <w:vAlign w:val="bottom"/>
            <w:gridSpan w:val="3"/>
          </w:tcPr>
          <w:p>
            <w:pPr>
              <w:spacing w:after="0"/>
              <w:rPr>
                <w:rFonts w:ascii="Arial" w:cs="Arial" w:eastAsia="Arial" w:hAnsi="Arial"/>
                <w:sz w:val="18"/>
                <w:szCs w:val="18"/>
                <w:color w:val="0000EE"/>
              </w:rPr>
            </w:pPr>
            <w:hyperlink w:anchor="page14">
              <w:r>
                <w:rPr>
                  <w:rFonts w:ascii="Arial" w:cs="Arial" w:eastAsia="Arial" w:hAnsi="Arial"/>
                  <w:sz w:val="18"/>
                  <w:szCs w:val="18"/>
                  <w:u w:val="single" w:color="auto"/>
                  <w:color w:val="0000EE"/>
                </w:rPr>
                <w:t>Executive Compensation</w:t>
              </w:r>
              <w:r>
                <w:rPr>
                  <w:rFonts w:ascii="Arial" w:cs="Arial" w:eastAsia="Arial" w:hAnsi="Arial"/>
                  <w:sz w:val="18"/>
                  <w:szCs w:val="18"/>
                  <w:color w:val="0000EE"/>
                </w:rPr>
                <w:t>.</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840" w:type="dxa"/>
            <w:vAlign w:val="bottom"/>
          </w:tcPr>
          <w:p>
            <w:pPr>
              <w:ind w:left="20"/>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Item 12.</w:t>
              </w:r>
            </w:hyperlink>
          </w:p>
        </w:tc>
        <w:tc>
          <w:tcPr>
            <w:tcW w:w="7620" w:type="dxa"/>
            <w:vAlign w:val="bottom"/>
            <w:gridSpan w:val="3"/>
          </w:tcPr>
          <w:p>
            <w:pPr>
              <w:spacing w:after="0"/>
              <w:rPr>
                <w:rFonts w:ascii="Arial" w:cs="Arial" w:eastAsia="Arial" w:hAnsi="Arial"/>
                <w:sz w:val="18"/>
                <w:szCs w:val="18"/>
                <w:u w:val="single" w:color="auto"/>
                <w:color w:val="0000EE"/>
                <w:w w:val="93"/>
              </w:rPr>
            </w:pPr>
            <w:hyperlink w:anchor="page14">
              <w:r>
                <w:rPr>
                  <w:rFonts w:ascii="Arial" w:cs="Arial" w:eastAsia="Arial" w:hAnsi="Arial"/>
                  <w:sz w:val="18"/>
                  <w:szCs w:val="18"/>
                  <w:u w:val="single" w:color="auto"/>
                  <w:color w:val="0000EE"/>
                  <w:w w:val="93"/>
                </w:rPr>
                <w:t>Security Ownership of Certain Beneficial Owners and Management and Related Shareholder Matters.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840" w:type="dxa"/>
            <w:vAlign w:val="bottom"/>
          </w:tcPr>
          <w:p>
            <w:pPr>
              <w:ind w:left="20"/>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Item 13.</w:t>
              </w:r>
            </w:hyperlink>
          </w:p>
        </w:tc>
        <w:tc>
          <w:tcPr>
            <w:tcW w:w="7620" w:type="dxa"/>
            <w:vAlign w:val="bottom"/>
            <w:gridSpan w:val="3"/>
          </w:tcPr>
          <w:p>
            <w:pPr>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Certain Relationships and Related Transactions, and Director Independence.</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840" w:type="dxa"/>
            <w:vAlign w:val="bottom"/>
          </w:tcPr>
          <w:p>
            <w:pPr>
              <w:ind w:left="20"/>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Item 14.</w:t>
              </w:r>
            </w:hyperlink>
          </w:p>
        </w:tc>
        <w:tc>
          <w:tcPr>
            <w:tcW w:w="7620" w:type="dxa"/>
            <w:vAlign w:val="bottom"/>
            <w:gridSpan w:val="3"/>
          </w:tcPr>
          <w:p>
            <w:pPr>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Principal Accountant Fees and Services.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432"/>
        </w:trPr>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60" w:type="dxa"/>
            <w:vAlign w:val="bottom"/>
            <w:gridSpan w:val="2"/>
          </w:tcPr>
          <w:p>
            <w:pPr>
              <w:jc w:val="center"/>
              <w:ind w:right="1140"/>
              <w:spacing w:after="0"/>
              <w:rPr>
                <w:rFonts w:ascii="Arial" w:cs="Arial" w:eastAsia="Arial" w:hAnsi="Arial"/>
                <w:sz w:val="18"/>
                <w:szCs w:val="18"/>
                <w:b w:val="1"/>
                <w:bCs w:val="1"/>
                <w:u w:val="single" w:color="auto"/>
                <w:color w:val="0000EE"/>
              </w:rPr>
            </w:pPr>
            <w:hyperlink w:anchor="page15">
              <w:r>
                <w:rPr>
                  <w:rFonts w:ascii="Arial" w:cs="Arial" w:eastAsia="Arial" w:hAnsi="Arial"/>
                  <w:sz w:val="18"/>
                  <w:szCs w:val="18"/>
                  <w:b w:val="1"/>
                  <w:bCs w:val="1"/>
                  <w:u w:val="single" w:color="auto"/>
                  <w:color w:val="0000EE"/>
                </w:rPr>
                <w:t>PART IV</w:t>
              </w:r>
            </w:hyperlink>
          </w:p>
        </w:tc>
        <w:tc>
          <w:tcPr>
            <w:tcW w:w="460" w:type="dxa"/>
            <w:vAlign w:val="bottom"/>
          </w:tcPr>
          <w:p>
            <w:pPr>
              <w:spacing w:after="0"/>
              <w:rPr>
                <w:sz w:val="24"/>
                <w:szCs w:val="24"/>
                <w:color w:val="auto"/>
              </w:rPr>
            </w:pPr>
          </w:p>
        </w:tc>
      </w:tr>
      <w:tr>
        <w:trPr>
          <w:trHeight w:val="432"/>
        </w:trPr>
        <w:tc>
          <w:tcPr>
            <w:tcW w:w="840" w:type="dxa"/>
            <w:vAlign w:val="bottom"/>
          </w:tcPr>
          <w:p>
            <w:pPr>
              <w:ind w:left="20"/>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Item 15.</w:t>
              </w:r>
            </w:hyperlink>
          </w:p>
        </w:tc>
        <w:tc>
          <w:tcPr>
            <w:tcW w:w="7620" w:type="dxa"/>
            <w:vAlign w:val="bottom"/>
            <w:gridSpan w:val="3"/>
          </w:tcPr>
          <w:p>
            <w:pPr>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Exhibits, Financial Statement Schedules.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878"/>
        </w:trPr>
        <w:tc>
          <w:tcPr>
            <w:tcW w:w="840" w:type="dxa"/>
            <w:vAlign w:val="bottom"/>
          </w:tcPr>
          <w:p>
            <w:pPr>
              <w:spacing w:after="0"/>
              <w:rPr>
                <w:sz w:val="24"/>
                <w:szCs w:val="24"/>
                <w:color w:val="auto"/>
              </w:rPr>
            </w:pPr>
          </w:p>
        </w:tc>
        <w:tc>
          <w:tcPr>
            <w:tcW w:w="7320" w:type="dxa"/>
            <w:vAlign w:val="bottom"/>
            <w:gridSpan w:val="2"/>
          </w:tcPr>
          <w:p>
            <w:pPr>
              <w:jc w:val="center"/>
              <w:spacing w:after="0"/>
              <w:rPr>
                <w:sz w:val="20"/>
                <w:szCs w:val="20"/>
                <w:color w:val="auto"/>
              </w:rPr>
            </w:pPr>
            <w:r>
              <w:rPr>
                <w:rFonts w:ascii="Arial" w:cs="Arial" w:eastAsia="Arial" w:hAnsi="Arial"/>
                <w:sz w:val="18"/>
                <w:szCs w:val="18"/>
                <w:color w:val="auto"/>
                <w:w w:val="79"/>
              </w:rPr>
              <w:t>1</w:t>
            </w: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560"/>
        </w:trPr>
        <w:tc>
          <w:tcPr>
            <w:tcW w:w="8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48"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239"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1. Business.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General Development of the Business.</w:t>
      </w:r>
    </w:p>
    <w:p>
      <w:pPr>
        <w:spacing w:after="0" w:line="229" w:lineRule="exact"/>
        <w:rPr>
          <w:sz w:val="20"/>
          <w:szCs w:val="20"/>
          <w:color w:val="auto"/>
        </w:rPr>
      </w:pPr>
    </w:p>
    <w:p>
      <w:pPr>
        <w:jc w:val="both"/>
        <w:ind w:left="60" w:right="79"/>
        <w:spacing w:after="0" w:line="279" w:lineRule="auto"/>
        <w:rPr>
          <w:sz w:val="20"/>
          <w:szCs w:val="20"/>
          <w:color w:val="auto"/>
        </w:rPr>
      </w:pPr>
      <w:r>
        <w:rPr>
          <w:rFonts w:ascii="Arial" w:cs="Arial" w:eastAsia="Arial" w:hAnsi="Arial"/>
          <w:sz w:val="17"/>
          <w:szCs w:val="17"/>
          <w:color w:val="auto"/>
        </w:rPr>
        <w:t>UFP Industries, Inc. (“we” or “our”) is a holding company with subsidiaries throughout North America, Europe, Asia, and Australia that supply products primarily manufactured from wood, wood and non-wood composites, and other materials to three markets: retail, industrial, and construction. We are headquartered in Grand Rapids, Michigan. For more information about UFP Industries, Inc., or our affiliated operations, go to www.ufpi.com.</w:t>
      </w:r>
    </w:p>
    <w:p>
      <w:pPr>
        <w:spacing w:after="0" w:line="171"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Information relating to current developments in our business is incorporated by reference from our Annual Report to Shareholders for the fiscal year ended December 26, 2020 ("2020 Annual Report") under the caption "Management’s Discussion and Analysis of Financial Condition and Results of Operations." Selected portions of the 2020 Annual Report are filed as Exhibit 13 with this Form 10-K Report.</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Financial Information About Segments.</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 xml:space="preserve">ASC 280,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(“ASC 280”) defines operating segments as components of an enterprise about which separate financial information is available that is evaluated regularly by the chief operating decision maker in deciding how to allocate resources and in assessing performance.</w:t>
      </w:r>
    </w:p>
    <w:p>
      <w:pPr>
        <w:spacing w:after="0" w:line="184" w:lineRule="exact"/>
        <w:rPr>
          <w:sz w:val="20"/>
          <w:szCs w:val="20"/>
          <w:color w:val="auto"/>
        </w:rPr>
      </w:pPr>
    </w:p>
    <w:p>
      <w:pPr>
        <w:ind w:left="60" w:right="79"/>
        <w:spacing w:after="0" w:line="287" w:lineRule="auto"/>
        <w:rPr>
          <w:sz w:val="20"/>
          <w:szCs w:val="20"/>
          <w:color w:val="auto"/>
        </w:rPr>
      </w:pPr>
      <w:r>
        <w:rPr>
          <w:rFonts w:ascii="Arial" w:cs="Arial" w:eastAsia="Arial" w:hAnsi="Arial"/>
          <w:sz w:val="16"/>
          <w:szCs w:val="16"/>
          <w:color w:val="auto"/>
        </w:rPr>
        <w:t>Effective January 1, 2020, we re-organized around the markets we serve rather than geography. Our new business segments align with the following markets: UFP Retail Solutions, UFP Construction and UFP Industrial. Among other things, this change allows for a more specialized and consistent sales approach among Company operations, more efficient use of resources and capital, and quicker introduction of new products and services. We manage the operations of our individual locations primarily through a market-centered reporting structure under which each location is included in a business unit and business units are included in our Retail, Industrial, and Construction segments. The exception to this market-centered reporting and management structure is the Company’s International segment, which comprises our Mexico, Canada, and Australia operations and sales and buying offices in other parts of the world. Our International segment and Ardellis (our insurance captive) are referred to as “All Other” throughout this report. The Corporate segment includes purchasing, transportation and administrative functions that serve our operating segments. Operating results of Corporate primarily consists of over (under) allocated costs, the operating results of UFP Real Estate, Inc., which owns and leases real estate, and UFP Transportation Ltd., which owns and leases transportation equipment.</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Narrative Description of Business.</w:t>
      </w:r>
    </w:p>
    <w:p>
      <w:pPr>
        <w:spacing w:after="0" w:line="229"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We design, manufacture and market wood and wood-alternative products for national home centers and other retailers; structural lumber, engineered components, and other products for the manufactured housing industry and for residential and commercial construction; specialty wood packaging, protective packaging, and components for various industries; and customized interior fixtures used in a variety of retail and commercial structures. Each of our segments, Retail, Industrial and Construction, are discussed in the paragraphs that follow.</w:t>
      </w:r>
    </w:p>
    <w:p>
      <w:pPr>
        <w:spacing w:after="0" w:line="176"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u w:val="single" w:color="auto"/>
          <w:color w:val="auto"/>
        </w:rPr>
        <w:t>Retail segment</w:t>
      </w:r>
      <w:r>
        <w:rPr>
          <w:rFonts w:ascii="Arial" w:cs="Arial" w:eastAsia="Arial" w:hAnsi="Arial"/>
          <w:sz w:val="17"/>
          <w:szCs w:val="17"/>
          <w:color w:val="auto"/>
        </w:rPr>
        <w:t>. The customers comprising this segment are national home center retailers, retail-oriented regional lumberyards and contractor-oriented lumberyards. Generally, terms of sale are established for annual or bi-annual periods, and orders are placed with our regional facilities in accordance with established terms. One customer, The Home Depot, accounted for approximately 24% of our total net sales in fiscal 2020 and 19% in 2019 and 2018.</w:t>
      </w:r>
    </w:p>
    <w:p>
      <w:pPr>
        <w:spacing w:after="0" w:line="171"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We currently supply customers in this segment from many of our locations. These regional facilities are able to supply mixed truckloads of products which can be delivered to customers with rapid turnaround from receipt of an order. Freight costs are a factor in the ability to competitively service this market, especially with treated wood products because of their heavier weight. The close proximity of our regional facilities to the various outlets of these customers is a factor when negotiating annual sales programs.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48" w:right="1440" w:bottom="1440" w:gutter="0" w:footer="0" w:header="0"/>
        </w:sectPr>
      </w:pPr>
    </w:p>
    <w:bookmarkStart w:id="3" w:name="page4"/>
    <w:bookmarkEnd w:id="3"/>
    <w:p>
      <w:pPr>
        <w:jc w:val="both"/>
        <w:ind w:left="60" w:right="59"/>
        <w:spacing w:after="0" w:line="273" w:lineRule="auto"/>
        <w:rPr>
          <w:sz w:val="20"/>
          <w:szCs w:val="20"/>
          <w:color w:val="auto"/>
        </w:rPr>
      </w:pPr>
      <w:r>
        <w:rPr>
          <w:rFonts w:ascii="Arial" w:cs="Arial" w:eastAsia="Arial" w:hAnsi="Arial"/>
          <w:sz w:val="17"/>
          <w:szCs w:val="17"/>
          <w:color w:val="auto"/>
        </w:rPr>
        <w:t>The products offered to customers in this segment include dimensional lumber (both preserved and unpreserved) and various "value-added products," some of which are sold under our trademarks. In addition to our conventional lumber products, we offer a large portfolio of outdoor living products, including wood and wood composite decking and related accessories and decorative lawn and garden products. Products sold to this segment include those sold under the following trademarks: ProWood, Deckorators, UFP-Edge, Outdoor Essentials, Dimensions, and ProWood FR. These product categories also comprise the business units within our retail segment.</w:t>
      </w:r>
    </w:p>
    <w:p>
      <w:pPr>
        <w:spacing w:after="0" w:line="178"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We are not aware of any competitor that currently manufactures, treats and distributes a full line of both value-added and commodity-based products on a national basis as we do within our retail segment. We face competition on individual products from several different producers, but the majority of these competitors tend to be regional in their efforts and/or do not offer a full line of outdoor lumber products. We believe the breadth of our product offering, geographic dispersion, close proximity of our plants to core customers, purchasing and manufacturing expertise, and service capabilities provide competitive advantages in this market.</w:t>
      </w:r>
    </w:p>
    <w:p>
      <w:pPr>
        <w:spacing w:after="0" w:line="192"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u w:val="single" w:color="auto"/>
          <w:color w:val="auto"/>
        </w:rPr>
        <w:t>Industrial segment</w:t>
      </w:r>
      <w:r>
        <w:rPr>
          <w:rFonts w:ascii="Arial" w:cs="Arial" w:eastAsia="Arial" w:hAnsi="Arial"/>
          <w:sz w:val="17"/>
          <w:szCs w:val="17"/>
          <w:color w:val="auto"/>
        </w:rPr>
        <w:t>. We define our industrial segment as manufacturers and agricultural customers who use pallets, specialty crates, wooden boxes, and other containers used for packaging, shipping and material handling purposes, as well as various other products, including protective packaging, used in a variety of different applications. Many of the wood-based products sold to this market may be produced from the wood by-product of other manufactured products, thereby allowing us to increase our raw material yields while expanding our business. Competition is fragmented and includes virtually every supplier of lumber convenient to the customer. We service this segment with our dedicated local sales teams and through national sales support efforts.</w:t>
      </w:r>
    </w:p>
    <w:p>
      <w:pPr>
        <w:spacing w:after="0" w:line="177"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u w:val="single" w:color="auto"/>
          <w:color w:val="auto"/>
        </w:rPr>
        <w:t>Construction segment.</w:t>
      </w:r>
      <w:r>
        <w:rPr>
          <w:rFonts w:ascii="Arial" w:cs="Arial" w:eastAsia="Arial" w:hAnsi="Arial"/>
          <w:sz w:val="18"/>
          <w:szCs w:val="18"/>
          <w:color w:val="auto"/>
        </w:rPr>
        <w:t xml:space="preserve"> Our construction segment is made up of customers in four markets – factory-built housing, site-built residential construction, concrete forming, and commercial construction, which represent the business units of our construction segment.</w:t>
      </w:r>
    </w:p>
    <w:p>
      <w:pPr>
        <w:spacing w:after="0" w:line="184"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The customers comprising the factory-built housing market are producers of mobile, modular and prefabricated homes and recreational vehicles (RV). Products sold to customers in this market consist primarily of roof trusses, lumber cut and shaped to the customer’s specification, plywood, oriented strand board and dimensional lumber, all intended for use in the construction of manufactured housing. Sales are made by personnel located at each regional facility based on customer orders. Our principal competitive advantages include our product knowledge, the strength of our engineering support services, the close proximity of our regional facilities to our customers, our purchasing and manufacturing expertise and our ability to provide national sales programs to certain customers. We also distribute products such as siding, electrical and plumbing products to factory-built housing and RV customers.</w:t>
      </w:r>
    </w:p>
    <w:p>
      <w:pPr>
        <w:spacing w:after="0" w:line="178"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The customers comprising the site-built residential construction market are primarily large-volume, multi-tract builders and smaller volume custom builders. We also supply builders engaged in multi-family and light commercial construction. Competition in this market is primarily fragmented, but we do compete with a small number of national and regional retail contractor yards who also manufacture components and provide framing services, as well as regional manufacturers of components. We believe our primary competitive advantages relate to the engineering and design capabilities of our regional staff, purchasing and manufacturing expertise, product quality, timeliness of delivery, and financial strength. We believe that providing a comprehensive turn-key package, including installation, provides a competitive advantage. Generally, terms of sale and pricing are determined based on contracts we entered into with our customers. We currently supply customers in these markets from manufacturing facilities located in many different states. These facilities manufacture various engineered wood components used to frame residential or light commercial projects, including roof and floor trusses, wall panels, I-joists and lumber packages. Freight costs are a factor in the ability to competitively service this market due to the space requirements of these products on each truckload. We also provide framing services for builders in certain regional markets, in which we erect the wood structure.</w:t>
      </w:r>
    </w:p>
    <w:p>
      <w:pPr>
        <w:spacing w:after="0" w:line="174"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Our commercial business unit primarily includes the operations of idX Holdings, Inc. ("idX"). idX is a designer, manufacturer and installer of highly customized interior fixtures, casework and millwork used in a variety of retail and commercial structures representing several end markets.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 w:name="page5"/>
    <w:bookmarkEnd w:id="4"/>
    <w:p>
      <w:pPr>
        <w:jc w:val="both"/>
        <w:ind w:left="60" w:right="79"/>
        <w:spacing w:after="0" w:line="277" w:lineRule="auto"/>
        <w:rPr>
          <w:sz w:val="20"/>
          <w:szCs w:val="20"/>
          <w:color w:val="auto"/>
        </w:rPr>
      </w:pPr>
      <w:r>
        <w:rPr>
          <w:rFonts w:ascii="Arial" w:cs="Arial" w:eastAsia="Arial" w:hAnsi="Arial"/>
          <w:sz w:val="18"/>
          <w:szCs w:val="18"/>
          <w:color w:val="auto"/>
        </w:rPr>
        <w:t>Finally, we supply wood forms and related products to set or form concrete for various structures, including large parking garages, stadiums and bridges, to our concrete forming customers.</w:t>
      </w:r>
    </w:p>
    <w:p>
      <w:pPr>
        <w:spacing w:after="0" w:line="170"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u w:val="single" w:color="auto"/>
          <w:color w:val="auto"/>
        </w:rPr>
        <w:t>Suppliers</w:t>
      </w:r>
      <w:r>
        <w:rPr>
          <w:rFonts w:ascii="Arial" w:cs="Arial" w:eastAsia="Arial" w:hAnsi="Arial"/>
          <w:sz w:val="17"/>
          <w:szCs w:val="17"/>
          <w:color w:val="auto"/>
        </w:rPr>
        <w:t>. We are one of the largest domestic buyers of solid sawn softwood lumber from primary producers (lumber mills). We use primarily southern yellow pine in our pressure-treating operations and site-built component plants in the Southeastern United States, which we obtain from mills located throughout the states comprising the Sunbelt. Other species we use include "spruce-pine-fir" from various provinces in Canada; hemlock, douglas fir and cedar from the Pacific Northwest; inland species of pine, plantation grown radiata and southern yellow pines from South America; and European spruce. Our annual purchases of lumber are approximately $2.0 billion and consist of the following species and their respective percent of total lumber purchases: southern yellow pine (62%), spruce-pine-fir (18%), and douglas fir (3%), while the remaining 17% of lumber purchases comprise various other species and imports outside of North America. Additionally, we purchase approximately $0.5 billion in plywood on an annual basis. There are numerous primary producers for all varieties we use, and we are not dependent on any particular source of supply. Our financial resources and size, in combination with our strong sales network and ability to remanufacture lumber, enable us to purchase a large percentage of a primary producer’s output (as opposed to only those dimensions or grades in immediate need), thereby lowering our average cost of raw materials and allowing us to obtain favorable programs such as consigned inventory. We believe this represents a competitive advantage.</w:t>
      </w:r>
    </w:p>
    <w:p>
      <w:pPr>
        <w:spacing w:after="0" w:line="184"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u w:val="single" w:color="auto"/>
          <w:color w:val="auto"/>
        </w:rPr>
        <w:t>Intellectual Property</w:t>
      </w:r>
      <w:r>
        <w:rPr>
          <w:rFonts w:ascii="Arial" w:cs="Arial" w:eastAsia="Arial" w:hAnsi="Arial"/>
          <w:sz w:val="18"/>
          <w:szCs w:val="18"/>
          <w:color w:val="auto"/>
        </w:rPr>
        <w:t>. We own several patents and have several patents pending on technologies related to our business. In addition, we own numerous registered trademarks and claim common law trademark rights to several others. As we develop proprietary brands, we may pursue registration or other formal protection. While we believe our patent and trademark rights are valuable, the loss of a patent or any trademark would not be likely to have a material adverse impact on our competitive position.</w:t>
      </w:r>
    </w:p>
    <w:p>
      <w:pPr>
        <w:spacing w:after="0" w:line="188"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u w:val="single" w:color="auto"/>
          <w:color w:val="auto"/>
        </w:rPr>
        <w:t>Backlog</w:t>
      </w:r>
      <w:r>
        <w:rPr>
          <w:rFonts w:ascii="Arial" w:cs="Arial" w:eastAsia="Arial" w:hAnsi="Arial"/>
          <w:sz w:val="17"/>
          <w:szCs w:val="17"/>
          <w:color w:val="auto"/>
        </w:rPr>
        <w:t>. Due to the nature of our retail and industrial businesses, backlog information is not meaningful. The maximum time between receipt of a firm order and shipment does not usually exceed a few days. Therefore, we would not normally have a backlog of unfilled orders in a material amount. The relationships with our major customers are such that we are either the exclusive supplier of certain products and/or certain geographic areas, or the designated source for a specified portion of the customer’s requirements. In such cases, either we are able to forecast the customer’s requirements, or the customer may provide an estimate of its future needs. In neither case, however, will we receive firm orders until just prior to the anticipated delivery dates for the products in question.</w:t>
      </w:r>
    </w:p>
    <w:p>
      <w:pPr>
        <w:spacing w:after="0" w:line="177"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On December 26, 2020 and December 28, 2019, we estimate that backlog orders associated with our customized interior fixture businesses approximated $65.2 million and $75.0 million, respectively. With respect to the former, we expect that these orders will be primarily filled within the next fiscal year; however, it is possible that some orders could be canceled.</w:t>
      </w:r>
    </w:p>
    <w:p>
      <w:pPr>
        <w:spacing w:after="0" w:line="149"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On December 26, 2020 and December 28, 2019, we estimate that backlog orders associated with our construction businesses approximated $106.0 million and $110.1 million, respectively. With respect to the former, we expect that these orders will be primarily filled within the next fiscal year; however, it is possible that some orders could be canceled.</w:t>
      </w:r>
    </w:p>
    <w:p>
      <w:pPr>
        <w:spacing w:after="0" w:line="14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u w:val="single" w:color="auto"/>
          <w:color w:val="auto"/>
        </w:rPr>
        <w:t>Environmental</w:t>
      </w:r>
      <w:r>
        <w:rPr>
          <w:rFonts w:ascii="Arial" w:cs="Arial" w:eastAsia="Arial" w:hAnsi="Arial"/>
          <w:sz w:val="18"/>
          <w:szCs w:val="18"/>
          <w:color w:val="auto"/>
        </w:rPr>
        <w:t>. Information required for environmental disclosures is incorporated by reference from Note L of the Consolidated Financial Statements presented under Item 8 herein.</w:t>
      </w:r>
    </w:p>
    <w:p>
      <w:pPr>
        <w:spacing w:after="0" w:line="170"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u w:val="single" w:color="auto"/>
          <w:color w:val="auto"/>
        </w:rPr>
        <w:t>Seasonality</w:t>
      </w:r>
      <w:r>
        <w:rPr>
          <w:rFonts w:ascii="Arial" w:cs="Arial" w:eastAsia="Arial" w:hAnsi="Arial"/>
          <w:sz w:val="18"/>
          <w:szCs w:val="18"/>
          <w:color w:val="auto"/>
        </w:rPr>
        <w:t>. Information required for seasonality disclosures is incorporated by reference from Item 1A. Risk Factors under the caption “</w:t>
      </w:r>
      <w:r>
        <w:rPr>
          <w:rFonts w:ascii="Arial" w:cs="Arial" w:eastAsia="Arial" w:hAnsi="Arial"/>
          <w:sz w:val="18"/>
          <w:szCs w:val="18"/>
          <w:i w:val="1"/>
          <w:iCs w:val="1"/>
          <w:color w:val="auto"/>
        </w:rPr>
        <w:t>Seasonality and weather conditions could adversely affect us</w:t>
      </w:r>
      <w:r>
        <w:rPr>
          <w:rFonts w:ascii="Arial" w:cs="Arial" w:eastAsia="Arial" w:hAnsi="Arial"/>
          <w:sz w:val="18"/>
          <w:szCs w:val="18"/>
          <w:color w:val="auto"/>
        </w:rPr>
        <w:t>.”</w:t>
      </w:r>
    </w:p>
    <w:p>
      <w:pPr>
        <w:spacing w:after="0" w:line="170"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u w:val="single" w:color="auto"/>
          <w:color w:val="auto"/>
        </w:rPr>
        <w:t>Employees</w:t>
      </w:r>
      <w:r>
        <w:rPr>
          <w:rFonts w:ascii="Arial" w:cs="Arial" w:eastAsia="Arial" w:hAnsi="Arial"/>
          <w:sz w:val="17"/>
          <w:szCs w:val="17"/>
          <w:color w:val="auto"/>
        </w:rPr>
        <w:t>. On December 26, 2020, we had approximately 12,000 employees. For over 65 years, the success of our company has rested on the skill, motivation and performance of our employees. We treat our people honestly and fairly, creating career paths and training opportunities to develop and expand their scope of responsibilities and financial rewards. This approach to human capital, which is embedded in the Company's culture, has fostered an environment where our employees often commit their respective careers to UFP Industries, Inc.</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 w:name="page6"/>
    <w:bookmarkEnd w:id="5"/>
    <w:p>
      <w:pPr>
        <w:ind w:left="60"/>
        <w:spacing w:after="0"/>
        <w:rPr>
          <w:sz w:val="20"/>
          <w:szCs w:val="20"/>
          <w:color w:val="auto"/>
        </w:rPr>
      </w:pPr>
      <w:r>
        <w:rPr>
          <w:rFonts w:ascii="Arial" w:cs="Arial" w:eastAsia="Arial" w:hAnsi="Arial"/>
          <w:sz w:val="18"/>
          <w:szCs w:val="18"/>
          <w:b w:val="1"/>
          <w:bCs w:val="1"/>
          <w:u w:val="single" w:color="auto"/>
          <w:color w:val="auto"/>
        </w:rPr>
        <w:t>Available Information.</w:t>
      </w:r>
    </w:p>
    <w:p>
      <w:pPr>
        <w:spacing w:after="0" w:line="229"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Our Internet address is www.ufpi.com. Through our Internet website under "Financial Information" in the Investor Relations section, we make available free of charge, as soon as reasonably practical after such information has been filed with the SEC, our annual report on Form 10-K, quarterly reports on Form 10-Q, current reports on Form 8-K, and amendments to those reports filed pursuant to Section 13(a) or 15(d) of the Securities Exchange Act. Also available through our Internet website under "Corporate Governance" in the Investor Relations section is our Code of Ethics for Senior Financial Officers.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Reports to Security Holders.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Enforceability of Civil Liabilities Against Foreign Persons.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229"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b w:val="1"/>
          <w:bCs w:val="1"/>
          <w:i w:val="1"/>
          <w:iCs w:val="1"/>
          <w:color w:val="auto"/>
        </w:rPr>
        <w:t xml:space="preserve">We may be impacted by a significant change in the value of the U.S. dollar. </w:t>
      </w:r>
      <w:r>
        <w:rPr>
          <w:rFonts w:ascii="Arial" w:cs="Arial" w:eastAsia="Arial" w:hAnsi="Arial"/>
          <w:sz w:val="17"/>
          <w:szCs w:val="17"/>
          <w:color w:val="auto"/>
        </w:rPr>
        <w:t>We purchase a variety of raw materials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finished goods from sources around the world and export certain products. The impact of a change in U.S. dollar exchange rates would impact our import purchases and export sales, which totaled $585.7 million and $116.8 million, respectively, in 2020. In addition, many of our industrial customers export their products.</w:t>
      </w:r>
    </w:p>
    <w:p>
      <w:pPr>
        <w:spacing w:after="0" w:line="171"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b w:val="1"/>
          <w:bCs w:val="1"/>
          <w:i w:val="1"/>
          <w:iCs w:val="1"/>
          <w:color w:val="auto"/>
        </w:rPr>
        <w:t>We are subject to fluctuations in the price of lumber</w:t>
      </w:r>
      <w:r>
        <w:rPr>
          <w:rFonts w:ascii="Arial" w:cs="Arial" w:eastAsia="Arial" w:hAnsi="Arial"/>
          <w:sz w:val="17"/>
          <w:szCs w:val="17"/>
          <w:color w:val="auto"/>
        </w:rPr>
        <w:t>. We experience significant fluctuations in the cost of commodity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lumber products from primary producers (the "Lumber Market"). A variety of factors over which we have no control, including government and environmental regulations, weather conditions, economic conditions, and natural disasters, impact the cost of lumber products and our selling prices. While we attempt to minimize our risk from severe price fluctuations, substantial, prolonged trends in lumber prices can affect our sales, cost of materials, and gross profits. Our products are generally priced to the customer based on a quoted, fixed selling price or "indexed" to the Lumber Market with a fixed dollar adder to cover conversion costs and profit. The impact on our profitability from changes in lumber prices is discussed in the “Historical Lumber Prices” and "Impact of the Lumber Market on Our Operating Results" captions of our Management’s Discussion and Analysis of Financial Condition and Results of Operations section under Item 7 of this Form 10-K. Our lumber costs, including plywood, as a percentage of net sales were 51.0%, 43.4%, and 51.5% in 2020, 2019, and 2018, respectively.</w:t>
      </w:r>
    </w:p>
    <w:p>
      <w:pPr>
        <w:spacing w:after="0" w:line="182"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 xml:space="preserve">Our growth may be limited by the markets we serve, including our construction market which is highly cyclical. </w:t>
      </w:r>
      <w:r>
        <w:rPr>
          <w:rFonts w:ascii="Arial" w:cs="Arial" w:eastAsia="Arial" w:hAnsi="Arial"/>
          <w:sz w:val="18"/>
          <w:szCs w:val="18"/>
          <w:color w:val="auto"/>
        </w:rPr>
        <w:t>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sales growth is dependent, in part, upon the growth of the markets we serve. If our markets do not achieve anticipated growth, or if we fail to maintain our market share, financial results could be impaired.</w:t>
      </w:r>
    </w:p>
    <w:p>
      <w:pPr>
        <w:spacing w:after="0" w:line="184"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A significant portion of our sales are concentrated with one customer</w:t>
      </w:r>
      <w:r>
        <w:rPr>
          <w:rFonts w:ascii="Arial" w:cs="Arial" w:eastAsia="Arial" w:hAnsi="Arial"/>
          <w:sz w:val="18"/>
          <w:szCs w:val="18"/>
          <w:color w:val="auto"/>
        </w:rPr>
        <w:t>. Our sales to The Home Depot comprised 24%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total net sales in fiscal 2020 and 19% in 2019 and 2018.</w:t>
      </w:r>
    </w:p>
    <w:p>
      <w:pPr>
        <w:spacing w:after="0" w:line="170" w:lineRule="exact"/>
        <w:rPr>
          <w:sz w:val="20"/>
          <w:szCs w:val="20"/>
          <w:color w:val="auto"/>
        </w:rPr>
      </w:pPr>
    </w:p>
    <w:p>
      <w:pPr>
        <w:jc w:val="both"/>
        <w:ind w:left="60" w:right="79"/>
        <w:spacing w:after="0" w:line="286" w:lineRule="auto"/>
        <w:rPr>
          <w:sz w:val="20"/>
          <w:szCs w:val="20"/>
          <w:color w:val="auto"/>
        </w:rPr>
      </w:pPr>
      <w:r>
        <w:rPr>
          <w:rFonts w:ascii="Arial" w:cs="Arial" w:eastAsia="Arial" w:hAnsi="Arial"/>
          <w:sz w:val="17"/>
          <w:szCs w:val="17"/>
          <w:b w:val="1"/>
          <w:bCs w:val="1"/>
          <w:i w:val="1"/>
          <w:iCs w:val="1"/>
          <w:color w:val="auto"/>
        </w:rPr>
        <w:t xml:space="preserve">We may be impacted by vertical integration strategies. </w:t>
      </w:r>
      <w:r>
        <w:rPr>
          <w:rFonts w:ascii="Arial" w:cs="Arial" w:eastAsia="Arial" w:hAnsi="Arial"/>
          <w:sz w:val="17"/>
          <w:szCs w:val="17"/>
          <w:color w:val="auto"/>
        </w:rPr>
        <w:t>In certain markets and product lines, our customers or vendors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could pursue vertical integration strategies that could have an adverse effect on our sales. We strive to add value and be a low-cost producer while maintaining competitive pricing in each of our markets to mitigate this risk.</w:t>
      </w:r>
    </w:p>
    <w:p>
      <w:pPr>
        <w:spacing w:after="0" w:line="165"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b w:val="1"/>
          <w:bCs w:val="1"/>
          <w:i w:val="1"/>
          <w:iCs w:val="1"/>
          <w:color w:val="auto"/>
        </w:rPr>
        <w:t xml:space="preserve">We may be impacted by industry capacity of products we supply. </w:t>
      </w:r>
      <w:r>
        <w:rPr>
          <w:rFonts w:ascii="Arial" w:cs="Arial" w:eastAsia="Arial" w:hAnsi="Arial"/>
          <w:sz w:val="18"/>
          <w:szCs w:val="18"/>
          <w:color w:val="auto"/>
        </w:rPr>
        <w:t>From time to time, we may experience excess capacity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among suppliers of certain products in some of the markets we serve. Our selling prices and gross margins have been and are likely to continue to be impacted by industry excess capacity. Conversely, we may experience limited capacity among suppliers of certain products, for example, many of our suppliers reduced their manufacturing capacity in response to the anticipated reduction in demand from the recent COVID-19 pandemic, which in turn impacted our ability to fulfill all of our customers’ orders. Our suppliers are currently taking actions to increase capacity to meet expectations of future demand.</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6" w:name="page7"/>
    <w:bookmarkEnd w:id="6"/>
    <w:p>
      <w:pPr>
        <w:jc w:val="both"/>
        <w:ind w:left="60" w:right="59"/>
        <w:spacing w:after="0" w:line="279" w:lineRule="auto"/>
        <w:rPr>
          <w:sz w:val="20"/>
          <w:szCs w:val="20"/>
          <w:color w:val="auto"/>
        </w:rPr>
      </w:pPr>
      <w:r>
        <w:rPr>
          <w:rFonts w:ascii="Arial" w:cs="Arial" w:eastAsia="Arial" w:hAnsi="Arial"/>
          <w:sz w:val="17"/>
          <w:szCs w:val="17"/>
          <w:b w:val="1"/>
          <w:bCs w:val="1"/>
          <w:i w:val="1"/>
          <w:iCs w:val="1"/>
          <w:color w:val="auto"/>
        </w:rPr>
        <w:t xml:space="preserve">Our growth may be limited by our ability to make successful acquisitions. </w:t>
      </w:r>
      <w:r>
        <w:rPr>
          <w:rFonts w:ascii="Arial" w:cs="Arial" w:eastAsia="Arial" w:hAnsi="Arial"/>
          <w:sz w:val="17"/>
          <w:szCs w:val="17"/>
          <w:color w:val="auto"/>
        </w:rPr>
        <w:t>A key component of our growth strategy is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complete business combinations. Business combinations involve inherent risks, including assimilation and successfully managing growth. While we conduct extensive due diligence and have taken steps to ensure successful assimilation, factors beyond our control could influence the relative success of these acquisitions.</w:t>
      </w:r>
    </w:p>
    <w:p>
      <w:pPr>
        <w:spacing w:after="0" w:line="171"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b w:val="1"/>
          <w:bCs w:val="1"/>
          <w:i w:val="1"/>
          <w:iCs w:val="1"/>
          <w:color w:val="auto"/>
        </w:rPr>
        <w:t xml:space="preserve">We may be adversely affected by the impact of environmental and safety regulations. </w:t>
      </w:r>
      <w:r>
        <w:rPr>
          <w:rFonts w:ascii="Arial" w:cs="Arial" w:eastAsia="Arial" w:hAnsi="Arial"/>
          <w:sz w:val="18"/>
          <w:szCs w:val="18"/>
          <w:color w:val="auto"/>
        </w:rPr>
        <w:t>We are subject to the requirements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federal, state, and local environmental and occupational health and safety laws and regulations. There can be no assurance that we are at all times in complete compliance with all of these requirements. We have made and will continue to make capital and other expenditures to comply with environmental regulations. If additional laws and regulations are enacted, which restrict our ability to manufacture and market our products, including our treated lumber products, it could adversely affect our sales and profits. Changes in the interpretation of existing laws could also adversely impact our financial results.</w:t>
      </w:r>
    </w:p>
    <w:p>
      <w:pPr>
        <w:spacing w:after="0" w:line="19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b w:val="1"/>
          <w:bCs w:val="1"/>
          <w:i w:val="1"/>
          <w:iCs w:val="1"/>
          <w:color w:val="auto"/>
        </w:rPr>
        <w:t>The current version of federal health care legislation may significantly increase our costs</w:t>
      </w:r>
      <w:r>
        <w:rPr>
          <w:rFonts w:ascii="Arial" w:cs="Arial" w:eastAsia="Arial" w:hAnsi="Arial"/>
          <w:sz w:val="18"/>
          <w:szCs w:val="18"/>
          <w:color w:val="auto"/>
        </w:rPr>
        <w:t>. The federal health care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legislation enacted in 2010 and future regulations called for under the legislation may have a significant cost implication for our company. Our health care costs totaled approximately $60.3 million, $69.1 million, and $69.2 million in 2020, 2019, and 2018, respectively.</w:t>
      </w:r>
    </w:p>
    <w:p>
      <w:pPr>
        <w:spacing w:after="0" w:line="187"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b w:val="1"/>
          <w:bCs w:val="1"/>
          <w:i w:val="1"/>
          <w:iCs w:val="1"/>
          <w:color w:val="auto"/>
        </w:rPr>
        <w:t>Seasonality and weather conditions could adversely affect us</w:t>
      </w:r>
      <w:r>
        <w:rPr>
          <w:rFonts w:ascii="Arial" w:cs="Arial" w:eastAsia="Arial" w:hAnsi="Arial"/>
          <w:sz w:val="18"/>
          <w:szCs w:val="18"/>
          <w:color w:val="auto"/>
        </w:rPr>
        <w:t>. Some aspects of our business are seasonal in nature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results of operations vary from quarter to quarter. In addition, the majority of our products sold to the Retail and Construction markets are used or installed in outdoor construction applications; therefore, short-term sales volume, productivity and gross profits can be negatively affected by adverse weather conditions, particularly in our first and fourth quarters.</w:t>
      </w:r>
    </w:p>
    <w:p>
      <w:pPr>
        <w:spacing w:after="0" w:line="188" w:lineRule="exact"/>
        <w:rPr>
          <w:sz w:val="20"/>
          <w:szCs w:val="20"/>
          <w:color w:val="auto"/>
        </w:rPr>
      </w:pPr>
    </w:p>
    <w:p>
      <w:pPr>
        <w:jc w:val="both"/>
        <w:ind w:left="60" w:right="79"/>
        <w:spacing w:after="0" w:line="301" w:lineRule="auto"/>
        <w:rPr>
          <w:sz w:val="20"/>
          <w:szCs w:val="20"/>
          <w:color w:val="auto"/>
        </w:rPr>
      </w:pPr>
      <w:r>
        <w:rPr>
          <w:rFonts w:ascii="Arial" w:cs="Arial" w:eastAsia="Arial" w:hAnsi="Arial"/>
          <w:sz w:val="16"/>
          <w:szCs w:val="16"/>
          <w:b w:val="1"/>
          <w:bCs w:val="1"/>
          <w:i w:val="1"/>
          <w:iCs w:val="1"/>
          <w:color w:val="auto"/>
        </w:rPr>
        <w:t xml:space="preserve">Inbound and outbound transportation costs represent a significant part of our cost structure. </w:t>
      </w:r>
      <w:r>
        <w:rPr>
          <w:rFonts w:ascii="Arial" w:cs="Arial" w:eastAsia="Arial" w:hAnsi="Arial"/>
          <w:sz w:val="16"/>
          <w:szCs w:val="16"/>
          <w:color w:val="auto"/>
        </w:rPr>
        <w:t>An increase in fuel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other operating expenses will significantly increase our costs. While we attempt to pass these costs along to our customers, there can be no assurance that they would agree to these price increases. Our total inbound and outbound transportation costs were approximately 9.2%, 9.5%, and 9.3% of net sales in 2020, 2019, and 2018, respectively.</w:t>
      </w:r>
    </w:p>
    <w:p>
      <w:pPr>
        <w:spacing w:after="0" w:line="157"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b w:val="1"/>
          <w:bCs w:val="1"/>
          <w:i w:val="1"/>
          <w:iCs w:val="1"/>
          <w:color w:val="auto"/>
        </w:rPr>
        <w:t xml:space="preserve">New alternatives may be developed to replace traditional treated wood products. </w:t>
      </w:r>
      <w:r>
        <w:rPr>
          <w:rFonts w:ascii="Arial" w:cs="Arial" w:eastAsia="Arial" w:hAnsi="Arial"/>
          <w:sz w:val="18"/>
          <w:szCs w:val="18"/>
          <w:color w:val="auto"/>
        </w:rPr>
        <w:t>The manufacturers of wood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preservatives continue to develop new preservatives. While we believe treated products are reasonably priced relative to alternative products such as composites or vinyl, new alternatives may impact the sales of treated wood products. In addition, new preservatives could increase our cost of treating products in the future.</w:t>
      </w:r>
    </w:p>
    <w:p>
      <w:pPr>
        <w:spacing w:after="0" w:line="187"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b w:val="1"/>
          <w:bCs w:val="1"/>
          <w:i w:val="1"/>
          <w:iCs w:val="1"/>
          <w:color w:val="auto"/>
        </w:rPr>
        <w:t xml:space="preserve">Cybersecurity breaches could interfere with operations. </w:t>
      </w:r>
      <w:r>
        <w:rPr>
          <w:rFonts w:ascii="Arial" w:cs="Arial" w:eastAsia="Arial" w:hAnsi="Arial"/>
          <w:sz w:val="18"/>
          <w:szCs w:val="18"/>
          <w:color w:val="auto"/>
        </w:rPr>
        <w:t>We rely upon information technology systems and network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products and the secure operation of these systems and products. Despite security measures, these systems and products may be vulnerable to physical damage, hackers, computer viruses, or breaches due to errors or malfeasance by employees, vendors, or customers. We have experienced such events in the past and, although past events were immaterial, future events may occur and may be material.</w:t>
      </w:r>
    </w:p>
    <w:p>
      <w:pPr>
        <w:spacing w:after="0" w:line="188"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b w:val="1"/>
          <w:bCs w:val="1"/>
          <w:i w:val="1"/>
          <w:iCs w:val="1"/>
          <w:color w:val="auto"/>
        </w:rPr>
        <w:t xml:space="preserve">We may be impacted by new tariffs and duties on U.S. imports and foreign export sales. </w:t>
      </w:r>
      <w:r>
        <w:rPr>
          <w:rFonts w:ascii="Arial" w:cs="Arial" w:eastAsia="Arial" w:hAnsi="Arial"/>
          <w:sz w:val="17"/>
          <w:szCs w:val="17"/>
          <w:color w:val="auto"/>
        </w:rPr>
        <w:t>Instability of established free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trade agreements may lead to raw material and finished goods price volatility. An increase in foreign tariffs on U.S. goods could curtail our export sales to other countries which was approximately $116.8 million in 2020. Increased tariffs and duties on U.S. imports will increase pricing by adding duty cost, where the duty is sustainable in light of overall unit price, or otherwise constrain supply by eliminating historical production sources by country or commodity type with unsustainable duties. Our purchases that are impacted by foreign tariffs were approximately $585.7 million in 2020, including UFP’s U.S. import of Canadian Softwood Lumber of approximately $266.1 million, which is the primary imported commodity. In addition, there is a risk that U.S. tariffs on imports and countering tariffs on U.S. exports could trigger broader international trade conflicts that could adversely impact our business.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 w:name="page8"/>
    <w:bookmarkEnd w:id="7"/>
    <w:p>
      <w:pPr>
        <w:jc w:val="both"/>
        <w:ind w:left="60" w:right="59"/>
        <w:spacing w:after="0" w:line="286" w:lineRule="auto"/>
        <w:rPr>
          <w:sz w:val="20"/>
          <w:szCs w:val="20"/>
          <w:color w:val="auto"/>
        </w:rPr>
      </w:pPr>
      <w:r>
        <w:rPr>
          <w:rFonts w:ascii="Arial" w:cs="Arial" w:eastAsia="Arial" w:hAnsi="Arial"/>
          <w:sz w:val="16"/>
          <w:szCs w:val="16"/>
          <w:b w:val="1"/>
          <w:bCs w:val="1"/>
          <w:i w:val="1"/>
          <w:iCs w:val="1"/>
          <w:color w:val="auto"/>
        </w:rPr>
        <w:t xml:space="preserve">Our restructuring efforts may not be successful. </w:t>
      </w:r>
      <w:r>
        <w:rPr>
          <w:rFonts w:ascii="Arial" w:cs="Arial" w:eastAsia="Arial" w:hAnsi="Arial"/>
          <w:sz w:val="16"/>
          <w:szCs w:val="16"/>
          <w:color w:val="auto"/>
        </w:rPr>
        <w:t>Effective as of January 1, 2020, in connection with the change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Company's name to UFP Industries, management implemented a significant change in its organizational and operating structure. For many years, the Company was managed primarily on a geographic basis. Under th</w:t>
      </w:r>
      <w:r>
        <w:rPr>
          <w:rFonts w:ascii="Arial" w:cs="Arial" w:eastAsia="Arial" w:hAnsi="Arial"/>
          <w:sz w:val="16"/>
          <w:szCs w:val="16"/>
          <w:color w:val="1F497D"/>
        </w:rPr>
        <w:t>at</w:t>
      </w:r>
      <w:r>
        <w:rPr>
          <w:rFonts w:ascii="Arial" w:cs="Arial" w:eastAsia="Arial" w:hAnsi="Arial"/>
          <w:sz w:val="16"/>
          <w:szCs w:val="16"/>
          <w:color w:val="auto"/>
        </w:rPr>
        <w:t xml:space="preserve"> structure, local plants operated on a somewhat autonomous basis, manufacturing and supplying customers based upon their respective expertise, capacity and local customer needs. Those plants reported through and were managed by their respective regions and via the regions their respective divisions. Beginning on January 1, 2020, the operational and organizational structure of the Company changed. As of that date, the Company's business is being managed through three business segments: retail, construction and industrial. The Company believes that this new organizational and management structure will provide significant benefits and foster a greater likelihood of continued growth and profitability. As part of that structure, the Company believes that it will be more efficient in allocating capital among its operations, will better understand the markets in which it serves and expedite the development and sale of new products and services. While the Company believes that the implementation of this change will result in improved financial performance, there are always meaningful risks associated with significant changes in which management and its workforce conducts its business. Those risks include the departure of management talent, disruptions in business practices and related inefficiencies.</w:t>
      </w:r>
    </w:p>
    <w:p>
      <w:pPr>
        <w:spacing w:after="0" w:line="171"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b w:val="1"/>
          <w:bCs w:val="1"/>
          <w:i w:val="1"/>
          <w:iCs w:val="1"/>
          <w:color w:val="auto"/>
        </w:rPr>
        <w:t xml:space="preserve">We may be adversely affected by the impact of the COVID-19 (Coronavirus) pandemic. </w:t>
      </w:r>
      <w:r>
        <w:rPr>
          <w:rFonts w:ascii="Arial" w:cs="Arial" w:eastAsia="Arial" w:hAnsi="Arial"/>
          <w:sz w:val="16"/>
          <w:szCs w:val="16"/>
          <w:color w:val="auto"/>
        </w:rPr>
        <w:t>Disease outbreaks, such as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COVID-19 pandemic, could have an adverse impact on the Company's operations and financial results. These outbreaks may adversely impact our business, consolidated results of operations and financial condition, such as the current COVID-19 pandemic. COVID-19, as well as measures taken by governmental authorities and businesses to limit the spread of this virus, may result in an adverse change in customer demand and our sales, interfere with the ability of our employees and suppliers to perform and function in a manner consistent with targeted objectives and otherwise adversely impact the efficiency of our operations. This has caused, and may continue to cause, us to materially curtail certain segments, and could have a material adverse effect on the results of our operations and cash flow.</w:t>
      </w:r>
    </w:p>
    <w:p>
      <w:pPr>
        <w:spacing w:after="0" w:line="165"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b w:val="1"/>
          <w:bCs w:val="1"/>
          <w:i w:val="1"/>
          <w:iCs w:val="1"/>
          <w:color w:val="auto"/>
        </w:rPr>
        <w:t xml:space="preserve">Adverse economic conditions and our customers’ ability to operate may impact their ability to pay. </w:t>
      </w:r>
      <w:r>
        <w:rPr>
          <w:rFonts w:ascii="Arial" w:cs="Arial" w:eastAsia="Arial" w:hAnsi="Arial"/>
          <w:sz w:val="18"/>
          <w:szCs w:val="18"/>
          <w:color w:val="auto"/>
        </w:rPr>
        <w:t>This may result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higher write-offs of receivables than we normally experience. We continue to monitor our customers’ business activities, payment patterns, and credit profiles carefully and make changes in our terms when necessary in response to this risk. As a result, our accounts receivable aging as of December 26, 2020 was approximately 92% current. Our bad debt expense as a percentage of sales was 0.02%, 0.09%, and 0.03%, in 2020, 2019, and 2018, respectively. During the most difficult collection period of the Great Recession, from 2008 through 2010, our bad debt expense as a percentage of sales averaged 0.25%.</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1B. Unresolved Staff Comments.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 w:name="page9"/>
    <w:bookmarkEnd w:id="8"/>
    <w:p>
      <w:pPr>
        <w:ind w:left="60"/>
        <w:spacing w:after="0"/>
        <w:rPr>
          <w:sz w:val="20"/>
          <w:szCs w:val="20"/>
          <w:color w:val="auto"/>
        </w:rPr>
      </w:pPr>
      <w:r>
        <w:rPr>
          <w:rFonts w:ascii="Arial" w:cs="Arial" w:eastAsia="Arial" w:hAnsi="Arial"/>
          <w:sz w:val="18"/>
          <w:szCs w:val="18"/>
          <w:b w:val="1"/>
          <w:bCs w:val="1"/>
          <w:u w:val="single" w:color="auto"/>
          <w:color w:val="auto"/>
        </w:rPr>
        <w:t>Item 2. Properties.</w:t>
      </w:r>
    </w:p>
    <w:p>
      <w:pPr>
        <w:spacing w:after="0" w:line="229" w:lineRule="exact"/>
        <w:rPr>
          <w:sz w:val="20"/>
          <w:szCs w:val="20"/>
          <w:color w:val="auto"/>
        </w:rPr>
      </w:pPr>
    </w:p>
    <w:p>
      <w:pPr>
        <w:jc w:val="both"/>
        <w:ind w:left="60" w:right="60"/>
        <w:spacing w:after="0" w:line="286" w:lineRule="auto"/>
        <w:rPr>
          <w:sz w:val="20"/>
          <w:szCs w:val="20"/>
          <w:color w:val="auto"/>
        </w:rPr>
      </w:pPr>
      <w:r>
        <w:rPr>
          <w:rFonts w:ascii="Arial" w:cs="Arial" w:eastAsia="Arial" w:hAnsi="Arial"/>
          <w:sz w:val="17"/>
          <w:szCs w:val="17"/>
          <w:color w:val="auto"/>
        </w:rPr>
        <w:t>Our corporate headquarters building is located in suburban Grand Rapids, Michigan. We currently have approximately 156 facilities located throughout the United States, Canada, Mexico, Europe, Asia, and Australia. Depending upon function and location, these facilities typically utilize office, manufacturing, and indoor and outdoor storage space.</w:t>
      </w:r>
    </w:p>
    <w:p>
      <w:pPr>
        <w:spacing w:after="0" w:line="165" w:lineRule="exact"/>
        <w:rPr>
          <w:sz w:val="20"/>
          <w:szCs w:val="20"/>
          <w:color w:val="auto"/>
        </w:rPr>
      </w:pPr>
    </w:p>
    <w:p>
      <w:pPr>
        <w:jc w:val="both"/>
        <w:ind w:left="60" w:right="60"/>
        <w:spacing w:after="0" w:line="277" w:lineRule="auto"/>
        <w:rPr>
          <w:sz w:val="20"/>
          <w:szCs w:val="20"/>
          <w:color w:val="auto"/>
        </w:rPr>
      </w:pPr>
      <w:r>
        <w:rPr>
          <w:rFonts w:ascii="Arial" w:cs="Arial" w:eastAsia="Arial" w:hAnsi="Arial"/>
          <w:sz w:val="18"/>
          <w:szCs w:val="18"/>
          <w:color w:val="auto"/>
        </w:rPr>
        <w:t>The following tables summarize our property locations by core segment. Due to the nature of our business, various properties may service more than one segment.</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9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Property Location</w:t>
            </w:r>
          </w:p>
        </w:tc>
        <w:tc>
          <w:tcPr>
            <w:tcW w:w="4900" w:type="dxa"/>
            <w:vAlign w:val="bottom"/>
            <w:gridSpan w:val="3"/>
          </w:tcPr>
          <w:p>
            <w:pPr>
              <w:ind w:left="1540"/>
              <w:spacing w:after="0"/>
              <w:rPr>
                <w:sz w:val="20"/>
                <w:szCs w:val="20"/>
                <w:color w:val="auto"/>
              </w:rPr>
            </w:pPr>
            <w:r>
              <w:rPr>
                <w:rFonts w:ascii="Arial" w:cs="Arial" w:eastAsia="Arial" w:hAnsi="Arial"/>
                <w:sz w:val="14"/>
                <w:szCs w:val="14"/>
                <w:b w:val="1"/>
                <w:bCs w:val="1"/>
                <w:color w:val="auto"/>
              </w:rPr>
              <w:t>CONSTRUCTION SEGMENT</w:t>
            </w:r>
          </w:p>
        </w:tc>
        <w:tc>
          <w:tcPr>
            <w:tcW w:w="2100" w:type="dxa"/>
            <w:vAlign w:val="bottom"/>
            <w:vMerge w:val="restart"/>
          </w:tcPr>
          <w:p>
            <w:pPr>
              <w:jc w:val="center"/>
              <w:ind w:left="128"/>
              <w:spacing w:after="0"/>
              <w:rPr>
                <w:sz w:val="20"/>
                <w:szCs w:val="20"/>
                <w:color w:val="auto"/>
              </w:rPr>
            </w:pPr>
            <w:r>
              <w:rPr>
                <w:rFonts w:ascii="Arial" w:cs="Arial" w:eastAsia="Arial" w:hAnsi="Arial"/>
                <w:sz w:val="14"/>
                <w:szCs w:val="14"/>
                <w:b w:val="1"/>
                <w:bCs w:val="1"/>
                <w:color w:val="auto"/>
                <w:w w:val="93"/>
              </w:rPr>
              <w:t>Number of Properties</w:t>
            </w:r>
          </w:p>
        </w:tc>
        <w:tc>
          <w:tcPr>
            <w:tcW w:w="0" w:type="dxa"/>
            <w:vAlign w:val="bottom"/>
          </w:tcPr>
          <w:p>
            <w:pPr>
              <w:spacing w:after="0"/>
              <w:rPr>
                <w:sz w:val="1"/>
                <w:szCs w:val="1"/>
                <w:color w:val="auto"/>
              </w:rPr>
            </w:pPr>
          </w:p>
        </w:tc>
      </w:tr>
      <w:tr>
        <w:trPr>
          <w:trHeight w:val="171"/>
        </w:trPr>
        <w:tc>
          <w:tcPr>
            <w:tcW w:w="1980" w:type="dxa"/>
            <w:vAlign w:val="bottom"/>
            <w:vMerge w:val="continue"/>
          </w:tcPr>
          <w:p>
            <w:pPr>
              <w:spacing w:after="0"/>
              <w:rPr>
                <w:sz w:val="14"/>
                <w:szCs w:val="14"/>
                <w:color w:val="auto"/>
              </w:rPr>
            </w:pPr>
          </w:p>
        </w:tc>
        <w:tc>
          <w:tcPr>
            <w:tcW w:w="2580" w:type="dxa"/>
            <w:vAlign w:val="bottom"/>
            <w:gridSpan w:val="2"/>
          </w:tcPr>
          <w:p>
            <w:pPr>
              <w:jc w:val="center"/>
              <w:ind w:left="348"/>
              <w:spacing w:after="0"/>
              <w:rPr>
                <w:sz w:val="20"/>
                <w:szCs w:val="20"/>
                <w:color w:val="auto"/>
              </w:rPr>
            </w:pPr>
            <w:r>
              <w:rPr>
                <w:rFonts w:ascii="Arial" w:cs="Arial" w:eastAsia="Arial" w:hAnsi="Arial"/>
                <w:sz w:val="14"/>
                <w:szCs w:val="14"/>
                <w:b w:val="1"/>
                <w:bCs w:val="1"/>
                <w:color w:val="auto"/>
                <w:w w:val="92"/>
              </w:rPr>
              <w:t>Number of Properties</w:t>
            </w:r>
          </w:p>
        </w:tc>
        <w:tc>
          <w:tcPr>
            <w:tcW w:w="2320" w:type="dxa"/>
            <w:vAlign w:val="bottom"/>
          </w:tcPr>
          <w:p>
            <w:pPr>
              <w:spacing w:after="0"/>
              <w:rPr>
                <w:sz w:val="20"/>
                <w:szCs w:val="20"/>
                <w:color w:val="auto"/>
              </w:rPr>
            </w:pPr>
            <w:r>
              <w:rPr>
                <w:rFonts w:ascii="Arial" w:cs="Arial" w:eastAsia="Arial" w:hAnsi="Arial"/>
                <w:sz w:val="14"/>
                <w:szCs w:val="14"/>
                <w:b w:val="1"/>
                <w:bCs w:val="1"/>
                <w:color w:val="auto"/>
              </w:rPr>
              <w:t>Property Location</w:t>
            </w:r>
          </w:p>
        </w:tc>
        <w:tc>
          <w:tcPr>
            <w:tcW w:w="2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980" w:type="dxa"/>
            <w:vAlign w:val="bottom"/>
            <w:tcBorders>
              <w:top w:val="single" w:sz="8" w:color="auto"/>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Auburn, NY</w:t>
            </w:r>
          </w:p>
        </w:tc>
        <w:tc>
          <w:tcPr>
            <w:tcW w:w="2420" w:type="dxa"/>
            <w:vAlign w:val="bottom"/>
            <w:tcBorders>
              <w:top w:val="single" w:sz="8" w:color="auto"/>
            </w:tcBorders>
            <w:shd w:val="clear" w:color="auto" w:fill="CCEEFF"/>
          </w:tcPr>
          <w:p>
            <w:pPr>
              <w:jc w:val="center"/>
              <w:ind w:left="508"/>
              <w:spacing w:after="0" w:line="142" w:lineRule="exact"/>
              <w:rPr>
                <w:sz w:val="20"/>
                <w:szCs w:val="20"/>
                <w:color w:val="auto"/>
              </w:rPr>
            </w:pPr>
            <w:r>
              <w:rPr>
                <w:rFonts w:ascii="Arial" w:cs="Arial" w:eastAsia="Arial" w:hAnsi="Arial"/>
                <w:sz w:val="14"/>
                <w:szCs w:val="14"/>
                <w:color w:val="auto"/>
              </w:rPr>
              <w:t>1</w:t>
            </w:r>
          </w:p>
        </w:tc>
        <w:tc>
          <w:tcPr>
            <w:tcW w:w="160" w:type="dxa"/>
            <w:vAlign w:val="bottom"/>
            <w:tcBorders>
              <w:top w:val="single" w:sz="8" w:color="CCEEFF"/>
            </w:tcBorders>
            <w:shd w:val="clear" w:color="auto" w:fill="CCEEFF"/>
          </w:tcPr>
          <w:p>
            <w:pPr>
              <w:spacing w:after="0"/>
              <w:rPr>
                <w:sz w:val="12"/>
                <w:szCs w:val="12"/>
                <w:color w:val="auto"/>
              </w:rPr>
            </w:pPr>
          </w:p>
        </w:tc>
        <w:tc>
          <w:tcPr>
            <w:tcW w:w="23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New Hartford, NY</w:t>
            </w:r>
          </w:p>
        </w:tc>
        <w:tc>
          <w:tcPr>
            <w:tcW w:w="2100" w:type="dxa"/>
            <w:vAlign w:val="bottom"/>
            <w:tcBorders>
              <w:top w:val="single" w:sz="8" w:color="auto"/>
            </w:tcBorders>
            <w:shd w:val="clear" w:color="auto" w:fill="CCEEFF"/>
          </w:tcPr>
          <w:p>
            <w:pPr>
              <w:jc w:val="center"/>
              <w:ind w:left="148"/>
              <w:spacing w:after="0" w:line="142"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8"/>
        </w:trPr>
        <w:tc>
          <w:tcPr>
            <w:tcW w:w="1980" w:type="dxa"/>
            <w:vAlign w:val="bottom"/>
          </w:tcPr>
          <w:p>
            <w:pPr>
              <w:ind w:left="20"/>
              <w:spacing w:after="0" w:line="149" w:lineRule="exact"/>
              <w:rPr>
                <w:sz w:val="20"/>
                <w:szCs w:val="20"/>
                <w:color w:val="auto"/>
              </w:rPr>
            </w:pPr>
            <w:r>
              <w:rPr>
                <w:rFonts w:ascii="Arial" w:cs="Arial" w:eastAsia="Arial" w:hAnsi="Arial"/>
                <w:sz w:val="14"/>
                <w:szCs w:val="14"/>
                <w:color w:val="auto"/>
              </w:rPr>
              <w:t>Aurora, CO</w:t>
            </w:r>
          </w:p>
        </w:tc>
        <w:tc>
          <w:tcPr>
            <w:tcW w:w="2420" w:type="dxa"/>
            <w:vAlign w:val="bottom"/>
          </w:tcPr>
          <w:p>
            <w:pPr>
              <w:jc w:val="center"/>
              <w:ind w:left="508"/>
              <w:spacing w:after="0" w:line="149" w:lineRule="exact"/>
              <w:rPr>
                <w:sz w:val="20"/>
                <w:szCs w:val="20"/>
                <w:color w:val="auto"/>
              </w:rPr>
            </w:pPr>
            <w:r>
              <w:rPr>
                <w:rFonts w:ascii="Arial" w:cs="Arial" w:eastAsia="Arial" w:hAnsi="Arial"/>
                <w:sz w:val="14"/>
                <w:szCs w:val="14"/>
                <w:color w:val="auto"/>
              </w:rPr>
              <w:t>1</w:t>
            </w:r>
          </w:p>
        </w:tc>
        <w:tc>
          <w:tcPr>
            <w:tcW w:w="160" w:type="dxa"/>
            <w:vAlign w:val="bottom"/>
          </w:tcPr>
          <w:p>
            <w:pPr>
              <w:spacing w:after="0"/>
              <w:rPr>
                <w:sz w:val="12"/>
                <w:szCs w:val="12"/>
                <w:color w:val="auto"/>
              </w:rPr>
            </w:pPr>
          </w:p>
        </w:tc>
        <w:tc>
          <w:tcPr>
            <w:tcW w:w="2320" w:type="dxa"/>
            <w:vAlign w:val="bottom"/>
          </w:tcPr>
          <w:p>
            <w:pPr>
              <w:spacing w:after="0" w:line="149" w:lineRule="exact"/>
              <w:rPr>
                <w:sz w:val="20"/>
                <w:szCs w:val="20"/>
                <w:color w:val="auto"/>
              </w:rPr>
            </w:pPr>
            <w:r>
              <w:rPr>
                <w:rFonts w:ascii="Arial" w:cs="Arial" w:eastAsia="Arial" w:hAnsi="Arial"/>
                <w:sz w:val="14"/>
                <w:szCs w:val="14"/>
                <w:color w:val="auto"/>
              </w:rPr>
              <w:t>New London, NC</w:t>
            </w:r>
          </w:p>
        </w:tc>
        <w:tc>
          <w:tcPr>
            <w:tcW w:w="2100" w:type="dxa"/>
            <w:vAlign w:val="bottom"/>
          </w:tcPr>
          <w:p>
            <w:pPr>
              <w:jc w:val="center"/>
              <w:ind w:left="148"/>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9"/>
        </w:trPr>
        <w:tc>
          <w:tcPr>
            <w:tcW w:w="19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Belchertown, MA</w:t>
            </w:r>
          </w:p>
        </w:tc>
        <w:tc>
          <w:tcPr>
            <w:tcW w:w="2420" w:type="dxa"/>
            <w:vAlign w:val="bottom"/>
            <w:shd w:val="clear" w:color="auto" w:fill="CCEEFF"/>
          </w:tcPr>
          <w:p>
            <w:pPr>
              <w:jc w:val="center"/>
              <w:ind w:left="508"/>
              <w:spacing w:after="0" w:line="149" w:lineRule="exact"/>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2"/>
                <w:szCs w:val="12"/>
                <w:color w:val="auto"/>
              </w:rPr>
            </w:pPr>
          </w:p>
        </w:tc>
        <w:tc>
          <w:tcPr>
            <w:tcW w:w="2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New Windsor, MD</w:t>
            </w:r>
          </w:p>
        </w:tc>
        <w:tc>
          <w:tcPr>
            <w:tcW w:w="2100" w:type="dxa"/>
            <w:vAlign w:val="bottom"/>
            <w:shd w:val="clear" w:color="auto" w:fill="CCEEFF"/>
          </w:tcPr>
          <w:p>
            <w:pPr>
              <w:jc w:val="center"/>
              <w:ind w:left="148"/>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8"/>
        </w:trPr>
        <w:tc>
          <w:tcPr>
            <w:tcW w:w="1980" w:type="dxa"/>
            <w:vAlign w:val="bottom"/>
          </w:tcPr>
          <w:p>
            <w:pPr>
              <w:ind w:left="20"/>
              <w:spacing w:after="0" w:line="149" w:lineRule="exact"/>
              <w:rPr>
                <w:sz w:val="20"/>
                <w:szCs w:val="20"/>
                <w:color w:val="auto"/>
              </w:rPr>
            </w:pPr>
            <w:r>
              <w:rPr>
                <w:rFonts w:ascii="Arial" w:cs="Arial" w:eastAsia="Arial" w:hAnsi="Arial"/>
                <w:sz w:val="14"/>
                <w:szCs w:val="14"/>
                <w:color w:val="auto"/>
              </w:rPr>
              <w:t>Burlington, NC</w:t>
            </w:r>
          </w:p>
        </w:tc>
        <w:tc>
          <w:tcPr>
            <w:tcW w:w="2420" w:type="dxa"/>
            <w:vAlign w:val="bottom"/>
          </w:tcPr>
          <w:p>
            <w:pPr>
              <w:jc w:val="center"/>
              <w:ind w:left="508"/>
              <w:spacing w:after="0" w:line="149" w:lineRule="exact"/>
              <w:rPr>
                <w:sz w:val="20"/>
                <w:szCs w:val="20"/>
                <w:color w:val="auto"/>
              </w:rPr>
            </w:pPr>
            <w:r>
              <w:rPr>
                <w:rFonts w:ascii="Arial" w:cs="Arial" w:eastAsia="Arial" w:hAnsi="Arial"/>
                <w:sz w:val="14"/>
                <w:szCs w:val="14"/>
                <w:color w:val="auto"/>
              </w:rPr>
              <w:t>1</w:t>
            </w:r>
          </w:p>
        </w:tc>
        <w:tc>
          <w:tcPr>
            <w:tcW w:w="160" w:type="dxa"/>
            <w:vAlign w:val="bottom"/>
          </w:tcPr>
          <w:p>
            <w:pPr>
              <w:spacing w:after="0"/>
              <w:rPr>
                <w:sz w:val="12"/>
                <w:szCs w:val="12"/>
                <w:color w:val="auto"/>
              </w:rPr>
            </w:pPr>
          </w:p>
        </w:tc>
        <w:tc>
          <w:tcPr>
            <w:tcW w:w="2320" w:type="dxa"/>
            <w:vAlign w:val="bottom"/>
          </w:tcPr>
          <w:p>
            <w:pPr>
              <w:spacing w:after="0" w:line="149" w:lineRule="exact"/>
              <w:rPr>
                <w:sz w:val="20"/>
                <w:szCs w:val="20"/>
                <w:color w:val="auto"/>
              </w:rPr>
            </w:pPr>
            <w:r>
              <w:rPr>
                <w:rFonts w:ascii="Arial" w:cs="Arial" w:eastAsia="Arial" w:hAnsi="Arial"/>
                <w:sz w:val="14"/>
                <w:szCs w:val="14"/>
                <w:color w:val="auto"/>
              </w:rPr>
              <w:t>Ooltewah, TN</w:t>
            </w:r>
          </w:p>
        </w:tc>
        <w:tc>
          <w:tcPr>
            <w:tcW w:w="2100" w:type="dxa"/>
            <w:vAlign w:val="bottom"/>
          </w:tcPr>
          <w:p>
            <w:pPr>
              <w:jc w:val="center"/>
              <w:ind w:left="148"/>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8"/>
        </w:trPr>
        <w:tc>
          <w:tcPr>
            <w:tcW w:w="19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Chesapeake, VA</w:t>
            </w:r>
          </w:p>
        </w:tc>
        <w:tc>
          <w:tcPr>
            <w:tcW w:w="2420" w:type="dxa"/>
            <w:vAlign w:val="bottom"/>
            <w:shd w:val="clear" w:color="auto" w:fill="CCEEFF"/>
          </w:tcPr>
          <w:p>
            <w:pPr>
              <w:jc w:val="center"/>
              <w:ind w:left="508"/>
              <w:spacing w:after="0" w:line="149" w:lineRule="exact"/>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2"/>
                <w:szCs w:val="12"/>
                <w:color w:val="auto"/>
              </w:rPr>
            </w:pPr>
          </w:p>
        </w:tc>
        <w:tc>
          <w:tcPr>
            <w:tcW w:w="2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Parker, PA</w:t>
            </w:r>
          </w:p>
        </w:tc>
        <w:tc>
          <w:tcPr>
            <w:tcW w:w="2100" w:type="dxa"/>
            <w:vAlign w:val="bottom"/>
            <w:shd w:val="clear" w:color="auto" w:fill="CCEEFF"/>
          </w:tcPr>
          <w:p>
            <w:pPr>
              <w:jc w:val="center"/>
              <w:ind w:left="148"/>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8"/>
        </w:trPr>
        <w:tc>
          <w:tcPr>
            <w:tcW w:w="1980" w:type="dxa"/>
            <w:vAlign w:val="bottom"/>
          </w:tcPr>
          <w:p>
            <w:pPr>
              <w:ind w:left="20"/>
              <w:spacing w:after="0" w:line="149" w:lineRule="exact"/>
              <w:rPr>
                <w:sz w:val="20"/>
                <w:szCs w:val="20"/>
                <w:color w:val="auto"/>
              </w:rPr>
            </w:pPr>
            <w:r>
              <w:rPr>
                <w:rFonts w:ascii="Arial" w:cs="Arial" w:eastAsia="Arial" w:hAnsi="Arial"/>
                <w:sz w:val="14"/>
                <w:szCs w:val="14"/>
                <w:color w:val="auto"/>
              </w:rPr>
              <w:t>Chicago, IL</w:t>
            </w:r>
          </w:p>
        </w:tc>
        <w:tc>
          <w:tcPr>
            <w:tcW w:w="2420" w:type="dxa"/>
            <w:vAlign w:val="bottom"/>
          </w:tcPr>
          <w:p>
            <w:pPr>
              <w:jc w:val="center"/>
              <w:ind w:left="508"/>
              <w:spacing w:after="0" w:line="149" w:lineRule="exact"/>
              <w:rPr>
                <w:sz w:val="20"/>
                <w:szCs w:val="20"/>
                <w:color w:val="auto"/>
              </w:rPr>
            </w:pPr>
            <w:r>
              <w:rPr>
                <w:rFonts w:ascii="Arial" w:cs="Arial" w:eastAsia="Arial" w:hAnsi="Arial"/>
                <w:sz w:val="14"/>
                <w:szCs w:val="14"/>
                <w:color w:val="auto"/>
              </w:rPr>
              <w:t>1</w:t>
            </w:r>
          </w:p>
        </w:tc>
        <w:tc>
          <w:tcPr>
            <w:tcW w:w="160" w:type="dxa"/>
            <w:vAlign w:val="bottom"/>
          </w:tcPr>
          <w:p>
            <w:pPr>
              <w:spacing w:after="0"/>
              <w:rPr>
                <w:sz w:val="12"/>
                <w:szCs w:val="12"/>
                <w:color w:val="auto"/>
              </w:rPr>
            </w:pPr>
          </w:p>
        </w:tc>
        <w:tc>
          <w:tcPr>
            <w:tcW w:w="2320" w:type="dxa"/>
            <w:vAlign w:val="bottom"/>
          </w:tcPr>
          <w:p>
            <w:pPr>
              <w:spacing w:after="0" w:line="149" w:lineRule="exact"/>
              <w:rPr>
                <w:sz w:val="20"/>
                <w:szCs w:val="20"/>
                <w:color w:val="auto"/>
              </w:rPr>
            </w:pPr>
            <w:r>
              <w:rPr>
                <w:rFonts w:ascii="Arial" w:cs="Arial" w:eastAsia="Arial" w:hAnsi="Arial"/>
                <w:sz w:val="14"/>
                <w:szCs w:val="14"/>
                <w:color w:val="auto"/>
              </w:rPr>
              <w:t>Pearisburg, VA</w:t>
            </w:r>
          </w:p>
        </w:tc>
        <w:tc>
          <w:tcPr>
            <w:tcW w:w="2100" w:type="dxa"/>
            <w:vAlign w:val="bottom"/>
          </w:tcPr>
          <w:p>
            <w:pPr>
              <w:jc w:val="center"/>
              <w:ind w:left="148"/>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8"/>
        </w:trPr>
        <w:tc>
          <w:tcPr>
            <w:tcW w:w="19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Clinton, NC</w:t>
            </w:r>
          </w:p>
        </w:tc>
        <w:tc>
          <w:tcPr>
            <w:tcW w:w="2420" w:type="dxa"/>
            <w:vAlign w:val="bottom"/>
            <w:shd w:val="clear" w:color="auto" w:fill="CCEEFF"/>
          </w:tcPr>
          <w:p>
            <w:pPr>
              <w:jc w:val="center"/>
              <w:ind w:left="508"/>
              <w:spacing w:after="0" w:line="149" w:lineRule="exact"/>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2"/>
                <w:szCs w:val="12"/>
                <w:color w:val="auto"/>
              </w:rPr>
            </w:pPr>
          </w:p>
        </w:tc>
        <w:tc>
          <w:tcPr>
            <w:tcW w:w="2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Plainville, MA</w:t>
            </w:r>
          </w:p>
        </w:tc>
        <w:tc>
          <w:tcPr>
            <w:tcW w:w="2100" w:type="dxa"/>
            <w:vAlign w:val="bottom"/>
            <w:shd w:val="clear" w:color="auto" w:fill="CCEEFF"/>
          </w:tcPr>
          <w:p>
            <w:pPr>
              <w:jc w:val="center"/>
              <w:ind w:left="148"/>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8"/>
        </w:trPr>
        <w:tc>
          <w:tcPr>
            <w:tcW w:w="1980" w:type="dxa"/>
            <w:vAlign w:val="bottom"/>
          </w:tcPr>
          <w:p>
            <w:pPr>
              <w:ind w:left="20"/>
              <w:spacing w:after="0" w:line="149" w:lineRule="exact"/>
              <w:rPr>
                <w:sz w:val="20"/>
                <w:szCs w:val="20"/>
                <w:color w:val="auto"/>
              </w:rPr>
            </w:pPr>
            <w:r>
              <w:rPr>
                <w:rFonts w:ascii="Arial" w:cs="Arial" w:eastAsia="Arial" w:hAnsi="Arial"/>
                <w:sz w:val="14"/>
                <w:szCs w:val="14"/>
                <w:color w:val="auto"/>
              </w:rPr>
              <w:t>Conway, SC</w:t>
            </w:r>
          </w:p>
        </w:tc>
        <w:tc>
          <w:tcPr>
            <w:tcW w:w="2420" w:type="dxa"/>
            <w:vAlign w:val="bottom"/>
          </w:tcPr>
          <w:p>
            <w:pPr>
              <w:jc w:val="center"/>
              <w:ind w:left="508"/>
              <w:spacing w:after="0" w:line="149" w:lineRule="exact"/>
              <w:rPr>
                <w:sz w:val="20"/>
                <w:szCs w:val="20"/>
                <w:color w:val="auto"/>
              </w:rPr>
            </w:pPr>
            <w:r>
              <w:rPr>
                <w:rFonts w:ascii="Arial" w:cs="Arial" w:eastAsia="Arial" w:hAnsi="Arial"/>
                <w:sz w:val="14"/>
                <w:szCs w:val="14"/>
                <w:color w:val="auto"/>
              </w:rPr>
              <w:t>1</w:t>
            </w:r>
          </w:p>
        </w:tc>
        <w:tc>
          <w:tcPr>
            <w:tcW w:w="160" w:type="dxa"/>
            <w:vAlign w:val="bottom"/>
          </w:tcPr>
          <w:p>
            <w:pPr>
              <w:spacing w:after="0"/>
              <w:rPr>
                <w:sz w:val="12"/>
                <w:szCs w:val="12"/>
                <w:color w:val="auto"/>
              </w:rPr>
            </w:pPr>
          </w:p>
        </w:tc>
        <w:tc>
          <w:tcPr>
            <w:tcW w:w="2320" w:type="dxa"/>
            <w:vAlign w:val="bottom"/>
          </w:tcPr>
          <w:p>
            <w:pPr>
              <w:spacing w:after="0" w:line="149" w:lineRule="exact"/>
              <w:rPr>
                <w:sz w:val="20"/>
                <w:szCs w:val="20"/>
                <w:color w:val="auto"/>
              </w:rPr>
            </w:pPr>
            <w:r>
              <w:rPr>
                <w:rFonts w:ascii="Arial" w:cs="Arial" w:eastAsia="Arial" w:hAnsi="Arial"/>
                <w:sz w:val="14"/>
                <w:szCs w:val="14"/>
                <w:color w:val="auto"/>
              </w:rPr>
              <w:t>San Antonio, TX</w:t>
            </w:r>
          </w:p>
        </w:tc>
        <w:tc>
          <w:tcPr>
            <w:tcW w:w="2100" w:type="dxa"/>
            <w:vAlign w:val="bottom"/>
          </w:tcPr>
          <w:p>
            <w:pPr>
              <w:jc w:val="center"/>
              <w:ind w:left="148"/>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19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Cordele, GA</w:t>
            </w:r>
          </w:p>
        </w:tc>
        <w:tc>
          <w:tcPr>
            <w:tcW w:w="2420" w:type="dxa"/>
            <w:vAlign w:val="bottom"/>
            <w:shd w:val="clear" w:color="auto" w:fill="CCEEFF"/>
          </w:tcPr>
          <w:p>
            <w:pPr>
              <w:jc w:val="center"/>
              <w:ind w:left="508"/>
              <w:spacing w:after="0" w:line="149" w:lineRule="exact"/>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2"/>
                <w:szCs w:val="12"/>
                <w:color w:val="auto"/>
              </w:rPr>
            </w:pPr>
          </w:p>
        </w:tc>
        <w:tc>
          <w:tcPr>
            <w:tcW w:w="2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Sauk Rapids, MN</w:t>
            </w:r>
          </w:p>
        </w:tc>
        <w:tc>
          <w:tcPr>
            <w:tcW w:w="2100" w:type="dxa"/>
            <w:vAlign w:val="bottom"/>
            <w:shd w:val="clear" w:color="auto" w:fill="CCEEFF"/>
          </w:tcPr>
          <w:p>
            <w:pPr>
              <w:jc w:val="center"/>
              <w:ind w:left="148"/>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8"/>
        </w:trPr>
        <w:tc>
          <w:tcPr>
            <w:tcW w:w="1980" w:type="dxa"/>
            <w:vAlign w:val="bottom"/>
          </w:tcPr>
          <w:p>
            <w:pPr>
              <w:ind w:left="20"/>
              <w:spacing w:after="0" w:line="149" w:lineRule="exact"/>
              <w:rPr>
                <w:sz w:val="20"/>
                <w:szCs w:val="20"/>
                <w:color w:val="auto"/>
              </w:rPr>
            </w:pPr>
            <w:r>
              <w:rPr>
                <w:rFonts w:ascii="Arial" w:cs="Arial" w:eastAsia="Arial" w:hAnsi="Arial"/>
                <w:sz w:val="14"/>
                <w:szCs w:val="14"/>
                <w:color w:val="auto"/>
              </w:rPr>
              <w:t>Delano, PA</w:t>
            </w:r>
          </w:p>
        </w:tc>
        <w:tc>
          <w:tcPr>
            <w:tcW w:w="2420" w:type="dxa"/>
            <w:vAlign w:val="bottom"/>
          </w:tcPr>
          <w:p>
            <w:pPr>
              <w:jc w:val="center"/>
              <w:ind w:left="508"/>
              <w:spacing w:after="0" w:line="149" w:lineRule="exact"/>
              <w:rPr>
                <w:sz w:val="20"/>
                <w:szCs w:val="20"/>
                <w:color w:val="auto"/>
              </w:rPr>
            </w:pPr>
            <w:r>
              <w:rPr>
                <w:rFonts w:ascii="Arial" w:cs="Arial" w:eastAsia="Arial" w:hAnsi="Arial"/>
                <w:sz w:val="14"/>
                <w:szCs w:val="14"/>
                <w:color w:val="auto"/>
              </w:rPr>
              <w:t>1</w:t>
            </w:r>
          </w:p>
        </w:tc>
        <w:tc>
          <w:tcPr>
            <w:tcW w:w="160" w:type="dxa"/>
            <w:vAlign w:val="bottom"/>
          </w:tcPr>
          <w:p>
            <w:pPr>
              <w:spacing w:after="0"/>
              <w:rPr>
                <w:sz w:val="12"/>
                <w:szCs w:val="12"/>
                <w:color w:val="auto"/>
              </w:rPr>
            </w:pPr>
          </w:p>
        </w:tc>
        <w:tc>
          <w:tcPr>
            <w:tcW w:w="2320" w:type="dxa"/>
            <w:vAlign w:val="bottom"/>
          </w:tcPr>
          <w:p>
            <w:pPr>
              <w:spacing w:after="0" w:line="149" w:lineRule="exact"/>
              <w:rPr>
                <w:sz w:val="20"/>
                <w:szCs w:val="20"/>
                <w:color w:val="auto"/>
              </w:rPr>
            </w:pPr>
            <w:r>
              <w:rPr>
                <w:rFonts w:ascii="Arial" w:cs="Arial" w:eastAsia="Arial" w:hAnsi="Arial"/>
                <w:sz w:val="14"/>
                <w:szCs w:val="14"/>
                <w:color w:val="auto"/>
              </w:rPr>
              <w:t>Sidney, NY</w:t>
            </w:r>
          </w:p>
        </w:tc>
        <w:tc>
          <w:tcPr>
            <w:tcW w:w="2100" w:type="dxa"/>
            <w:vAlign w:val="bottom"/>
          </w:tcPr>
          <w:p>
            <w:pPr>
              <w:jc w:val="center"/>
              <w:ind w:left="148"/>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8"/>
        </w:trPr>
        <w:tc>
          <w:tcPr>
            <w:tcW w:w="19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Earth City, MO</w:t>
            </w:r>
          </w:p>
        </w:tc>
        <w:tc>
          <w:tcPr>
            <w:tcW w:w="2420" w:type="dxa"/>
            <w:vAlign w:val="bottom"/>
            <w:shd w:val="clear" w:color="auto" w:fill="CCEEFF"/>
          </w:tcPr>
          <w:p>
            <w:pPr>
              <w:jc w:val="center"/>
              <w:ind w:left="508"/>
              <w:spacing w:after="0" w:line="149" w:lineRule="exact"/>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2"/>
                <w:szCs w:val="12"/>
                <w:color w:val="auto"/>
              </w:rPr>
            </w:pPr>
          </w:p>
        </w:tc>
        <w:tc>
          <w:tcPr>
            <w:tcW w:w="2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Vaughan, ON</w:t>
            </w:r>
          </w:p>
        </w:tc>
        <w:tc>
          <w:tcPr>
            <w:tcW w:w="2100" w:type="dxa"/>
            <w:vAlign w:val="bottom"/>
            <w:shd w:val="clear" w:color="auto" w:fill="CCEEFF"/>
          </w:tcPr>
          <w:p>
            <w:pPr>
              <w:jc w:val="center"/>
              <w:ind w:left="148"/>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8"/>
        </w:trPr>
        <w:tc>
          <w:tcPr>
            <w:tcW w:w="1980" w:type="dxa"/>
            <w:vAlign w:val="bottom"/>
          </w:tcPr>
          <w:p>
            <w:pPr>
              <w:ind w:left="20"/>
              <w:spacing w:after="0" w:line="149" w:lineRule="exact"/>
              <w:rPr>
                <w:sz w:val="20"/>
                <w:szCs w:val="20"/>
                <w:color w:val="auto"/>
              </w:rPr>
            </w:pPr>
            <w:r>
              <w:rPr>
                <w:rFonts w:ascii="Arial" w:cs="Arial" w:eastAsia="Arial" w:hAnsi="Arial"/>
                <w:sz w:val="14"/>
                <w:szCs w:val="14"/>
                <w:color w:val="auto"/>
              </w:rPr>
              <w:t>Edina, MN</w:t>
            </w:r>
          </w:p>
        </w:tc>
        <w:tc>
          <w:tcPr>
            <w:tcW w:w="2420" w:type="dxa"/>
            <w:vAlign w:val="bottom"/>
          </w:tcPr>
          <w:p>
            <w:pPr>
              <w:jc w:val="center"/>
              <w:ind w:left="508"/>
              <w:spacing w:after="0" w:line="149" w:lineRule="exact"/>
              <w:rPr>
                <w:sz w:val="20"/>
                <w:szCs w:val="20"/>
                <w:color w:val="auto"/>
              </w:rPr>
            </w:pPr>
            <w:r>
              <w:rPr>
                <w:rFonts w:ascii="Arial" w:cs="Arial" w:eastAsia="Arial" w:hAnsi="Arial"/>
                <w:sz w:val="14"/>
                <w:szCs w:val="14"/>
                <w:color w:val="auto"/>
              </w:rPr>
              <w:t>1</w:t>
            </w:r>
          </w:p>
        </w:tc>
        <w:tc>
          <w:tcPr>
            <w:tcW w:w="160" w:type="dxa"/>
            <w:vAlign w:val="bottom"/>
          </w:tcPr>
          <w:p>
            <w:pPr>
              <w:spacing w:after="0"/>
              <w:rPr>
                <w:sz w:val="12"/>
                <w:szCs w:val="12"/>
                <w:color w:val="auto"/>
              </w:rPr>
            </w:pPr>
          </w:p>
        </w:tc>
        <w:tc>
          <w:tcPr>
            <w:tcW w:w="2320" w:type="dxa"/>
            <w:vAlign w:val="bottom"/>
          </w:tcPr>
          <w:p>
            <w:pPr>
              <w:spacing w:after="0" w:line="149" w:lineRule="exact"/>
              <w:rPr>
                <w:sz w:val="20"/>
                <w:szCs w:val="20"/>
                <w:color w:val="auto"/>
              </w:rPr>
            </w:pPr>
            <w:r>
              <w:rPr>
                <w:rFonts w:ascii="Arial" w:cs="Arial" w:eastAsia="Arial" w:hAnsi="Arial"/>
                <w:sz w:val="14"/>
                <w:szCs w:val="14"/>
                <w:color w:val="auto"/>
              </w:rPr>
              <w:t>Wilton, NH</w:t>
            </w:r>
          </w:p>
        </w:tc>
        <w:tc>
          <w:tcPr>
            <w:tcW w:w="2100" w:type="dxa"/>
            <w:vAlign w:val="bottom"/>
          </w:tcPr>
          <w:p>
            <w:pPr>
              <w:jc w:val="center"/>
              <w:ind w:left="148"/>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8"/>
        </w:trPr>
        <w:tc>
          <w:tcPr>
            <w:tcW w:w="19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Folkston, GA</w:t>
            </w:r>
          </w:p>
        </w:tc>
        <w:tc>
          <w:tcPr>
            <w:tcW w:w="2420" w:type="dxa"/>
            <w:vAlign w:val="bottom"/>
            <w:shd w:val="clear" w:color="auto" w:fill="CCEEFF"/>
          </w:tcPr>
          <w:p>
            <w:pPr>
              <w:jc w:val="center"/>
              <w:ind w:left="508"/>
              <w:spacing w:after="0" w:line="149" w:lineRule="exact"/>
              <w:rPr>
                <w:sz w:val="20"/>
                <w:szCs w:val="20"/>
                <w:color w:val="auto"/>
              </w:rPr>
            </w:pPr>
            <w:r>
              <w:rPr>
                <w:rFonts w:ascii="Arial" w:cs="Arial" w:eastAsia="Arial" w:hAnsi="Arial"/>
                <w:sz w:val="14"/>
                <w:szCs w:val="14"/>
                <w:color w:val="auto"/>
              </w:rPr>
              <w:t>2</w:t>
            </w:r>
          </w:p>
        </w:tc>
        <w:tc>
          <w:tcPr>
            <w:tcW w:w="160" w:type="dxa"/>
            <w:vAlign w:val="bottom"/>
            <w:shd w:val="clear" w:color="auto" w:fill="CCEEFF"/>
          </w:tcPr>
          <w:p>
            <w:pPr>
              <w:spacing w:after="0"/>
              <w:rPr>
                <w:sz w:val="12"/>
                <w:szCs w:val="12"/>
                <w:color w:val="auto"/>
              </w:rPr>
            </w:pPr>
          </w:p>
        </w:tc>
        <w:tc>
          <w:tcPr>
            <w:tcW w:w="2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Athena, OR</w:t>
            </w:r>
          </w:p>
        </w:tc>
        <w:tc>
          <w:tcPr>
            <w:tcW w:w="2100" w:type="dxa"/>
            <w:vAlign w:val="bottom"/>
            <w:shd w:val="clear" w:color="auto" w:fill="CCEEFF"/>
          </w:tcPr>
          <w:p>
            <w:pPr>
              <w:jc w:val="center"/>
              <w:ind w:left="148"/>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9"/>
        </w:trPr>
        <w:tc>
          <w:tcPr>
            <w:tcW w:w="1980" w:type="dxa"/>
            <w:vAlign w:val="bottom"/>
          </w:tcPr>
          <w:p>
            <w:pPr>
              <w:ind w:left="20"/>
              <w:spacing w:after="0" w:line="149" w:lineRule="exact"/>
              <w:rPr>
                <w:sz w:val="20"/>
                <w:szCs w:val="20"/>
                <w:color w:val="auto"/>
              </w:rPr>
            </w:pPr>
            <w:r>
              <w:rPr>
                <w:rFonts w:ascii="Arial" w:cs="Arial" w:eastAsia="Arial" w:hAnsi="Arial"/>
                <w:sz w:val="14"/>
                <w:szCs w:val="14"/>
                <w:color w:val="auto"/>
              </w:rPr>
              <w:t>Gordon, PA</w:t>
            </w:r>
          </w:p>
        </w:tc>
        <w:tc>
          <w:tcPr>
            <w:tcW w:w="2420" w:type="dxa"/>
            <w:vAlign w:val="bottom"/>
          </w:tcPr>
          <w:p>
            <w:pPr>
              <w:jc w:val="center"/>
              <w:ind w:left="508"/>
              <w:spacing w:after="0" w:line="149" w:lineRule="exact"/>
              <w:rPr>
                <w:sz w:val="20"/>
                <w:szCs w:val="20"/>
                <w:color w:val="auto"/>
              </w:rPr>
            </w:pPr>
            <w:r>
              <w:rPr>
                <w:rFonts w:ascii="Arial" w:cs="Arial" w:eastAsia="Arial" w:hAnsi="Arial"/>
                <w:sz w:val="14"/>
                <w:szCs w:val="14"/>
                <w:color w:val="auto"/>
              </w:rPr>
              <w:t>1</w:t>
            </w:r>
          </w:p>
        </w:tc>
        <w:tc>
          <w:tcPr>
            <w:tcW w:w="160" w:type="dxa"/>
            <w:vAlign w:val="bottom"/>
          </w:tcPr>
          <w:p>
            <w:pPr>
              <w:spacing w:after="0"/>
              <w:rPr>
                <w:sz w:val="12"/>
                <w:szCs w:val="12"/>
                <w:color w:val="auto"/>
              </w:rPr>
            </w:pPr>
          </w:p>
        </w:tc>
        <w:tc>
          <w:tcPr>
            <w:tcW w:w="2320" w:type="dxa"/>
            <w:vAlign w:val="bottom"/>
          </w:tcPr>
          <w:p>
            <w:pPr>
              <w:spacing w:after="0" w:line="149" w:lineRule="exact"/>
              <w:rPr>
                <w:sz w:val="20"/>
                <w:szCs w:val="20"/>
                <w:color w:val="auto"/>
              </w:rPr>
            </w:pPr>
            <w:r>
              <w:rPr>
                <w:rFonts w:ascii="Arial" w:cs="Arial" w:eastAsia="Arial" w:hAnsi="Arial"/>
                <w:sz w:val="14"/>
                <w:szCs w:val="14"/>
                <w:color w:val="auto"/>
              </w:rPr>
              <w:t>Berlin, NJ</w:t>
            </w:r>
          </w:p>
        </w:tc>
        <w:tc>
          <w:tcPr>
            <w:tcW w:w="2100" w:type="dxa"/>
            <w:vAlign w:val="bottom"/>
          </w:tcPr>
          <w:p>
            <w:pPr>
              <w:jc w:val="center"/>
              <w:ind w:left="148"/>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8"/>
        </w:trPr>
        <w:tc>
          <w:tcPr>
            <w:tcW w:w="19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Granger, IN</w:t>
            </w:r>
          </w:p>
        </w:tc>
        <w:tc>
          <w:tcPr>
            <w:tcW w:w="2420" w:type="dxa"/>
            <w:vAlign w:val="bottom"/>
            <w:shd w:val="clear" w:color="auto" w:fill="CCEEFF"/>
          </w:tcPr>
          <w:p>
            <w:pPr>
              <w:jc w:val="center"/>
              <w:ind w:left="508"/>
              <w:spacing w:after="0" w:line="149" w:lineRule="exact"/>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2"/>
                <w:szCs w:val="12"/>
                <w:color w:val="auto"/>
              </w:rPr>
            </w:pPr>
          </w:p>
        </w:tc>
        <w:tc>
          <w:tcPr>
            <w:tcW w:w="2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Cedar Hill, TX</w:t>
            </w:r>
          </w:p>
        </w:tc>
        <w:tc>
          <w:tcPr>
            <w:tcW w:w="2100" w:type="dxa"/>
            <w:vAlign w:val="bottom"/>
            <w:shd w:val="clear" w:color="auto" w:fill="CCEEFF"/>
          </w:tcPr>
          <w:p>
            <w:pPr>
              <w:jc w:val="center"/>
              <w:ind w:left="148"/>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8"/>
        </w:trPr>
        <w:tc>
          <w:tcPr>
            <w:tcW w:w="1980" w:type="dxa"/>
            <w:vAlign w:val="bottom"/>
          </w:tcPr>
          <w:p>
            <w:pPr>
              <w:ind w:left="20"/>
              <w:spacing w:after="0" w:line="149" w:lineRule="exact"/>
              <w:rPr>
                <w:sz w:val="20"/>
                <w:szCs w:val="20"/>
                <w:color w:val="auto"/>
              </w:rPr>
            </w:pPr>
            <w:r>
              <w:rPr>
                <w:rFonts w:ascii="Arial" w:cs="Arial" w:eastAsia="Arial" w:hAnsi="Arial"/>
                <w:sz w:val="14"/>
                <w:szCs w:val="14"/>
                <w:color w:val="auto"/>
              </w:rPr>
              <w:t>Hillsboro, TX</w:t>
            </w:r>
          </w:p>
        </w:tc>
        <w:tc>
          <w:tcPr>
            <w:tcW w:w="2420" w:type="dxa"/>
            <w:vAlign w:val="bottom"/>
          </w:tcPr>
          <w:p>
            <w:pPr>
              <w:jc w:val="center"/>
              <w:ind w:left="508"/>
              <w:spacing w:after="0" w:line="149" w:lineRule="exact"/>
              <w:rPr>
                <w:sz w:val="20"/>
                <w:szCs w:val="20"/>
                <w:color w:val="auto"/>
              </w:rPr>
            </w:pPr>
            <w:r>
              <w:rPr>
                <w:rFonts w:ascii="Arial" w:cs="Arial" w:eastAsia="Arial" w:hAnsi="Arial"/>
                <w:sz w:val="14"/>
                <w:szCs w:val="14"/>
                <w:color w:val="auto"/>
              </w:rPr>
              <w:t>1</w:t>
            </w:r>
          </w:p>
        </w:tc>
        <w:tc>
          <w:tcPr>
            <w:tcW w:w="160" w:type="dxa"/>
            <w:vAlign w:val="bottom"/>
          </w:tcPr>
          <w:p>
            <w:pPr>
              <w:spacing w:after="0"/>
              <w:rPr>
                <w:sz w:val="12"/>
                <w:szCs w:val="12"/>
                <w:color w:val="auto"/>
              </w:rPr>
            </w:pPr>
          </w:p>
        </w:tc>
        <w:tc>
          <w:tcPr>
            <w:tcW w:w="2320" w:type="dxa"/>
            <w:vAlign w:val="bottom"/>
          </w:tcPr>
          <w:p>
            <w:pPr>
              <w:spacing w:after="0" w:line="149" w:lineRule="exact"/>
              <w:rPr>
                <w:sz w:val="20"/>
                <w:szCs w:val="20"/>
                <w:color w:val="auto"/>
              </w:rPr>
            </w:pPr>
            <w:r>
              <w:rPr>
                <w:rFonts w:ascii="Arial" w:cs="Arial" w:eastAsia="Arial" w:hAnsi="Arial"/>
                <w:sz w:val="14"/>
                <w:szCs w:val="14"/>
                <w:color w:val="auto"/>
              </w:rPr>
              <w:t>Dayton, OH</w:t>
            </w:r>
          </w:p>
        </w:tc>
        <w:tc>
          <w:tcPr>
            <w:tcW w:w="2100" w:type="dxa"/>
            <w:vAlign w:val="bottom"/>
          </w:tcPr>
          <w:p>
            <w:pPr>
              <w:jc w:val="center"/>
              <w:ind w:left="148"/>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8"/>
        </w:trPr>
        <w:tc>
          <w:tcPr>
            <w:tcW w:w="19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Hudson, NY</w:t>
            </w:r>
          </w:p>
        </w:tc>
        <w:tc>
          <w:tcPr>
            <w:tcW w:w="2420" w:type="dxa"/>
            <w:vAlign w:val="bottom"/>
            <w:shd w:val="clear" w:color="auto" w:fill="CCEEFF"/>
          </w:tcPr>
          <w:p>
            <w:pPr>
              <w:jc w:val="center"/>
              <w:ind w:left="508"/>
              <w:spacing w:after="0" w:line="149" w:lineRule="exact"/>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2"/>
                <w:szCs w:val="12"/>
                <w:color w:val="auto"/>
              </w:rPr>
            </w:pPr>
          </w:p>
        </w:tc>
        <w:tc>
          <w:tcPr>
            <w:tcW w:w="2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Elkhart, IN</w:t>
            </w:r>
          </w:p>
        </w:tc>
        <w:tc>
          <w:tcPr>
            <w:tcW w:w="2100" w:type="dxa"/>
            <w:vAlign w:val="bottom"/>
            <w:shd w:val="clear" w:color="auto" w:fill="CCEEFF"/>
          </w:tcPr>
          <w:p>
            <w:pPr>
              <w:jc w:val="center"/>
              <w:ind w:left="148"/>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8"/>
        </w:trPr>
        <w:tc>
          <w:tcPr>
            <w:tcW w:w="1980" w:type="dxa"/>
            <w:vAlign w:val="bottom"/>
          </w:tcPr>
          <w:p>
            <w:pPr>
              <w:ind w:left="20"/>
              <w:spacing w:after="0" w:line="149" w:lineRule="exact"/>
              <w:rPr>
                <w:sz w:val="20"/>
                <w:szCs w:val="20"/>
                <w:color w:val="auto"/>
              </w:rPr>
            </w:pPr>
            <w:r>
              <w:rPr>
                <w:rFonts w:ascii="Arial" w:cs="Arial" w:eastAsia="Arial" w:hAnsi="Arial"/>
                <w:sz w:val="14"/>
                <w:szCs w:val="14"/>
                <w:color w:val="auto"/>
              </w:rPr>
              <w:t>Jefferson, GA</w:t>
            </w:r>
          </w:p>
        </w:tc>
        <w:tc>
          <w:tcPr>
            <w:tcW w:w="2420" w:type="dxa"/>
            <w:vAlign w:val="bottom"/>
          </w:tcPr>
          <w:p>
            <w:pPr>
              <w:jc w:val="center"/>
              <w:ind w:left="508"/>
              <w:spacing w:after="0" w:line="149" w:lineRule="exact"/>
              <w:rPr>
                <w:sz w:val="20"/>
                <w:szCs w:val="20"/>
                <w:color w:val="auto"/>
              </w:rPr>
            </w:pPr>
            <w:r>
              <w:rPr>
                <w:rFonts w:ascii="Arial" w:cs="Arial" w:eastAsia="Arial" w:hAnsi="Arial"/>
                <w:sz w:val="14"/>
                <w:szCs w:val="14"/>
                <w:color w:val="auto"/>
              </w:rPr>
              <w:t>1</w:t>
            </w:r>
          </w:p>
        </w:tc>
        <w:tc>
          <w:tcPr>
            <w:tcW w:w="160" w:type="dxa"/>
            <w:vAlign w:val="bottom"/>
          </w:tcPr>
          <w:p>
            <w:pPr>
              <w:spacing w:after="0"/>
              <w:rPr>
                <w:sz w:val="12"/>
                <w:szCs w:val="12"/>
                <w:color w:val="auto"/>
              </w:rPr>
            </w:pPr>
          </w:p>
        </w:tc>
        <w:tc>
          <w:tcPr>
            <w:tcW w:w="2320" w:type="dxa"/>
            <w:vAlign w:val="bottom"/>
          </w:tcPr>
          <w:p>
            <w:pPr>
              <w:spacing w:after="0" w:line="149" w:lineRule="exact"/>
              <w:rPr>
                <w:sz w:val="20"/>
                <w:szCs w:val="20"/>
                <w:color w:val="auto"/>
              </w:rPr>
            </w:pPr>
            <w:r>
              <w:rPr>
                <w:rFonts w:ascii="Arial" w:cs="Arial" w:eastAsia="Arial" w:hAnsi="Arial"/>
                <w:sz w:val="14"/>
                <w:szCs w:val="14"/>
                <w:color w:val="auto"/>
              </w:rPr>
              <w:t>Fredericksburg, VA</w:t>
            </w:r>
          </w:p>
        </w:tc>
        <w:tc>
          <w:tcPr>
            <w:tcW w:w="2100" w:type="dxa"/>
            <w:vAlign w:val="bottom"/>
          </w:tcPr>
          <w:p>
            <w:pPr>
              <w:jc w:val="center"/>
              <w:ind w:left="148"/>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8"/>
        </w:trPr>
        <w:tc>
          <w:tcPr>
            <w:tcW w:w="19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Lafayette, CO</w:t>
            </w:r>
          </w:p>
        </w:tc>
        <w:tc>
          <w:tcPr>
            <w:tcW w:w="2420" w:type="dxa"/>
            <w:vAlign w:val="bottom"/>
            <w:shd w:val="clear" w:color="auto" w:fill="CCEEFF"/>
          </w:tcPr>
          <w:p>
            <w:pPr>
              <w:jc w:val="center"/>
              <w:ind w:left="508"/>
              <w:spacing w:after="0" w:line="149" w:lineRule="exact"/>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2"/>
                <w:szCs w:val="12"/>
                <w:color w:val="auto"/>
              </w:rPr>
            </w:pPr>
          </w:p>
        </w:tc>
        <w:tc>
          <w:tcPr>
            <w:tcW w:w="2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Haleyville, AL</w:t>
            </w:r>
          </w:p>
        </w:tc>
        <w:tc>
          <w:tcPr>
            <w:tcW w:w="2100" w:type="dxa"/>
            <w:vAlign w:val="bottom"/>
            <w:shd w:val="clear" w:color="auto" w:fill="CCEEFF"/>
          </w:tcPr>
          <w:p>
            <w:pPr>
              <w:jc w:val="center"/>
              <w:ind w:left="148"/>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1980" w:type="dxa"/>
            <w:vAlign w:val="bottom"/>
          </w:tcPr>
          <w:p>
            <w:pPr>
              <w:ind w:left="20"/>
              <w:spacing w:after="0" w:line="149" w:lineRule="exact"/>
              <w:rPr>
                <w:sz w:val="20"/>
                <w:szCs w:val="20"/>
                <w:color w:val="auto"/>
              </w:rPr>
            </w:pPr>
            <w:r>
              <w:rPr>
                <w:rFonts w:ascii="Arial" w:cs="Arial" w:eastAsia="Arial" w:hAnsi="Arial"/>
                <w:sz w:val="14"/>
                <w:szCs w:val="14"/>
                <w:color w:val="auto"/>
              </w:rPr>
              <w:t>Liberty, NC</w:t>
            </w:r>
          </w:p>
        </w:tc>
        <w:tc>
          <w:tcPr>
            <w:tcW w:w="2420" w:type="dxa"/>
            <w:vAlign w:val="bottom"/>
          </w:tcPr>
          <w:p>
            <w:pPr>
              <w:jc w:val="center"/>
              <w:ind w:left="508"/>
              <w:spacing w:after="0" w:line="149" w:lineRule="exact"/>
              <w:rPr>
                <w:sz w:val="20"/>
                <w:szCs w:val="20"/>
                <w:color w:val="auto"/>
              </w:rPr>
            </w:pPr>
            <w:r>
              <w:rPr>
                <w:rFonts w:ascii="Arial" w:cs="Arial" w:eastAsia="Arial" w:hAnsi="Arial"/>
                <w:sz w:val="14"/>
                <w:szCs w:val="14"/>
                <w:color w:val="auto"/>
              </w:rPr>
              <w:t>1</w:t>
            </w:r>
          </w:p>
        </w:tc>
        <w:tc>
          <w:tcPr>
            <w:tcW w:w="160" w:type="dxa"/>
            <w:vAlign w:val="bottom"/>
          </w:tcPr>
          <w:p>
            <w:pPr>
              <w:spacing w:after="0"/>
              <w:rPr>
                <w:sz w:val="12"/>
                <w:szCs w:val="12"/>
                <w:color w:val="auto"/>
              </w:rPr>
            </w:pPr>
          </w:p>
        </w:tc>
        <w:tc>
          <w:tcPr>
            <w:tcW w:w="2320" w:type="dxa"/>
            <w:vAlign w:val="bottom"/>
          </w:tcPr>
          <w:p>
            <w:pPr>
              <w:spacing w:after="0" w:line="149" w:lineRule="exact"/>
              <w:rPr>
                <w:sz w:val="20"/>
                <w:szCs w:val="20"/>
                <w:color w:val="auto"/>
              </w:rPr>
            </w:pPr>
            <w:r>
              <w:rPr>
                <w:rFonts w:ascii="Arial" w:cs="Arial" w:eastAsia="Arial" w:hAnsi="Arial"/>
                <w:sz w:val="14"/>
                <w:szCs w:val="14"/>
                <w:color w:val="auto"/>
              </w:rPr>
              <w:t>Kyle, TX</w:t>
            </w:r>
          </w:p>
        </w:tc>
        <w:tc>
          <w:tcPr>
            <w:tcW w:w="2100" w:type="dxa"/>
            <w:vAlign w:val="bottom"/>
          </w:tcPr>
          <w:p>
            <w:pPr>
              <w:jc w:val="center"/>
              <w:ind w:left="148"/>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8"/>
        </w:trPr>
        <w:tc>
          <w:tcPr>
            <w:tcW w:w="19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Locust, NC</w:t>
            </w:r>
          </w:p>
        </w:tc>
        <w:tc>
          <w:tcPr>
            <w:tcW w:w="2420" w:type="dxa"/>
            <w:vAlign w:val="bottom"/>
            <w:shd w:val="clear" w:color="auto" w:fill="CCEEFF"/>
          </w:tcPr>
          <w:p>
            <w:pPr>
              <w:jc w:val="center"/>
              <w:ind w:left="508"/>
              <w:spacing w:after="0" w:line="149" w:lineRule="exact"/>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2"/>
                <w:szCs w:val="12"/>
                <w:color w:val="auto"/>
              </w:rPr>
            </w:pPr>
          </w:p>
        </w:tc>
        <w:tc>
          <w:tcPr>
            <w:tcW w:w="2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Ontario, CA</w:t>
            </w:r>
          </w:p>
        </w:tc>
        <w:tc>
          <w:tcPr>
            <w:tcW w:w="2100" w:type="dxa"/>
            <w:vAlign w:val="bottom"/>
            <w:shd w:val="clear" w:color="auto" w:fill="CCEEFF"/>
          </w:tcPr>
          <w:p>
            <w:pPr>
              <w:jc w:val="center"/>
              <w:ind w:left="148"/>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8"/>
        </w:trPr>
        <w:tc>
          <w:tcPr>
            <w:tcW w:w="1980" w:type="dxa"/>
            <w:vAlign w:val="bottom"/>
          </w:tcPr>
          <w:p>
            <w:pPr>
              <w:ind w:left="20"/>
              <w:spacing w:after="0" w:line="149" w:lineRule="exact"/>
              <w:rPr>
                <w:sz w:val="20"/>
                <w:szCs w:val="20"/>
                <w:color w:val="auto"/>
              </w:rPr>
            </w:pPr>
            <w:r>
              <w:rPr>
                <w:rFonts w:ascii="Arial" w:cs="Arial" w:eastAsia="Arial" w:hAnsi="Arial"/>
                <w:sz w:val="14"/>
                <w:szCs w:val="14"/>
                <w:color w:val="auto"/>
              </w:rPr>
              <w:t>London, UK</w:t>
            </w:r>
          </w:p>
        </w:tc>
        <w:tc>
          <w:tcPr>
            <w:tcW w:w="2420" w:type="dxa"/>
            <w:vAlign w:val="bottom"/>
          </w:tcPr>
          <w:p>
            <w:pPr>
              <w:jc w:val="center"/>
              <w:ind w:left="508"/>
              <w:spacing w:after="0" w:line="149" w:lineRule="exact"/>
              <w:rPr>
                <w:sz w:val="20"/>
                <w:szCs w:val="20"/>
                <w:color w:val="auto"/>
              </w:rPr>
            </w:pPr>
            <w:r>
              <w:rPr>
                <w:rFonts w:ascii="Arial" w:cs="Arial" w:eastAsia="Arial" w:hAnsi="Arial"/>
                <w:sz w:val="14"/>
                <w:szCs w:val="14"/>
                <w:color w:val="auto"/>
              </w:rPr>
              <w:t>1</w:t>
            </w:r>
          </w:p>
        </w:tc>
        <w:tc>
          <w:tcPr>
            <w:tcW w:w="160" w:type="dxa"/>
            <w:vAlign w:val="bottom"/>
          </w:tcPr>
          <w:p>
            <w:pPr>
              <w:spacing w:after="0"/>
              <w:rPr>
                <w:sz w:val="12"/>
                <w:szCs w:val="12"/>
                <w:color w:val="auto"/>
              </w:rPr>
            </w:pPr>
          </w:p>
        </w:tc>
        <w:tc>
          <w:tcPr>
            <w:tcW w:w="2320" w:type="dxa"/>
            <w:vAlign w:val="bottom"/>
          </w:tcPr>
          <w:p>
            <w:pPr>
              <w:spacing w:after="0" w:line="149" w:lineRule="exact"/>
              <w:rPr>
                <w:sz w:val="20"/>
                <w:szCs w:val="20"/>
                <w:color w:val="auto"/>
              </w:rPr>
            </w:pPr>
            <w:r>
              <w:rPr>
                <w:rFonts w:ascii="Arial" w:cs="Arial" w:eastAsia="Arial" w:hAnsi="Arial"/>
                <w:sz w:val="14"/>
                <w:szCs w:val="14"/>
                <w:color w:val="auto"/>
              </w:rPr>
              <w:t>Payallup, WA</w:t>
            </w:r>
          </w:p>
        </w:tc>
        <w:tc>
          <w:tcPr>
            <w:tcW w:w="2100" w:type="dxa"/>
            <w:vAlign w:val="bottom"/>
          </w:tcPr>
          <w:p>
            <w:pPr>
              <w:jc w:val="center"/>
              <w:ind w:left="148"/>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8"/>
        </w:trPr>
        <w:tc>
          <w:tcPr>
            <w:tcW w:w="19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Londonderry, NH</w:t>
            </w:r>
          </w:p>
        </w:tc>
        <w:tc>
          <w:tcPr>
            <w:tcW w:w="2420" w:type="dxa"/>
            <w:vAlign w:val="bottom"/>
            <w:shd w:val="clear" w:color="auto" w:fill="CCEEFF"/>
          </w:tcPr>
          <w:p>
            <w:pPr>
              <w:jc w:val="center"/>
              <w:ind w:left="508"/>
              <w:spacing w:after="0" w:line="149" w:lineRule="exact"/>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2"/>
                <w:szCs w:val="12"/>
                <w:color w:val="auto"/>
              </w:rPr>
            </w:pPr>
          </w:p>
        </w:tc>
        <w:tc>
          <w:tcPr>
            <w:tcW w:w="2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 Louis, MO</w:t>
            </w:r>
          </w:p>
        </w:tc>
        <w:tc>
          <w:tcPr>
            <w:tcW w:w="2100" w:type="dxa"/>
            <w:vAlign w:val="bottom"/>
            <w:shd w:val="clear" w:color="auto" w:fill="CCEEFF"/>
          </w:tcPr>
          <w:p>
            <w:pPr>
              <w:jc w:val="center"/>
              <w:ind w:left="148"/>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8"/>
        </w:trPr>
        <w:tc>
          <w:tcPr>
            <w:tcW w:w="1980" w:type="dxa"/>
            <w:vAlign w:val="bottom"/>
          </w:tcPr>
          <w:p>
            <w:pPr>
              <w:ind w:left="20"/>
              <w:spacing w:after="0" w:line="149" w:lineRule="exact"/>
              <w:rPr>
                <w:sz w:val="20"/>
                <w:szCs w:val="20"/>
                <w:color w:val="auto"/>
              </w:rPr>
            </w:pPr>
            <w:r>
              <w:rPr>
                <w:rFonts w:ascii="Arial" w:cs="Arial" w:eastAsia="Arial" w:hAnsi="Arial"/>
                <w:sz w:val="14"/>
                <w:szCs w:val="14"/>
                <w:color w:val="auto"/>
              </w:rPr>
              <w:t>Minneota, MN</w:t>
            </w:r>
          </w:p>
        </w:tc>
        <w:tc>
          <w:tcPr>
            <w:tcW w:w="2420" w:type="dxa"/>
            <w:vAlign w:val="bottom"/>
          </w:tcPr>
          <w:p>
            <w:pPr>
              <w:jc w:val="center"/>
              <w:ind w:left="508"/>
              <w:spacing w:after="0" w:line="149" w:lineRule="exact"/>
              <w:rPr>
                <w:sz w:val="20"/>
                <w:szCs w:val="20"/>
                <w:color w:val="auto"/>
              </w:rPr>
            </w:pPr>
            <w:r>
              <w:rPr>
                <w:rFonts w:ascii="Arial" w:cs="Arial" w:eastAsia="Arial" w:hAnsi="Arial"/>
                <w:sz w:val="14"/>
                <w:szCs w:val="14"/>
                <w:color w:val="auto"/>
              </w:rPr>
              <w:t>1</w:t>
            </w:r>
          </w:p>
        </w:tc>
        <w:tc>
          <w:tcPr>
            <w:tcW w:w="160" w:type="dxa"/>
            <w:vAlign w:val="bottom"/>
          </w:tcPr>
          <w:p>
            <w:pPr>
              <w:spacing w:after="0"/>
              <w:rPr>
                <w:sz w:val="12"/>
                <w:szCs w:val="12"/>
                <w:color w:val="auto"/>
              </w:rPr>
            </w:pPr>
          </w:p>
        </w:tc>
        <w:tc>
          <w:tcPr>
            <w:tcW w:w="2320" w:type="dxa"/>
            <w:vAlign w:val="bottom"/>
          </w:tcPr>
          <w:p>
            <w:pPr>
              <w:spacing w:after="0" w:line="149" w:lineRule="exact"/>
              <w:rPr>
                <w:sz w:val="20"/>
                <w:szCs w:val="20"/>
                <w:color w:val="auto"/>
              </w:rPr>
            </w:pPr>
            <w:r>
              <w:rPr>
                <w:rFonts w:ascii="Arial" w:cs="Arial" w:eastAsia="Arial" w:hAnsi="Arial"/>
                <w:sz w:val="14"/>
                <w:szCs w:val="14"/>
                <w:color w:val="auto"/>
              </w:rPr>
              <w:t>Stanfield, NC</w:t>
            </w:r>
          </w:p>
        </w:tc>
        <w:tc>
          <w:tcPr>
            <w:tcW w:w="2100" w:type="dxa"/>
            <w:vAlign w:val="bottom"/>
          </w:tcPr>
          <w:p>
            <w:pPr>
              <w:jc w:val="center"/>
              <w:ind w:left="148"/>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9"/>
        </w:trPr>
        <w:tc>
          <w:tcPr>
            <w:tcW w:w="19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Nampa, ID</w:t>
            </w:r>
          </w:p>
        </w:tc>
        <w:tc>
          <w:tcPr>
            <w:tcW w:w="2420" w:type="dxa"/>
            <w:vAlign w:val="bottom"/>
            <w:shd w:val="clear" w:color="auto" w:fill="CCEEFF"/>
          </w:tcPr>
          <w:p>
            <w:pPr>
              <w:jc w:val="center"/>
              <w:ind w:left="508"/>
              <w:spacing w:after="0" w:line="149" w:lineRule="exact"/>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2"/>
                <w:szCs w:val="12"/>
                <w:color w:val="auto"/>
              </w:rPr>
            </w:pPr>
          </w:p>
        </w:tc>
        <w:tc>
          <w:tcPr>
            <w:tcW w:w="2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Washington, NC</w:t>
            </w:r>
          </w:p>
        </w:tc>
        <w:tc>
          <w:tcPr>
            <w:tcW w:w="2100" w:type="dxa"/>
            <w:vAlign w:val="bottom"/>
            <w:shd w:val="clear" w:color="auto" w:fill="CCEEFF"/>
          </w:tcPr>
          <w:p>
            <w:pPr>
              <w:jc w:val="center"/>
              <w:ind w:left="148"/>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8"/>
        </w:trPr>
        <w:tc>
          <w:tcPr>
            <w:tcW w:w="1980" w:type="dxa"/>
            <w:vAlign w:val="bottom"/>
          </w:tcPr>
          <w:p>
            <w:pPr>
              <w:ind w:left="20"/>
              <w:spacing w:after="0" w:line="149" w:lineRule="exact"/>
              <w:rPr>
                <w:sz w:val="20"/>
                <w:szCs w:val="20"/>
                <w:color w:val="auto"/>
              </w:rPr>
            </w:pPr>
            <w:r>
              <w:rPr>
                <w:rFonts w:ascii="Arial" w:cs="Arial" w:eastAsia="Arial" w:hAnsi="Arial"/>
                <w:sz w:val="14"/>
                <w:szCs w:val="14"/>
                <w:color w:val="auto"/>
              </w:rPr>
              <w:t>Narrows, VA</w:t>
            </w:r>
          </w:p>
        </w:tc>
        <w:tc>
          <w:tcPr>
            <w:tcW w:w="2420" w:type="dxa"/>
            <w:vAlign w:val="bottom"/>
          </w:tcPr>
          <w:p>
            <w:pPr>
              <w:jc w:val="center"/>
              <w:ind w:left="508"/>
              <w:spacing w:after="0" w:line="149" w:lineRule="exact"/>
              <w:rPr>
                <w:sz w:val="20"/>
                <w:szCs w:val="20"/>
                <w:color w:val="auto"/>
              </w:rPr>
            </w:pPr>
            <w:r>
              <w:rPr>
                <w:rFonts w:ascii="Arial" w:cs="Arial" w:eastAsia="Arial" w:hAnsi="Arial"/>
                <w:sz w:val="14"/>
                <w:szCs w:val="14"/>
                <w:color w:val="auto"/>
              </w:rPr>
              <w:t>1</w:t>
            </w:r>
          </w:p>
        </w:tc>
        <w:tc>
          <w:tcPr>
            <w:tcW w:w="160" w:type="dxa"/>
            <w:vAlign w:val="bottom"/>
          </w:tcPr>
          <w:p>
            <w:pPr>
              <w:spacing w:after="0"/>
              <w:rPr>
                <w:sz w:val="12"/>
                <w:szCs w:val="12"/>
                <w:color w:val="auto"/>
              </w:rPr>
            </w:pPr>
          </w:p>
        </w:tc>
        <w:tc>
          <w:tcPr>
            <w:tcW w:w="2320" w:type="dxa"/>
            <w:vAlign w:val="bottom"/>
          </w:tcPr>
          <w:p>
            <w:pPr>
              <w:spacing w:after="0" w:line="149" w:lineRule="exact"/>
              <w:rPr>
                <w:sz w:val="20"/>
                <w:szCs w:val="20"/>
                <w:color w:val="auto"/>
              </w:rPr>
            </w:pPr>
            <w:r>
              <w:rPr>
                <w:rFonts w:ascii="Arial" w:cs="Arial" w:eastAsia="Arial" w:hAnsi="Arial"/>
                <w:sz w:val="14"/>
                <w:szCs w:val="14"/>
                <w:color w:val="auto"/>
              </w:rPr>
              <w:t>Bangalore, India</w:t>
            </w:r>
          </w:p>
        </w:tc>
        <w:tc>
          <w:tcPr>
            <w:tcW w:w="2100" w:type="dxa"/>
            <w:vAlign w:val="bottom"/>
          </w:tcPr>
          <w:p>
            <w:pPr>
              <w:jc w:val="center"/>
              <w:ind w:left="148"/>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8"/>
        </w:trPr>
        <w:tc>
          <w:tcPr>
            <w:tcW w:w="19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Naugatuck, CT</w:t>
            </w:r>
          </w:p>
        </w:tc>
        <w:tc>
          <w:tcPr>
            <w:tcW w:w="2420" w:type="dxa"/>
            <w:vAlign w:val="bottom"/>
            <w:shd w:val="clear" w:color="auto" w:fill="CCEEFF"/>
          </w:tcPr>
          <w:p>
            <w:pPr>
              <w:jc w:val="center"/>
              <w:ind w:left="508"/>
              <w:spacing w:after="0" w:line="149" w:lineRule="exact"/>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2"/>
                <w:szCs w:val="12"/>
                <w:color w:val="auto"/>
              </w:rPr>
            </w:pPr>
          </w:p>
        </w:tc>
        <w:tc>
          <w:tcPr>
            <w:tcW w:w="232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Wujiang City, Jiangsu Province</w:t>
            </w:r>
          </w:p>
        </w:tc>
        <w:tc>
          <w:tcPr>
            <w:tcW w:w="2100" w:type="dxa"/>
            <w:vAlign w:val="bottom"/>
            <w:tcBorders>
              <w:bottom w:val="single" w:sz="8" w:color="auto"/>
            </w:tcBorders>
            <w:shd w:val="clear" w:color="auto" w:fill="CCEEFF"/>
          </w:tcPr>
          <w:p>
            <w:pPr>
              <w:jc w:val="center"/>
              <w:ind w:left="148"/>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bl>
    <w:p>
      <w:pPr>
        <w:spacing w:after="0" w:line="31" w:lineRule="exact"/>
        <w:rPr>
          <w:sz w:val="20"/>
          <w:szCs w:val="20"/>
          <w:color w:val="auto"/>
        </w:rPr>
      </w:pPr>
    </w:p>
    <w:p>
      <w:pPr>
        <w:sectPr>
          <w:pgSz w:w="11900" w:h="16838" w:orient="portrait"/>
          <w:cols w:equalWidth="0" w:num="1">
            <w:col w:w="9020"/>
          </w:cols>
          <w:pgMar w:left="1440" w:top="121" w:right="1439" w:bottom="1440" w:gutter="0" w:footer="0" w:header="0"/>
        </w:sectPr>
      </w:pPr>
    </w:p>
    <w:p>
      <w:pPr>
        <w:spacing w:after="0" w:line="28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2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Property Location</w:t>
            </w:r>
          </w:p>
        </w:tc>
        <w:tc>
          <w:tcPr>
            <w:tcW w:w="3140" w:type="dxa"/>
            <w:vAlign w:val="bottom"/>
          </w:tcPr>
          <w:p>
            <w:pPr>
              <w:ind w:left="120"/>
              <w:spacing w:after="0"/>
              <w:rPr>
                <w:sz w:val="20"/>
                <w:szCs w:val="20"/>
                <w:color w:val="auto"/>
              </w:rPr>
            </w:pPr>
            <w:r>
              <w:rPr>
                <w:rFonts w:ascii="Arial" w:cs="Arial" w:eastAsia="Arial" w:hAnsi="Arial"/>
                <w:sz w:val="14"/>
                <w:szCs w:val="14"/>
                <w:b w:val="1"/>
                <w:bCs w:val="1"/>
                <w:color w:val="auto"/>
              </w:rPr>
              <w:t>INDUSTRIAL SEGMENT</w:t>
            </w:r>
          </w:p>
        </w:tc>
        <w:tc>
          <w:tcPr>
            <w:tcW w:w="0" w:type="dxa"/>
            <w:vAlign w:val="bottom"/>
          </w:tcPr>
          <w:p>
            <w:pPr>
              <w:spacing w:after="0"/>
              <w:rPr>
                <w:sz w:val="1"/>
                <w:szCs w:val="1"/>
                <w:color w:val="auto"/>
              </w:rPr>
            </w:pPr>
          </w:p>
        </w:tc>
      </w:tr>
      <w:tr>
        <w:trPr>
          <w:trHeight w:val="171"/>
        </w:trPr>
        <w:tc>
          <w:tcPr>
            <w:tcW w:w="1260" w:type="dxa"/>
            <w:vAlign w:val="bottom"/>
            <w:tcBorders>
              <w:bottom w:val="single" w:sz="8" w:color="auto"/>
            </w:tcBorders>
            <w:vMerge w:val="continue"/>
          </w:tcPr>
          <w:p>
            <w:pPr>
              <w:spacing w:after="0"/>
              <w:rPr>
                <w:sz w:val="14"/>
                <w:szCs w:val="14"/>
                <w:color w:val="auto"/>
              </w:rPr>
            </w:pPr>
          </w:p>
        </w:tc>
        <w:tc>
          <w:tcPr>
            <w:tcW w:w="3140" w:type="dxa"/>
            <w:vAlign w:val="bottom"/>
            <w:tcBorders>
              <w:bottom w:val="single" w:sz="8" w:color="auto"/>
            </w:tcBorders>
          </w:tcPr>
          <w:p>
            <w:pPr>
              <w:jc w:val="center"/>
              <w:ind w:left="1220"/>
              <w:spacing w:after="0"/>
              <w:rPr>
                <w:sz w:val="20"/>
                <w:szCs w:val="20"/>
                <w:color w:val="auto"/>
              </w:rPr>
            </w:pPr>
            <w:r>
              <w:rPr>
                <w:rFonts w:ascii="Arial" w:cs="Arial" w:eastAsia="Arial" w:hAnsi="Arial"/>
                <w:sz w:val="14"/>
                <w:szCs w:val="14"/>
                <w:b w:val="1"/>
                <w:bCs w:val="1"/>
                <w:color w:val="auto"/>
                <w:w w:val="92"/>
              </w:rPr>
              <w:t>Number of Properties</w:t>
            </w:r>
          </w:p>
        </w:tc>
        <w:tc>
          <w:tcPr>
            <w:tcW w:w="0" w:type="dxa"/>
            <w:vAlign w:val="bottom"/>
          </w:tcPr>
          <w:p>
            <w:pPr>
              <w:spacing w:after="0"/>
              <w:rPr>
                <w:sz w:val="1"/>
                <w:szCs w:val="1"/>
                <w:color w:val="auto"/>
              </w:rPr>
            </w:pPr>
          </w:p>
        </w:tc>
      </w:tr>
      <w:tr>
        <w:trPr>
          <w:trHeight w:val="186"/>
        </w:trPr>
        <w:tc>
          <w:tcPr>
            <w:tcW w:w="1260" w:type="dxa"/>
            <w:vAlign w:val="bottom"/>
          </w:tcPr>
          <w:p>
            <w:pPr>
              <w:ind w:left="20"/>
              <w:spacing w:after="0"/>
              <w:rPr>
                <w:sz w:val="20"/>
                <w:szCs w:val="20"/>
                <w:color w:val="auto"/>
              </w:rPr>
            </w:pPr>
            <w:r>
              <w:rPr>
                <w:rFonts w:ascii="Arial" w:cs="Arial" w:eastAsia="Arial" w:hAnsi="Arial"/>
                <w:sz w:val="14"/>
                <w:szCs w:val="14"/>
                <w:color w:val="auto"/>
              </w:rPr>
              <w:t>Ashburn, GA</w:t>
            </w:r>
          </w:p>
        </w:tc>
        <w:tc>
          <w:tcPr>
            <w:tcW w:w="3140" w:type="dxa"/>
            <w:vAlign w:val="bottom"/>
          </w:tcPr>
          <w:p>
            <w:pPr>
              <w:jc w:val="center"/>
              <w:ind w:left="1220"/>
              <w:spacing w:after="0"/>
              <w:rPr>
                <w:sz w:val="20"/>
                <w:szCs w:val="20"/>
                <w:color w:val="auto"/>
              </w:rPr>
            </w:pPr>
            <w:r>
              <w:rPr>
                <w:rFonts w:ascii="Arial" w:cs="Arial" w:eastAsia="Arial" w:hAnsi="Arial"/>
                <w:sz w:val="16"/>
                <w:szCs w:val="16"/>
                <w:color w:val="auto"/>
                <w:w w:val="89"/>
              </w:rPr>
              <w:t>1</w:t>
            </w:r>
          </w:p>
        </w:tc>
        <w:tc>
          <w:tcPr>
            <w:tcW w:w="0" w:type="dxa"/>
            <w:vAlign w:val="bottom"/>
          </w:tcPr>
          <w:p>
            <w:pPr>
              <w:spacing w:after="0"/>
              <w:rPr>
                <w:sz w:val="1"/>
                <w:szCs w:val="1"/>
                <w:color w:val="auto"/>
              </w:rPr>
            </w:pPr>
          </w:p>
        </w:tc>
      </w:tr>
      <w:tr>
        <w:trPr>
          <w:trHeight w:val="203"/>
        </w:trPr>
        <w:tc>
          <w:tcPr>
            <w:tcW w:w="1260" w:type="dxa"/>
            <w:vAlign w:val="bottom"/>
          </w:tcPr>
          <w:p>
            <w:pPr>
              <w:ind w:left="20"/>
              <w:spacing w:after="0"/>
              <w:rPr>
                <w:sz w:val="20"/>
                <w:szCs w:val="20"/>
                <w:color w:val="auto"/>
              </w:rPr>
            </w:pPr>
            <w:r>
              <w:rPr>
                <w:rFonts w:ascii="Arial" w:cs="Arial" w:eastAsia="Arial" w:hAnsi="Arial"/>
                <w:sz w:val="14"/>
                <w:szCs w:val="14"/>
                <w:color w:val="auto"/>
              </w:rPr>
              <w:t>Auburndale, FL</w:t>
            </w:r>
          </w:p>
        </w:tc>
        <w:tc>
          <w:tcPr>
            <w:tcW w:w="3140" w:type="dxa"/>
            <w:vAlign w:val="bottom"/>
          </w:tcPr>
          <w:p>
            <w:pPr>
              <w:jc w:val="center"/>
              <w:ind w:left="1220"/>
              <w:spacing w:after="0"/>
              <w:rPr>
                <w:sz w:val="20"/>
                <w:szCs w:val="20"/>
                <w:color w:val="auto"/>
              </w:rPr>
            </w:pPr>
            <w:r>
              <w:rPr>
                <w:rFonts w:ascii="Arial" w:cs="Arial" w:eastAsia="Arial" w:hAnsi="Arial"/>
                <w:sz w:val="16"/>
                <w:szCs w:val="16"/>
                <w:color w:val="auto"/>
                <w:w w:val="89"/>
              </w:rPr>
              <w:t>2</w:t>
            </w:r>
          </w:p>
        </w:tc>
        <w:tc>
          <w:tcPr>
            <w:tcW w:w="0" w:type="dxa"/>
            <w:vAlign w:val="bottom"/>
          </w:tcPr>
          <w:p>
            <w:pPr>
              <w:spacing w:after="0"/>
              <w:rPr>
                <w:sz w:val="1"/>
                <w:szCs w:val="1"/>
                <w:color w:val="auto"/>
              </w:rPr>
            </w:pPr>
          </w:p>
        </w:tc>
      </w:tr>
      <w:tr>
        <w:trPr>
          <w:trHeight w:val="203"/>
        </w:trPr>
        <w:tc>
          <w:tcPr>
            <w:tcW w:w="1260" w:type="dxa"/>
            <w:vAlign w:val="bottom"/>
          </w:tcPr>
          <w:p>
            <w:pPr>
              <w:ind w:left="20"/>
              <w:spacing w:after="0"/>
              <w:rPr>
                <w:sz w:val="20"/>
                <w:szCs w:val="20"/>
                <w:color w:val="auto"/>
              </w:rPr>
            </w:pPr>
            <w:r>
              <w:rPr>
                <w:rFonts w:ascii="Arial" w:cs="Arial" w:eastAsia="Arial" w:hAnsi="Arial"/>
                <w:sz w:val="14"/>
                <w:szCs w:val="14"/>
                <w:color w:val="auto"/>
              </w:rPr>
              <w:t>Blanchester, OH</w:t>
            </w:r>
          </w:p>
        </w:tc>
        <w:tc>
          <w:tcPr>
            <w:tcW w:w="3140" w:type="dxa"/>
            <w:vAlign w:val="bottom"/>
          </w:tcPr>
          <w:p>
            <w:pPr>
              <w:jc w:val="center"/>
              <w:ind w:left="1220"/>
              <w:spacing w:after="0"/>
              <w:rPr>
                <w:sz w:val="20"/>
                <w:szCs w:val="20"/>
                <w:color w:val="auto"/>
              </w:rPr>
            </w:pPr>
            <w:r>
              <w:rPr>
                <w:rFonts w:ascii="Arial" w:cs="Arial" w:eastAsia="Arial" w:hAnsi="Arial"/>
                <w:sz w:val="16"/>
                <w:szCs w:val="16"/>
                <w:color w:val="auto"/>
                <w:w w:val="89"/>
              </w:rPr>
              <w:t>1</w:t>
            </w:r>
          </w:p>
        </w:tc>
        <w:tc>
          <w:tcPr>
            <w:tcW w:w="0" w:type="dxa"/>
            <w:vAlign w:val="bottom"/>
          </w:tcPr>
          <w:p>
            <w:pPr>
              <w:spacing w:after="0"/>
              <w:rPr>
                <w:sz w:val="1"/>
                <w:szCs w:val="1"/>
                <w:color w:val="auto"/>
              </w:rPr>
            </w:pPr>
          </w:p>
        </w:tc>
      </w:tr>
      <w:tr>
        <w:trPr>
          <w:trHeight w:val="203"/>
        </w:trPr>
        <w:tc>
          <w:tcPr>
            <w:tcW w:w="1260" w:type="dxa"/>
            <w:vAlign w:val="bottom"/>
          </w:tcPr>
          <w:p>
            <w:pPr>
              <w:ind w:left="20"/>
              <w:spacing w:after="0"/>
              <w:rPr>
                <w:sz w:val="20"/>
                <w:szCs w:val="20"/>
                <w:color w:val="auto"/>
              </w:rPr>
            </w:pPr>
            <w:r>
              <w:rPr>
                <w:rFonts w:ascii="Arial" w:cs="Arial" w:eastAsia="Arial" w:hAnsi="Arial"/>
                <w:sz w:val="14"/>
                <w:szCs w:val="14"/>
                <w:color w:val="auto"/>
              </w:rPr>
              <w:t>Blue Island, IL</w:t>
            </w:r>
          </w:p>
        </w:tc>
        <w:tc>
          <w:tcPr>
            <w:tcW w:w="3140" w:type="dxa"/>
            <w:vAlign w:val="bottom"/>
          </w:tcPr>
          <w:p>
            <w:pPr>
              <w:jc w:val="center"/>
              <w:ind w:left="1220"/>
              <w:spacing w:after="0"/>
              <w:rPr>
                <w:sz w:val="20"/>
                <w:szCs w:val="20"/>
                <w:color w:val="auto"/>
              </w:rPr>
            </w:pPr>
            <w:r>
              <w:rPr>
                <w:rFonts w:ascii="Arial" w:cs="Arial" w:eastAsia="Arial" w:hAnsi="Arial"/>
                <w:sz w:val="16"/>
                <w:szCs w:val="16"/>
                <w:color w:val="auto"/>
                <w:w w:val="89"/>
              </w:rPr>
              <w:t>1</w:t>
            </w:r>
          </w:p>
        </w:tc>
        <w:tc>
          <w:tcPr>
            <w:tcW w:w="0" w:type="dxa"/>
            <w:vAlign w:val="bottom"/>
          </w:tcPr>
          <w:p>
            <w:pPr>
              <w:spacing w:after="0"/>
              <w:rPr>
                <w:sz w:val="1"/>
                <w:szCs w:val="1"/>
                <w:color w:val="auto"/>
              </w:rPr>
            </w:pPr>
          </w:p>
        </w:tc>
      </w:tr>
      <w:tr>
        <w:trPr>
          <w:trHeight w:val="203"/>
        </w:trPr>
        <w:tc>
          <w:tcPr>
            <w:tcW w:w="1260" w:type="dxa"/>
            <w:vAlign w:val="bottom"/>
          </w:tcPr>
          <w:p>
            <w:pPr>
              <w:ind w:left="20"/>
              <w:spacing w:after="0"/>
              <w:rPr>
                <w:sz w:val="20"/>
                <w:szCs w:val="20"/>
                <w:color w:val="auto"/>
              </w:rPr>
            </w:pPr>
            <w:r>
              <w:rPr>
                <w:rFonts w:ascii="Arial" w:cs="Arial" w:eastAsia="Arial" w:hAnsi="Arial"/>
                <w:sz w:val="14"/>
                <w:szCs w:val="14"/>
                <w:color w:val="auto"/>
              </w:rPr>
              <w:t>Chaffee, NY</w:t>
            </w:r>
          </w:p>
        </w:tc>
        <w:tc>
          <w:tcPr>
            <w:tcW w:w="3140" w:type="dxa"/>
            <w:vAlign w:val="bottom"/>
          </w:tcPr>
          <w:p>
            <w:pPr>
              <w:jc w:val="center"/>
              <w:ind w:left="1220"/>
              <w:spacing w:after="0"/>
              <w:rPr>
                <w:sz w:val="20"/>
                <w:szCs w:val="20"/>
                <w:color w:val="auto"/>
              </w:rPr>
            </w:pPr>
            <w:r>
              <w:rPr>
                <w:rFonts w:ascii="Arial" w:cs="Arial" w:eastAsia="Arial" w:hAnsi="Arial"/>
                <w:sz w:val="16"/>
                <w:szCs w:val="16"/>
                <w:color w:val="auto"/>
                <w:w w:val="89"/>
              </w:rPr>
              <w:t>1</w:t>
            </w:r>
          </w:p>
        </w:tc>
        <w:tc>
          <w:tcPr>
            <w:tcW w:w="0" w:type="dxa"/>
            <w:vAlign w:val="bottom"/>
          </w:tcPr>
          <w:p>
            <w:pPr>
              <w:spacing w:after="0"/>
              <w:rPr>
                <w:sz w:val="1"/>
                <w:szCs w:val="1"/>
                <w:color w:val="auto"/>
              </w:rPr>
            </w:pPr>
          </w:p>
        </w:tc>
      </w:tr>
      <w:tr>
        <w:trPr>
          <w:trHeight w:val="203"/>
        </w:trPr>
        <w:tc>
          <w:tcPr>
            <w:tcW w:w="1260" w:type="dxa"/>
            <w:vAlign w:val="bottom"/>
          </w:tcPr>
          <w:p>
            <w:pPr>
              <w:ind w:left="20"/>
              <w:spacing w:after="0"/>
              <w:rPr>
                <w:sz w:val="20"/>
                <w:szCs w:val="20"/>
                <w:color w:val="auto"/>
              </w:rPr>
            </w:pPr>
            <w:r>
              <w:rPr>
                <w:rFonts w:ascii="Arial" w:cs="Arial" w:eastAsia="Arial" w:hAnsi="Arial"/>
                <w:sz w:val="14"/>
                <w:szCs w:val="14"/>
                <w:color w:val="auto"/>
              </w:rPr>
              <w:t>Chandler, AZ</w:t>
            </w:r>
          </w:p>
        </w:tc>
        <w:tc>
          <w:tcPr>
            <w:tcW w:w="3140" w:type="dxa"/>
            <w:vAlign w:val="bottom"/>
          </w:tcPr>
          <w:p>
            <w:pPr>
              <w:jc w:val="center"/>
              <w:ind w:left="1220"/>
              <w:spacing w:after="0"/>
              <w:rPr>
                <w:sz w:val="20"/>
                <w:szCs w:val="20"/>
                <w:color w:val="auto"/>
              </w:rPr>
            </w:pPr>
            <w:r>
              <w:rPr>
                <w:rFonts w:ascii="Arial" w:cs="Arial" w:eastAsia="Arial" w:hAnsi="Arial"/>
                <w:sz w:val="16"/>
                <w:szCs w:val="16"/>
                <w:color w:val="auto"/>
                <w:w w:val="89"/>
              </w:rPr>
              <w:t>2</w:t>
            </w:r>
          </w:p>
        </w:tc>
        <w:tc>
          <w:tcPr>
            <w:tcW w:w="0" w:type="dxa"/>
            <w:vAlign w:val="bottom"/>
          </w:tcPr>
          <w:p>
            <w:pPr>
              <w:spacing w:after="0"/>
              <w:rPr>
                <w:sz w:val="1"/>
                <w:szCs w:val="1"/>
                <w:color w:val="auto"/>
              </w:rPr>
            </w:pPr>
          </w:p>
        </w:tc>
      </w:tr>
      <w:tr>
        <w:trPr>
          <w:trHeight w:val="203"/>
        </w:trPr>
        <w:tc>
          <w:tcPr>
            <w:tcW w:w="1260" w:type="dxa"/>
            <w:vAlign w:val="bottom"/>
          </w:tcPr>
          <w:p>
            <w:pPr>
              <w:ind w:left="20"/>
              <w:spacing w:after="0"/>
              <w:rPr>
                <w:sz w:val="20"/>
                <w:szCs w:val="20"/>
                <w:color w:val="auto"/>
              </w:rPr>
            </w:pPr>
            <w:r>
              <w:rPr>
                <w:rFonts w:ascii="Arial" w:cs="Arial" w:eastAsia="Arial" w:hAnsi="Arial"/>
                <w:sz w:val="14"/>
                <w:szCs w:val="14"/>
                <w:color w:val="auto"/>
              </w:rPr>
              <w:t>Eagan, MN</w:t>
            </w:r>
          </w:p>
        </w:tc>
        <w:tc>
          <w:tcPr>
            <w:tcW w:w="3140" w:type="dxa"/>
            <w:vAlign w:val="bottom"/>
          </w:tcPr>
          <w:p>
            <w:pPr>
              <w:jc w:val="center"/>
              <w:ind w:left="1220"/>
              <w:spacing w:after="0"/>
              <w:rPr>
                <w:sz w:val="20"/>
                <w:szCs w:val="20"/>
                <w:color w:val="auto"/>
              </w:rPr>
            </w:pPr>
            <w:r>
              <w:rPr>
                <w:rFonts w:ascii="Arial" w:cs="Arial" w:eastAsia="Arial" w:hAnsi="Arial"/>
                <w:sz w:val="16"/>
                <w:szCs w:val="16"/>
                <w:color w:val="auto"/>
                <w:w w:val="89"/>
              </w:rPr>
              <w:t>1</w:t>
            </w:r>
          </w:p>
        </w:tc>
        <w:tc>
          <w:tcPr>
            <w:tcW w:w="0" w:type="dxa"/>
            <w:vAlign w:val="bottom"/>
          </w:tcPr>
          <w:p>
            <w:pPr>
              <w:spacing w:after="0"/>
              <w:rPr>
                <w:sz w:val="1"/>
                <w:szCs w:val="1"/>
                <w:color w:val="auto"/>
              </w:rPr>
            </w:pPr>
          </w:p>
        </w:tc>
      </w:tr>
      <w:tr>
        <w:trPr>
          <w:trHeight w:val="203"/>
        </w:trPr>
        <w:tc>
          <w:tcPr>
            <w:tcW w:w="1260" w:type="dxa"/>
            <w:vAlign w:val="bottom"/>
          </w:tcPr>
          <w:p>
            <w:pPr>
              <w:ind w:left="20"/>
              <w:spacing w:after="0"/>
              <w:rPr>
                <w:sz w:val="20"/>
                <w:szCs w:val="20"/>
                <w:color w:val="auto"/>
              </w:rPr>
            </w:pPr>
            <w:r>
              <w:rPr>
                <w:rFonts w:ascii="Arial" w:cs="Arial" w:eastAsia="Arial" w:hAnsi="Arial"/>
                <w:sz w:val="14"/>
                <w:szCs w:val="14"/>
                <w:color w:val="auto"/>
              </w:rPr>
              <w:t>Eatonton, GA</w:t>
            </w:r>
          </w:p>
        </w:tc>
        <w:tc>
          <w:tcPr>
            <w:tcW w:w="3140" w:type="dxa"/>
            <w:vAlign w:val="bottom"/>
          </w:tcPr>
          <w:p>
            <w:pPr>
              <w:jc w:val="center"/>
              <w:ind w:left="1220"/>
              <w:spacing w:after="0"/>
              <w:rPr>
                <w:sz w:val="20"/>
                <w:szCs w:val="20"/>
                <w:color w:val="auto"/>
              </w:rPr>
            </w:pPr>
            <w:r>
              <w:rPr>
                <w:rFonts w:ascii="Arial" w:cs="Arial" w:eastAsia="Arial" w:hAnsi="Arial"/>
                <w:sz w:val="16"/>
                <w:szCs w:val="16"/>
                <w:color w:val="auto"/>
                <w:w w:val="89"/>
              </w:rPr>
              <w:t>2</w:t>
            </w:r>
          </w:p>
        </w:tc>
        <w:tc>
          <w:tcPr>
            <w:tcW w:w="0" w:type="dxa"/>
            <w:vAlign w:val="bottom"/>
          </w:tcPr>
          <w:p>
            <w:pPr>
              <w:spacing w:after="0"/>
              <w:rPr>
                <w:sz w:val="1"/>
                <w:szCs w:val="1"/>
                <w:color w:val="auto"/>
              </w:rPr>
            </w:pPr>
          </w:p>
        </w:tc>
      </w:tr>
      <w:tr>
        <w:trPr>
          <w:trHeight w:val="203"/>
        </w:trPr>
        <w:tc>
          <w:tcPr>
            <w:tcW w:w="1260" w:type="dxa"/>
            <w:vAlign w:val="bottom"/>
          </w:tcPr>
          <w:p>
            <w:pPr>
              <w:ind w:left="20"/>
              <w:spacing w:after="0"/>
              <w:rPr>
                <w:sz w:val="20"/>
                <w:szCs w:val="20"/>
                <w:color w:val="auto"/>
              </w:rPr>
            </w:pPr>
            <w:r>
              <w:rPr>
                <w:rFonts w:ascii="Arial" w:cs="Arial" w:eastAsia="Arial" w:hAnsi="Arial"/>
                <w:sz w:val="14"/>
                <w:szCs w:val="14"/>
                <w:color w:val="auto"/>
              </w:rPr>
              <w:t>Franklinton, NC</w:t>
            </w:r>
          </w:p>
        </w:tc>
        <w:tc>
          <w:tcPr>
            <w:tcW w:w="3140" w:type="dxa"/>
            <w:vAlign w:val="bottom"/>
          </w:tcPr>
          <w:p>
            <w:pPr>
              <w:jc w:val="center"/>
              <w:ind w:left="1220"/>
              <w:spacing w:after="0"/>
              <w:rPr>
                <w:sz w:val="20"/>
                <w:szCs w:val="20"/>
                <w:color w:val="auto"/>
              </w:rPr>
            </w:pPr>
            <w:r>
              <w:rPr>
                <w:rFonts w:ascii="Arial" w:cs="Arial" w:eastAsia="Arial" w:hAnsi="Arial"/>
                <w:sz w:val="16"/>
                <w:szCs w:val="16"/>
                <w:color w:val="auto"/>
                <w:w w:val="89"/>
              </w:rPr>
              <w:t>1</w:t>
            </w:r>
          </w:p>
        </w:tc>
        <w:tc>
          <w:tcPr>
            <w:tcW w:w="0" w:type="dxa"/>
            <w:vAlign w:val="bottom"/>
          </w:tcPr>
          <w:p>
            <w:pPr>
              <w:spacing w:after="0"/>
              <w:rPr>
                <w:sz w:val="1"/>
                <w:szCs w:val="1"/>
                <w:color w:val="auto"/>
              </w:rPr>
            </w:pPr>
          </w:p>
        </w:tc>
      </w:tr>
      <w:tr>
        <w:trPr>
          <w:trHeight w:val="203"/>
        </w:trPr>
        <w:tc>
          <w:tcPr>
            <w:tcW w:w="1260" w:type="dxa"/>
            <w:vAlign w:val="bottom"/>
          </w:tcPr>
          <w:p>
            <w:pPr>
              <w:ind w:left="20"/>
              <w:spacing w:after="0"/>
              <w:rPr>
                <w:sz w:val="20"/>
                <w:szCs w:val="20"/>
                <w:color w:val="auto"/>
              </w:rPr>
            </w:pPr>
            <w:r>
              <w:rPr>
                <w:rFonts w:ascii="Arial" w:cs="Arial" w:eastAsia="Arial" w:hAnsi="Arial"/>
                <w:sz w:val="14"/>
                <w:szCs w:val="14"/>
                <w:color w:val="auto"/>
              </w:rPr>
              <w:t>Ft. Lauderdale, FL</w:t>
            </w:r>
          </w:p>
        </w:tc>
        <w:tc>
          <w:tcPr>
            <w:tcW w:w="3140" w:type="dxa"/>
            <w:vAlign w:val="bottom"/>
          </w:tcPr>
          <w:p>
            <w:pPr>
              <w:jc w:val="center"/>
              <w:ind w:left="1220"/>
              <w:spacing w:after="0"/>
              <w:rPr>
                <w:sz w:val="20"/>
                <w:szCs w:val="20"/>
                <w:color w:val="auto"/>
              </w:rPr>
            </w:pPr>
            <w:r>
              <w:rPr>
                <w:rFonts w:ascii="Arial" w:cs="Arial" w:eastAsia="Arial" w:hAnsi="Arial"/>
                <w:sz w:val="16"/>
                <w:szCs w:val="16"/>
                <w:color w:val="auto"/>
                <w:w w:val="89"/>
              </w:rPr>
              <w:t>1</w:t>
            </w:r>
          </w:p>
        </w:tc>
        <w:tc>
          <w:tcPr>
            <w:tcW w:w="0" w:type="dxa"/>
            <w:vAlign w:val="bottom"/>
          </w:tcPr>
          <w:p>
            <w:pPr>
              <w:spacing w:after="0"/>
              <w:rPr>
                <w:sz w:val="1"/>
                <w:szCs w:val="1"/>
                <w:color w:val="auto"/>
              </w:rPr>
            </w:pPr>
          </w:p>
        </w:tc>
      </w:tr>
      <w:tr>
        <w:trPr>
          <w:trHeight w:val="203"/>
        </w:trPr>
        <w:tc>
          <w:tcPr>
            <w:tcW w:w="1260" w:type="dxa"/>
            <w:vAlign w:val="bottom"/>
          </w:tcPr>
          <w:p>
            <w:pPr>
              <w:ind w:left="20"/>
              <w:spacing w:after="0"/>
              <w:rPr>
                <w:sz w:val="20"/>
                <w:szCs w:val="20"/>
                <w:color w:val="auto"/>
              </w:rPr>
            </w:pPr>
            <w:r>
              <w:rPr>
                <w:rFonts w:ascii="Arial" w:cs="Arial" w:eastAsia="Arial" w:hAnsi="Arial"/>
                <w:sz w:val="14"/>
                <w:szCs w:val="14"/>
                <w:color w:val="auto"/>
              </w:rPr>
              <w:t>Gilmer, TX</w:t>
            </w:r>
          </w:p>
        </w:tc>
        <w:tc>
          <w:tcPr>
            <w:tcW w:w="3140" w:type="dxa"/>
            <w:vAlign w:val="bottom"/>
          </w:tcPr>
          <w:p>
            <w:pPr>
              <w:jc w:val="center"/>
              <w:ind w:left="1220"/>
              <w:spacing w:after="0"/>
              <w:rPr>
                <w:sz w:val="20"/>
                <w:szCs w:val="20"/>
                <w:color w:val="auto"/>
              </w:rPr>
            </w:pPr>
            <w:r>
              <w:rPr>
                <w:rFonts w:ascii="Arial" w:cs="Arial" w:eastAsia="Arial" w:hAnsi="Arial"/>
                <w:sz w:val="16"/>
                <w:szCs w:val="16"/>
                <w:color w:val="auto"/>
                <w:w w:val="89"/>
              </w:rPr>
              <w:t>1</w:t>
            </w:r>
          </w:p>
        </w:tc>
        <w:tc>
          <w:tcPr>
            <w:tcW w:w="0" w:type="dxa"/>
            <w:vAlign w:val="bottom"/>
          </w:tcPr>
          <w:p>
            <w:pPr>
              <w:spacing w:after="0"/>
              <w:rPr>
                <w:sz w:val="1"/>
                <w:szCs w:val="1"/>
                <w:color w:val="auto"/>
              </w:rPr>
            </w:pPr>
          </w:p>
        </w:tc>
      </w:tr>
      <w:tr>
        <w:trPr>
          <w:trHeight w:val="203"/>
        </w:trPr>
        <w:tc>
          <w:tcPr>
            <w:tcW w:w="1260" w:type="dxa"/>
            <w:vAlign w:val="bottom"/>
          </w:tcPr>
          <w:p>
            <w:pPr>
              <w:ind w:left="20"/>
              <w:spacing w:after="0"/>
              <w:rPr>
                <w:sz w:val="20"/>
                <w:szCs w:val="20"/>
                <w:color w:val="auto"/>
              </w:rPr>
            </w:pPr>
            <w:r>
              <w:rPr>
                <w:rFonts w:ascii="Arial" w:cs="Arial" w:eastAsia="Arial" w:hAnsi="Arial"/>
                <w:sz w:val="14"/>
                <w:szCs w:val="14"/>
                <w:color w:val="auto"/>
              </w:rPr>
              <w:t>Grandview, TX</w:t>
            </w:r>
          </w:p>
        </w:tc>
        <w:tc>
          <w:tcPr>
            <w:tcW w:w="3140" w:type="dxa"/>
            <w:vAlign w:val="bottom"/>
          </w:tcPr>
          <w:p>
            <w:pPr>
              <w:jc w:val="center"/>
              <w:ind w:left="1220"/>
              <w:spacing w:after="0"/>
              <w:rPr>
                <w:sz w:val="20"/>
                <w:szCs w:val="20"/>
                <w:color w:val="auto"/>
              </w:rPr>
            </w:pPr>
            <w:r>
              <w:rPr>
                <w:rFonts w:ascii="Arial" w:cs="Arial" w:eastAsia="Arial" w:hAnsi="Arial"/>
                <w:sz w:val="16"/>
                <w:szCs w:val="16"/>
                <w:color w:val="auto"/>
                <w:w w:val="89"/>
              </w:rPr>
              <w:t>4</w:t>
            </w:r>
          </w:p>
        </w:tc>
        <w:tc>
          <w:tcPr>
            <w:tcW w:w="0" w:type="dxa"/>
            <w:vAlign w:val="bottom"/>
          </w:tcPr>
          <w:p>
            <w:pPr>
              <w:spacing w:after="0"/>
              <w:rPr>
                <w:sz w:val="1"/>
                <w:szCs w:val="1"/>
                <w:color w:val="auto"/>
              </w:rPr>
            </w:pPr>
          </w:p>
        </w:tc>
      </w:tr>
      <w:tr>
        <w:trPr>
          <w:trHeight w:val="203"/>
        </w:trPr>
        <w:tc>
          <w:tcPr>
            <w:tcW w:w="1260" w:type="dxa"/>
            <w:vAlign w:val="bottom"/>
          </w:tcPr>
          <w:p>
            <w:pPr>
              <w:ind w:left="20"/>
              <w:spacing w:after="0"/>
              <w:rPr>
                <w:sz w:val="20"/>
                <w:szCs w:val="20"/>
                <w:color w:val="auto"/>
              </w:rPr>
            </w:pPr>
            <w:r>
              <w:rPr>
                <w:rFonts w:ascii="Arial" w:cs="Arial" w:eastAsia="Arial" w:hAnsi="Arial"/>
                <w:sz w:val="14"/>
                <w:szCs w:val="14"/>
                <w:color w:val="auto"/>
              </w:rPr>
              <w:t>Hartford, WI</w:t>
            </w:r>
          </w:p>
        </w:tc>
        <w:tc>
          <w:tcPr>
            <w:tcW w:w="3140" w:type="dxa"/>
            <w:vAlign w:val="bottom"/>
          </w:tcPr>
          <w:p>
            <w:pPr>
              <w:jc w:val="center"/>
              <w:ind w:left="1220"/>
              <w:spacing w:after="0"/>
              <w:rPr>
                <w:sz w:val="20"/>
                <w:szCs w:val="20"/>
                <w:color w:val="auto"/>
              </w:rPr>
            </w:pPr>
            <w:r>
              <w:rPr>
                <w:rFonts w:ascii="Arial" w:cs="Arial" w:eastAsia="Arial" w:hAnsi="Arial"/>
                <w:sz w:val="16"/>
                <w:szCs w:val="16"/>
                <w:color w:val="auto"/>
                <w:w w:val="89"/>
              </w:rPr>
              <w:t>1</w:t>
            </w:r>
          </w:p>
        </w:tc>
        <w:tc>
          <w:tcPr>
            <w:tcW w:w="0" w:type="dxa"/>
            <w:vAlign w:val="bottom"/>
          </w:tcPr>
          <w:p>
            <w:pPr>
              <w:spacing w:after="0"/>
              <w:rPr>
                <w:sz w:val="1"/>
                <w:szCs w:val="1"/>
                <w:color w:val="auto"/>
              </w:rPr>
            </w:pPr>
          </w:p>
        </w:tc>
      </w:tr>
      <w:tr>
        <w:trPr>
          <w:trHeight w:val="203"/>
        </w:trPr>
        <w:tc>
          <w:tcPr>
            <w:tcW w:w="1260" w:type="dxa"/>
            <w:vAlign w:val="bottom"/>
          </w:tcPr>
          <w:p>
            <w:pPr>
              <w:ind w:left="20"/>
              <w:spacing w:after="0"/>
              <w:rPr>
                <w:sz w:val="20"/>
                <w:szCs w:val="20"/>
                <w:color w:val="auto"/>
              </w:rPr>
            </w:pPr>
            <w:r>
              <w:rPr>
                <w:rFonts w:ascii="Arial" w:cs="Arial" w:eastAsia="Arial" w:hAnsi="Arial"/>
                <w:sz w:val="14"/>
                <w:szCs w:val="14"/>
                <w:color w:val="auto"/>
              </w:rPr>
              <w:t>Magna, UT</w:t>
            </w:r>
          </w:p>
        </w:tc>
        <w:tc>
          <w:tcPr>
            <w:tcW w:w="3140" w:type="dxa"/>
            <w:vAlign w:val="bottom"/>
          </w:tcPr>
          <w:p>
            <w:pPr>
              <w:jc w:val="center"/>
              <w:ind w:left="1220"/>
              <w:spacing w:after="0"/>
              <w:rPr>
                <w:sz w:val="20"/>
                <w:szCs w:val="20"/>
                <w:color w:val="auto"/>
              </w:rPr>
            </w:pPr>
            <w:r>
              <w:rPr>
                <w:rFonts w:ascii="Arial" w:cs="Arial" w:eastAsia="Arial" w:hAnsi="Arial"/>
                <w:sz w:val="16"/>
                <w:szCs w:val="16"/>
                <w:color w:val="auto"/>
                <w:w w:val="89"/>
              </w:rPr>
              <w:t>1</w:t>
            </w:r>
          </w:p>
        </w:tc>
        <w:tc>
          <w:tcPr>
            <w:tcW w:w="0" w:type="dxa"/>
            <w:vAlign w:val="bottom"/>
          </w:tcPr>
          <w:p>
            <w:pPr>
              <w:spacing w:after="0"/>
              <w:rPr>
                <w:sz w:val="1"/>
                <w:szCs w:val="1"/>
                <w:color w:val="auto"/>
              </w:rPr>
            </w:pPr>
          </w:p>
        </w:tc>
      </w:tr>
      <w:tr>
        <w:trPr>
          <w:trHeight w:val="203"/>
        </w:trPr>
        <w:tc>
          <w:tcPr>
            <w:tcW w:w="1260" w:type="dxa"/>
            <w:vAlign w:val="bottom"/>
          </w:tcPr>
          <w:p>
            <w:pPr>
              <w:ind w:left="20"/>
              <w:spacing w:after="0"/>
              <w:rPr>
                <w:sz w:val="20"/>
                <w:szCs w:val="20"/>
                <w:color w:val="auto"/>
              </w:rPr>
            </w:pPr>
            <w:r>
              <w:rPr>
                <w:rFonts w:ascii="Arial" w:cs="Arial" w:eastAsia="Arial" w:hAnsi="Arial"/>
                <w:sz w:val="14"/>
                <w:szCs w:val="14"/>
                <w:color w:val="auto"/>
              </w:rPr>
              <w:t>McMinnville, OR</w:t>
            </w:r>
          </w:p>
        </w:tc>
        <w:tc>
          <w:tcPr>
            <w:tcW w:w="3140" w:type="dxa"/>
            <w:vAlign w:val="bottom"/>
          </w:tcPr>
          <w:p>
            <w:pPr>
              <w:jc w:val="center"/>
              <w:ind w:left="1220"/>
              <w:spacing w:after="0"/>
              <w:rPr>
                <w:sz w:val="20"/>
                <w:szCs w:val="20"/>
                <w:color w:val="auto"/>
              </w:rPr>
            </w:pPr>
            <w:r>
              <w:rPr>
                <w:rFonts w:ascii="Arial" w:cs="Arial" w:eastAsia="Arial" w:hAnsi="Arial"/>
                <w:sz w:val="16"/>
                <w:szCs w:val="16"/>
                <w:color w:val="auto"/>
                <w:w w:val="89"/>
              </w:rPr>
              <w:t>2</w:t>
            </w:r>
          </w:p>
        </w:tc>
        <w:tc>
          <w:tcPr>
            <w:tcW w:w="0" w:type="dxa"/>
            <w:vAlign w:val="bottom"/>
          </w:tcPr>
          <w:p>
            <w:pPr>
              <w:spacing w:after="0"/>
              <w:rPr>
                <w:sz w:val="1"/>
                <w:szCs w:val="1"/>
                <w:color w:val="auto"/>
              </w:rPr>
            </w:pPr>
          </w:p>
        </w:tc>
      </w:tr>
      <w:tr>
        <w:trPr>
          <w:trHeight w:val="203"/>
        </w:trPr>
        <w:tc>
          <w:tcPr>
            <w:tcW w:w="1260" w:type="dxa"/>
            <w:vAlign w:val="bottom"/>
          </w:tcPr>
          <w:p>
            <w:pPr>
              <w:ind w:left="20"/>
              <w:spacing w:after="0"/>
              <w:rPr>
                <w:sz w:val="20"/>
                <w:szCs w:val="20"/>
                <w:color w:val="auto"/>
              </w:rPr>
            </w:pPr>
            <w:r>
              <w:rPr>
                <w:rFonts w:ascii="Arial" w:cs="Arial" w:eastAsia="Arial" w:hAnsi="Arial"/>
                <w:sz w:val="14"/>
                <w:szCs w:val="14"/>
                <w:color w:val="auto"/>
              </w:rPr>
              <w:t>Miami, FL</w:t>
            </w:r>
          </w:p>
        </w:tc>
        <w:tc>
          <w:tcPr>
            <w:tcW w:w="3140" w:type="dxa"/>
            <w:vAlign w:val="bottom"/>
          </w:tcPr>
          <w:p>
            <w:pPr>
              <w:jc w:val="center"/>
              <w:ind w:left="1220"/>
              <w:spacing w:after="0"/>
              <w:rPr>
                <w:sz w:val="20"/>
                <w:szCs w:val="20"/>
                <w:color w:val="auto"/>
              </w:rPr>
            </w:pPr>
            <w:r>
              <w:rPr>
                <w:rFonts w:ascii="Arial" w:cs="Arial" w:eastAsia="Arial" w:hAnsi="Arial"/>
                <w:sz w:val="16"/>
                <w:szCs w:val="16"/>
                <w:color w:val="auto"/>
                <w:w w:val="89"/>
              </w:rPr>
              <w:t>1</w:t>
            </w:r>
          </w:p>
        </w:tc>
        <w:tc>
          <w:tcPr>
            <w:tcW w:w="0" w:type="dxa"/>
            <w:vAlign w:val="bottom"/>
          </w:tcPr>
          <w:p>
            <w:pPr>
              <w:spacing w:after="0"/>
              <w:rPr>
                <w:sz w:val="1"/>
                <w:szCs w:val="1"/>
                <w:color w:val="auto"/>
              </w:rPr>
            </w:pPr>
          </w:p>
        </w:tc>
      </w:tr>
      <w:tr>
        <w:trPr>
          <w:trHeight w:val="203"/>
        </w:trPr>
        <w:tc>
          <w:tcPr>
            <w:tcW w:w="1260" w:type="dxa"/>
            <w:vAlign w:val="bottom"/>
          </w:tcPr>
          <w:p>
            <w:pPr>
              <w:ind w:left="20"/>
              <w:spacing w:after="0"/>
              <w:rPr>
                <w:sz w:val="20"/>
                <w:szCs w:val="20"/>
                <w:color w:val="auto"/>
              </w:rPr>
            </w:pPr>
            <w:r>
              <w:rPr>
                <w:rFonts w:ascii="Arial" w:cs="Arial" w:eastAsia="Arial" w:hAnsi="Arial"/>
                <w:sz w:val="14"/>
                <w:szCs w:val="14"/>
                <w:color w:val="auto"/>
              </w:rPr>
              <w:t>Milwaukee, WI</w:t>
            </w:r>
          </w:p>
        </w:tc>
        <w:tc>
          <w:tcPr>
            <w:tcW w:w="3140" w:type="dxa"/>
            <w:vAlign w:val="bottom"/>
          </w:tcPr>
          <w:p>
            <w:pPr>
              <w:jc w:val="center"/>
              <w:ind w:left="1220"/>
              <w:spacing w:after="0"/>
              <w:rPr>
                <w:sz w:val="20"/>
                <w:szCs w:val="20"/>
                <w:color w:val="auto"/>
              </w:rPr>
            </w:pPr>
            <w:r>
              <w:rPr>
                <w:rFonts w:ascii="Arial" w:cs="Arial" w:eastAsia="Arial" w:hAnsi="Arial"/>
                <w:sz w:val="16"/>
                <w:szCs w:val="16"/>
                <w:color w:val="auto"/>
                <w:w w:val="89"/>
              </w:rPr>
              <w:t>1</w:t>
            </w:r>
          </w:p>
        </w:tc>
        <w:tc>
          <w:tcPr>
            <w:tcW w:w="0" w:type="dxa"/>
            <w:vAlign w:val="bottom"/>
          </w:tcPr>
          <w:p>
            <w:pPr>
              <w:spacing w:after="0"/>
              <w:rPr>
                <w:sz w:val="1"/>
                <w:szCs w:val="1"/>
                <w:color w:val="auto"/>
              </w:rPr>
            </w:pPr>
          </w:p>
        </w:tc>
      </w:tr>
      <w:tr>
        <w:trPr>
          <w:trHeight w:val="203"/>
        </w:trPr>
        <w:tc>
          <w:tcPr>
            <w:tcW w:w="1260" w:type="dxa"/>
            <w:vAlign w:val="bottom"/>
          </w:tcPr>
          <w:p>
            <w:pPr>
              <w:ind w:left="20"/>
              <w:spacing w:after="0"/>
              <w:rPr>
                <w:sz w:val="20"/>
                <w:szCs w:val="20"/>
                <w:color w:val="auto"/>
              </w:rPr>
            </w:pPr>
            <w:r>
              <w:rPr>
                <w:rFonts w:ascii="Arial" w:cs="Arial" w:eastAsia="Arial" w:hAnsi="Arial"/>
                <w:sz w:val="14"/>
                <w:szCs w:val="14"/>
                <w:color w:val="auto"/>
              </w:rPr>
              <w:t>Morristown, TN</w:t>
            </w:r>
          </w:p>
        </w:tc>
        <w:tc>
          <w:tcPr>
            <w:tcW w:w="3140" w:type="dxa"/>
            <w:vAlign w:val="bottom"/>
          </w:tcPr>
          <w:p>
            <w:pPr>
              <w:jc w:val="center"/>
              <w:ind w:left="1220"/>
              <w:spacing w:after="0"/>
              <w:rPr>
                <w:sz w:val="20"/>
                <w:szCs w:val="20"/>
                <w:color w:val="auto"/>
              </w:rPr>
            </w:pPr>
            <w:r>
              <w:rPr>
                <w:rFonts w:ascii="Arial" w:cs="Arial" w:eastAsia="Arial" w:hAnsi="Arial"/>
                <w:sz w:val="16"/>
                <w:szCs w:val="16"/>
                <w:color w:val="auto"/>
                <w:w w:val="89"/>
              </w:rPr>
              <w:t>1</w:t>
            </w:r>
          </w:p>
        </w:tc>
        <w:tc>
          <w:tcPr>
            <w:tcW w:w="0" w:type="dxa"/>
            <w:vAlign w:val="bottom"/>
          </w:tcPr>
          <w:p>
            <w:pPr>
              <w:spacing w:after="0"/>
              <w:rPr>
                <w:sz w:val="1"/>
                <w:szCs w:val="1"/>
                <w:color w:val="auto"/>
              </w:rPr>
            </w:pPr>
          </w:p>
        </w:tc>
      </w:tr>
      <w:tr>
        <w:trPr>
          <w:trHeight w:val="203"/>
        </w:trPr>
        <w:tc>
          <w:tcPr>
            <w:tcW w:w="1260" w:type="dxa"/>
            <w:vAlign w:val="bottom"/>
          </w:tcPr>
          <w:p>
            <w:pPr>
              <w:ind w:left="20"/>
              <w:spacing w:after="0"/>
              <w:rPr>
                <w:sz w:val="20"/>
                <w:szCs w:val="20"/>
                <w:color w:val="auto"/>
              </w:rPr>
            </w:pPr>
            <w:r>
              <w:rPr>
                <w:rFonts w:ascii="Arial" w:cs="Arial" w:eastAsia="Arial" w:hAnsi="Arial"/>
                <w:sz w:val="14"/>
                <w:szCs w:val="14"/>
                <w:color w:val="auto"/>
              </w:rPr>
              <w:t>Nappanee, IN</w:t>
            </w:r>
          </w:p>
        </w:tc>
        <w:tc>
          <w:tcPr>
            <w:tcW w:w="3140" w:type="dxa"/>
            <w:vAlign w:val="bottom"/>
          </w:tcPr>
          <w:p>
            <w:pPr>
              <w:jc w:val="center"/>
              <w:ind w:left="1220"/>
              <w:spacing w:after="0"/>
              <w:rPr>
                <w:sz w:val="20"/>
                <w:szCs w:val="20"/>
                <w:color w:val="auto"/>
              </w:rPr>
            </w:pPr>
            <w:r>
              <w:rPr>
                <w:rFonts w:ascii="Arial" w:cs="Arial" w:eastAsia="Arial" w:hAnsi="Arial"/>
                <w:sz w:val="16"/>
                <w:szCs w:val="16"/>
                <w:color w:val="auto"/>
                <w:w w:val="89"/>
              </w:rPr>
              <w:t>1</w:t>
            </w:r>
          </w:p>
        </w:tc>
        <w:tc>
          <w:tcPr>
            <w:tcW w:w="0" w:type="dxa"/>
            <w:vAlign w:val="bottom"/>
          </w:tcPr>
          <w:p>
            <w:pPr>
              <w:spacing w:after="0"/>
              <w:rPr>
                <w:sz w:val="1"/>
                <w:szCs w:val="1"/>
                <w:color w:val="auto"/>
              </w:rPr>
            </w:pPr>
          </w:p>
        </w:tc>
      </w:tr>
      <w:tr>
        <w:trPr>
          <w:trHeight w:val="227"/>
        </w:trPr>
        <w:tc>
          <w:tcPr>
            <w:tcW w:w="1260" w:type="dxa"/>
            <w:vAlign w:val="bottom"/>
          </w:tcPr>
          <w:p>
            <w:pPr>
              <w:ind w:left="20"/>
              <w:spacing w:after="0"/>
              <w:rPr>
                <w:sz w:val="20"/>
                <w:szCs w:val="20"/>
                <w:color w:val="auto"/>
              </w:rPr>
            </w:pPr>
            <w:r>
              <w:rPr>
                <w:rFonts w:ascii="Arial" w:cs="Arial" w:eastAsia="Arial" w:hAnsi="Arial"/>
                <w:sz w:val="14"/>
                <w:szCs w:val="14"/>
                <w:color w:val="auto"/>
              </w:rPr>
              <w:t>Peru, IL</w:t>
            </w:r>
          </w:p>
        </w:tc>
        <w:tc>
          <w:tcPr>
            <w:tcW w:w="3140" w:type="dxa"/>
            <w:vAlign w:val="bottom"/>
          </w:tcPr>
          <w:p>
            <w:pPr>
              <w:jc w:val="center"/>
              <w:ind w:left="1220"/>
              <w:spacing w:after="0"/>
              <w:rPr>
                <w:sz w:val="20"/>
                <w:szCs w:val="20"/>
                <w:color w:val="auto"/>
              </w:rPr>
            </w:pPr>
            <w:r>
              <w:rPr>
                <w:rFonts w:ascii="Arial" w:cs="Arial" w:eastAsia="Arial" w:hAnsi="Arial"/>
                <w:sz w:val="16"/>
                <w:szCs w:val="16"/>
                <w:color w:val="auto"/>
                <w:w w:val="89"/>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1360" w:type="dxa"/>
            <w:vAlign w:val="bottom"/>
          </w:tcPr>
          <w:p>
            <w:pPr>
              <w:spacing w:after="0"/>
              <w:rPr>
                <w:sz w:val="20"/>
                <w:szCs w:val="20"/>
                <w:color w:val="auto"/>
              </w:rPr>
            </w:pPr>
            <w:r>
              <w:rPr>
                <w:rFonts w:ascii="Arial" w:cs="Arial" w:eastAsia="Arial" w:hAnsi="Arial"/>
                <w:sz w:val="14"/>
                <w:szCs w:val="14"/>
                <w:b w:val="1"/>
                <w:bCs w:val="1"/>
                <w:color w:val="auto"/>
              </w:rPr>
              <w:t>TOTAL</w:t>
            </w:r>
          </w:p>
        </w:tc>
        <w:tc>
          <w:tcPr>
            <w:tcW w:w="3060" w:type="dxa"/>
            <w:vAlign w:val="bottom"/>
          </w:tcPr>
          <w:p>
            <w:pPr>
              <w:jc w:val="center"/>
              <w:ind w:left="1088"/>
              <w:spacing w:after="0"/>
              <w:rPr>
                <w:sz w:val="20"/>
                <w:szCs w:val="20"/>
                <w:color w:val="auto"/>
              </w:rPr>
            </w:pPr>
            <w:r>
              <w:rPr>
                <w:rFonts w:ascii="Arial" w:cs="Arial" w:eastAsia="Arial" w:hAnsi="Arial"/>
                <w:sz w:val="14"/>
                <w:szCs w:val="14"/>
                <w:b w:val="1"/>
                <w:bCs w:val="1"/>
                <w:color w:val="auto"/>
                <w:w w:val="89"/>
              </w:rPr>
              <w:t>61</w:t>
            </w:r>
          </w:p>
        </w:tc>
        <w:tc>
          <w:tcPr>
            <w:tcW w:w="0" w:type="dxa"/>
            <w:vAlign w:val="bottom"/>
          </w:tcPr>
          <w:p>
            <w:pPr>
              <w:spacing w:after="0"/>
              <w:rPr>
                <w:sz w:val="1"/>
                <w:szCs w:val="1"/>
                <w:color w:val="auto"/>
              </w:rPr>
            </w:pPr>
          </w:p>
        </w:tc>
      </w:tr>
      <w:tr>
        <w:trPr>
          <w:trHeight w:val="259"/>
        </w:trPr>
        <w:tc>
          <w:tcPr>
            <w:tcW w:w="1360" w:type="dxa"/>
            <w:vAlign w:val="bottom"/>
            <w:vMerge w:val="restart"/>
          </w:tcPr>
          <w:p>
            <w:pPr>
              <w:spacing w:after="0"/>
              <w:rPr>
                <w:sz w:val="20"/>
                <w:szCs w:val="20"/>
                <w:color w:val="auto"/>
              </w:rPr>
            </w:pPr>
            <w:r>
              <w:rPr>
                <w:rFonts w:ascii="Arial" w:cs="Arial" w:eastAsia="Arial" w:hAnsi="Arial"/>
                <w:sz w:val="14"/>
                <w:szCs w:val="14"/>
                <w:b w:val="1"/>
                <w:bCs w:val="1"/>
                <w:color w:val="auto"/>
              </w:rPr>
              <w:t>Property Location</w:t>
            </w:r>
          </w:p>
        </w:tc>
        <w:tc>
          <w:tcPr>
            <w:tcW w:w="3060" w:type="dxa"/>
            <w:vAlign w:val="bottom"/>
          </w:tcPr>
          <w:p>
            <w:pPr>
              <w:ind w:left="200"/>
              <w:spacing w:after="0"/>
              <w:rPr>
                <w:sz w:val="20"/>
                <w:szCs w:val="20"/>
                <w:color w:val="auto"/>
              </w:rPr>
            </w:pPr>
            <w:r>
              <w:rPr>
                <w:rFonts w:ascii="Arial" w:cs="Arial" w:eastAsia="Arial" w:hAnsi="Arial"/>
                <w:sz w:val="14"/>
                <w:szCs w:val="14"/>
                <w:b w:val="1"/>
                <w:bCs w:val="1"/>
                <w:color w:val="auto"/>
              </w:rPr>
              <w:t>RETAIL SEGMENT</w:t>
            </w:r>
          </w:p>
        </w:tc>
        <w:tc>
          <w:tcPr>
            <w:tcW w:w="0" w:type="dxa"/>
            <w:vAlign w:val="bottom"/>
          </w:tcPr>
          <w:p>
            <w:pPr>
              <w:spacing w:after="0"/>
              <w:rPr>
                <w:sz w:val="1"/>
                <w:szCs w:val="1"/>
                <w:color w:val="auto"/>
              </w:rPr>
            </w:pPr>
          </w:p>
        </w:tc>
      </w:tr>
      <w:tr>
        <w:trPr>
          <w:trHeight w:val="171"/>
        </w:trPr>
        <w:tc>
          <w:tcPr>
            <w:tcW w:w="1360" w:type="dxa"/>
            <w:vAlign w:val="bottom"/>
            <w:tcBorders>
              <w:bottom w:val="single" w:sz="8" w:color="auto"/>
            </w:tcBorders>
            <w:vMerge w:val="continue"/>
          </w:tcPr>
          <w:p>
            <w:pPr>
              <w:spacing w:after="0"/>
              <w:rPr>
                <w:sz w:val="14"/>
                <w:szCs w:val="14"/>
                <w:color w:val="auto"/>
              </w:rPr>
            </w:pPr>
          </w:p>
        </w:tc>
        <w:tc>
          <w:tcPr>
            <w:tcW w:w="3060" w:type="dxa"/>
            <w:vAlign w:val="bottom"/>
            <w:tcBorders>
              <w:bottom w:val="single" w:sz="8" w:color="auto"/>
            </w:tcBorders>
          </w:tcPr>
          <w:p>
            <w:pPr>
              <w:ind w:left="1440"/>
              <w:spacing w:after="0"/>
              <w:rPr>
                <w:sz w:val="20"/>
                <w:szCs w:val="20"/>
                <w:color w:val="auto"/>
              </w:rPr>
            </w:pPr>
            <w:r>
              <w:rPr>
                <w:rFonts w:ascii="Arial" w:cs="Arial" w:eastAsia="Arial" w:hAnsi="Arial"/>
                <w:sz w:val="14"/>
                <w:szCs w:val="14"/>
                <w:b w:val="1"/>
                <w:bCs w:val="1"/>
                <w:color w:val="auto"/>
              </w:rPr>
              <w:t>Number of Properties</w:t>
            </w:r>
          </w:p>
        </w:tc>
        <w:tc>
          <w:tcPr>
            <w:tcW w:w="0" w:type="dxa"/>
            <w:vAlign w:val="bottom"/>
          </w:tcPr>
          <w:p>
            <w:pPr>
              <w:spacing w:after="0"/>
              <w:rPr>
                <w:sz w:val="1"/>
                <w:szCs w:val="1"/>
                <w:color w:val="auto"/>
              </w:rPr>
            </w:pPr>
          </w:p>
        </w:tc>
      </w:tr>
      <w:tr>
        <w:trPr>
          <w:trHeight w:val="211"/>
        </w:trPr>
        <w:tc>
          <w:tcPr>
            <w:tcW w:w="1360" w:type="dxa"/>
            <w:vAlign w:val="bottom"/>
          </w:tcPr>
          <w:p>
            <w:pPr>
              <w:spacing w:after="0"/>
              <w:rPr>
                <w:sz w:val="20"/>
                <w:szCs w:val="20"/>
                <w:color w:val="auto"/>
              </w:rPr>
            </w:pPr>
            <w:r>
              <w:rPr>
                <w:rFonts w:ascii="Arial" w:cs="Arial" w:eastAsia="Arial" w:hAnsi="Arial"/>
                <w:sz w:val="14"/>
                <w:szCs w:val="14"/>
                <w:color w:val="auto"/>
              </w:rPr>
              <w:t>Bonner, MT</w:t>
            </w:r>
          </w:p>
        </w:tc>
        <w:tc>
          <w:tcPr>
            <w:tcW w:w="3060" w:type="dxa"/>
            <w:vAlign w:val="bottom"/>
          </w:tcPr>
          <w:p>
            <w:pPr>
              <w:jc w:val="center"/>
              <w:ind w:left="110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3"/>
        </w:trPr>
        <w:tc>
          <w:tcPr>
            <w:tcW w:w="1360" w:type="dxa"/>
            <w:vAlign w:val="bottom"/>
          </w:tcPr>
          <w:p>
            <w:pPr>
              <w:spacing w:after="0"/>
              <w:rPr>
                <w:sz w:val="20"/>
                <w:szCs w:val="20"/>
                <w:color w:val="auto"/>
              </w:rPr>
            </w:pPr>
            <w:r>
              <w:rPr>
                <w:rFonts w:ascii="Arial" w:cs="Arial" w:eastAsia="Arial" w:hAnsi="Arial"/>
                <w:sz w:val="14"/>
                <w:szCs w:val="14"/>
                <w:color w:val="auto"/>
              </w:rPr>
              <w:t>Elizabeth City, NC</w:t>
            </w:r>
          </w:p>
        </w:tc>
        <w:tc>
          <w:tcPr>
            <w:tcW w:w="3060" w:type="dxa"/>
            <w:vAlign w:val="bottom"/>
          </w:tcPr>
          <w:p>
            <w:pPr>
              <w:jc w:val="center"/>
              <w:ind w:left="110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3"/>
        </w:trPr>
        <w:tc>
          <w:tcPr>
            <w:tcW w:w="1360" w:type="dxa"/>
            <w:vAlign w:val="bottom"/>
          </w:tcPr>
          <w:p>
            <w:pPr>
              <w:spacing w:after="0"/>
              <w:rPr>
                <w:sz w:val="20"/>
                <w:szCs w:val="20"/>
                <w:color w:val="auto"/>
              </w:rPr>
            </w:pPr>
            <w:r>
              <w:rPr>
                <w:rFonts w:ascii="Arial" w:cs="Arial" w:eastAsia="Arial" w:hAnsi="Arial"/>
                <w:sz w:val="14"/>
                <w:szCs w:val="14"/>
                <w:color w:val="auto"/>
              </w:rPr>
              <w:t>Gainesville, GA</w:t>
            </w:r>
          </w:p>
        </w:tc>
        <w:tc>
          <w:tcPr>
            <w:tcW w:w="3060" w:type="dxa"/>
            <w:vAlign w:val="bottom"/>
          </w:tcPr>
          <w:p>
            <w:pPr>
              <w:jc w:val="center"/>
              <w:ind w:left="110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3"/>
        </w:trPr>
        <w:tc>
          <w:tcPr>
            <w:tcW w:w="1360" w:type="dxa"/>
            <w:vAlign w:val="bottom"/>
          </w:tcPr>
          <w:p>
            <w:pPr>
              <w:spacing w:after="0"/>
              <w:rPr>
                <w:sz w:val="20"/>
                <w:szCs w:val="20"/>
                <w:color w:val="auto"/>
              </w:rPr>
            </w:pPr>
            <w:r>
              <w:rPr>
                <w:rFonts w:ascii="Arial" w:cs="Arial" w:eastAsia="Arial" w:hAnsi="Arial"/>
                <w:sz w:val="14"/>
                <w:szCs w:val="14"/>
                <w:color w:val="auto"/>
              </w:rPr>
              <w:t>Hamilton, OH</w:t>
            </w:r>
          </w:p>
        </w:tc>
        <w:tc>
          <w:tcPr>
            <w:tcW w:w="3060" w:type="dxa"/>
            <w:vAlign w:val="bottom"/>
          </w:tcPr>
          <w:p>
            <w:pPr>
              <w:jc w:val="center"/>
              <w:ind w:left="110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3"/>
        </w:trPr>
        <w:tc>
          <w:tcPr>
            <w:tcW w:w="1360" w:type="dxa"/>
            <w:vAlign w:val="bottom"/>
          </w:tcPr>
          <w:p>
            <w:pPr>
              <w:spacing w:after="0"/>
              <w:rPr>
                <w:sz w:val="20"/>
                <w:szCs w:val="20"/>
                <w:color w:val="auto"/>
              </w:rPr>
            </w:pPr>
            <w:r>
              <w:rPr>
                <w:rFonts w:ascii="Arial" w:cs="Arial" w:eastAsia="Arial" w:hAnsi="Arial"/>
                <w:sz w:val="14"/>
                <w:szCs w:val="14"/>
                <w:color w:val="auto"/>
              </w:rPr>
              <w:t>Harrisonville, MO</w:t>
            </w:r>
          </w:p>
        </w:tc>
        <w:tc>
          <w:tcPr>
            <w:tcW w:w="3060" w:type="dxa"/>
            <w:vAlign w:val="bottom"/>
          </w:tcPr>
          <w:p>
            <w:pPr>
              <w:jc w:val="center"/>
              <w:ind w:left="110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3"/>
        </w:trPr>
        <w:tc>
          <w:tcPr>
            <w:tcW w:w="1360" w:type="dxa"/>
            <w:vAlign w:val="bottom"/>
          </w:tcPr>
          <w:p>
            <w:pPr>
              <w:spacing w:after="0"/>
              <w:rPr>
                <w:sz w:val="20"/>
                <w:szCs w:val="20"/>
                <w:color w:val="auto"/>
              </w:rPr>
            </w:pPr>
            <w:r>
              <w:rPr>
                <w:rFonts w:ascii="Arial" w:cs="Arial" w:eastAsia="Arial" w:hAnsi="Arial"/>
                <w:sz w:val="14"/>
                <w:szCs w:val="14"/>
                <w:color w:val="auto"/>
              </w:rPr>
              <w:t>Hendersonville, NC</w:t>
            </w:r>
          </w:p>
        </w:tc>
        <w:tc>
          <w:tcPr>
            <w:tcW w:w="3060" w:type="dxa"/>
            <w:vAlign w:val="bottom"/>
          </w:tcPr>
          <w:p>
            <w:pPr>
              <w:jc w:val="center"/>
              <w:ind w:left="110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3"/>
        </w:trPr>
        <w:tc>
          <w:tcPr>
            <w:tcW w:w="1360" w:type="dxa"/>
            <w:vAlign w:val="bottom"/>
          </w:tcPr>
          <w:p>
            <w:pPr>
              <w:spacing w:after="0"/>
              <w:rPr>
                <w:sz w:val="20"/>
                <w:szCs w:val="20"/>
                <w:color w:val="auto"/>
              </w:rPr>
            </w:pPr>
            <w:r>
              <w:rPr>
                <w:rFonts w:ascii="Arial" w:cs="Arial" w:eastAsia="Arial" w:hAnsi="Arial"/>
                <w:sz w:val="14"/>
                <w:szCs w:val="14"/>
                <w:color w:val="auto"/>
              </w:rPr>
              <w:t>Janesville, WI</w:t>
            </w:r>
          </w:p>
        </w:tc>
        <w:tc>
          <w:tcPr>
            <w:tcW w:w="3060" w:type="dxa"/>
            <w:vAlign w:val="bottom"/>
          </w:tcPr>
          <w:p>
            <w:pPr>
              <w:jc w:val="center"/>
              <w:ind w:left="110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3"/>
        </w:trPr>
        <w:tc>
          <w:tcPr>
            <w:tcW w:w="1360" w:type="dxa"/>
            <w:vAlign w:val="bottom"/>
          </w:tcPr>
          <w:p>
            <w:pPr>
              <w:spacing w:after="0"/>
              <w:rPr>
                <w:sz w:val="20"/>
                <w:szCs w:val="20"/>
                <w:color w:val="auto"/>
              </w:rPr>
            </w:pPr>
            <w:r>
              <w:rPr>
                <w:rFonts w:ascii="Arial" w:cs="Arial" w:eastAsia="Arial" w:hAnsi="Arial"/>
                <w:sz w:val="14"/>
                <w:szCs w:val="14"/>
                <w:color w:val="auto"/>
              </w:rPr>
              <w:t>Kansas City, MO</w:t>
            </w:r>
          </w:p>
        </w:tc>
        <w:tc>
          <w:tcPr>
            <w:tcW w:w="3060" w:type="dxa"/>
            <w:vAlign w:val="bottom"/>
          </w:tcPr>
          <w:p>
            <w:pPr>
              <w:jc w:val="center"/>
              <w:ind w:left="110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3"/>
        </w:trPr>
        <w:tc>
          <w:tcPr>
            <w:tcW w:w="1360" w:type="dxa"/>
            <w:vAlign w:val="bottom"/>
          </w:tcPr>
          <w:p>
            <w:pPr>
              <w:spacing w:after="0"/>
              <w:rPr>
                <w:sz w:val="20"/>
                <w:szCs w:val="20"/>
                <w:color w:val="auto"/>
              </w:rPr>
            </w:pPr>
            <w:r>
              <w:rPr>
                <w:rFonts w:ascii="Arial" w:cs="Arial" w:eastAsia="Arial" w:hAnsi="Arial"/>
                <w:sz w:val="14"/>
                <w:szCs w:val="14"/>
                <w:color w:val="auto"/>
              </w:rPr>
              <w:t>Kearneysville, WV</w:t>
            </w:r>
          </w:p>
        </w:tc>
        <w:tc>
          <w:tcPr>
            <w:tcW w:w="3060" w:type="dxa"/>
            <w:vAlign w:val="bottom"/>
          </w:tcPr>
          <w:p>
            <w:pPr>
              <w:jc w:val="center"/>
              <w:ind w:left="110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3"/>
        </w:trPr>
        <w:tc>
          <w:tcPr>
            <w:tcW w:w="1360" w:type="dxa"/>
            <w:vAlign w:val="bottom"/>
          </w:tcPr>
          <w:p>
            <w:pPr>
              <w:spacing w:after="0"/>
              <w:rPr>
                <w:sz w:val="20"/>
                <w:szCs w:val="20"/>
                <w:color w:val="auto"/>
              </w:rPr>
            </w:pPr>
            <w:r>
              <w:rPr>
                <w:rFonts w:ascii="Arial" w:cs="Arial" w:eastAsia="Arial" w:hAnsi="Arial"/>
                <w:sz w:val="14"/>
                <w:szCs w:val="14"/>
                <w:color w:val="auto"/>
              </w:rPr>
              <w:t>Lansing, MI</w:t>
            </w:r>
          </w:p>
        </w:tc>
        <w:tc>
          <w:tcPr>
            <w:tcW w:w="3060" w:type="dxa"/>
            <w:vAlign w:val="bottom"/>
          </w:tcPr>
          <w:p>
            <w:pPr>
              <w:jc w:val="center"/>
              <w:ind w:left="110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3"/>
        </w:trPr>
        <w:tc>
          <w:tcPr>
            <w:tcW w:w="1360" w:type="dxa"/>
            <w:vAlign w:val="bottom"/>
          </w:tcPr>
          <w:p>
            <w:pPr>
              <w:spacing w:after="0"/>
              <w:rPr>
                <w:sz w:val="20"/>
                <w:szCs w:val="20"/>
                <w:color w:val="auto"/>
              </w:rPr>
            </w:pPr>
            <w:r>
              <w:rPr>
                <w:rFonts w:ascii="Arial" w:cs="Arial" w:eastAsia="Arial" w:hAnsi="Arial"/>
                <w:sz w:val="14"/>
                <w:szCs w:val="14"/>
                <w:color w:val="auto"/>
              </w:rPr>
              <w:t>Lockhart, FL</w:t>
            </w:r>
          </w:p>
        </w:tc>
        <w:tc>
          <w:tcPr>
            <w:tcW w:w="3060" w:type="dxa"/>
            <w:vAlign w:val="bottom"/>
          </w:tcPr>
          <w:p>
            <w:pPr>
              <w:jc w:val="center"/>
              <w:ind w:left="110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3"/>
        </w:trPr>
        <w:tc>
          <w:tcPr>
            <w:tcW w:w="1360" w:type="dxa"/>
            <w:vAlign w:val="bottom"/>
          </w:tcPr>
          <w:p>
            <w:pPr>
              <w:spacing w:after="0"/>
              <w:rPr>
                <w:sz w:val="20"/>
                <w:szCs w:val="20"/>
                <w:color w:val="auto"/>
              </w:rPr>
            </w:pPr>
            <w:r>
              <w:rPr>
                <w:rFonts w:ascii="Arial" w:cs="Arial" w:eastAsia="Arial" w:hAnsi="Arial"/>
                <w:sz w:val="14"/>
                <w:szCs w:val="14"/>
                <w:color w:val="auto"/>
              </w:rPr>
              <w:t>Moultrie, GA</w:t>
            </w:r>
          </w:p>
        </w:tc>
        <w:tc>
          <w:tcPr>
            <w:tcW w:w="3060" w:type="dxa"/>
            <w:vAlign w:val="bottom"/>
          </w:tcPr>
          <w:p>
            <w:pPr>
              <w:jc w:val="center"/>
              <w:ind w:left="110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3"/>
        </w:trPr>
        <w:tc>
          <w:tcPr>
            <w:tcW w:w="1360" w:type="dxa"/>
            <w:vAlign w:val="bottom"/>
          </w:tcPr>
          <w:p>
            <w:pPr>
              <w:spacing w:after="0"/>
              <w:rPr>
                <w:sz w:val="20"/>
                <w:szCs w:val="20"/>
                <w:color w:val="auto"/>
              </w:rPr>
            </w:pPr>
            <w:r>
              <w:rPr>
                <w:rFonts w:ascii="Arial" w:cs="Arial" w:eastAsia="Arial" w:hAnsi="Arial"/>
                <w:sz w:val="14"/>
                <w:szCs w:val="14"/>
                <w:color w:val="auto"/>
              </w:rPr>
              <w:t>Poulsbo, WA</w:t>
            </w:r>
          </w:p>
        </w:tc>
        <w:tc>
          <w:tcPr>
            <w:tcW w:w="3060" w:type="dxa"/>
            <w:vAlign w:val="bottom"/>
          </w:tcPr>
          <w:p>
            <w:pPr>
              <w:jc w:val="center"/>
              <w:ind w:left="110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3"/>
        </w:trPr>
        <w:tc>
          <w:tcPr>
            <w:tcW w:w="1360" w:type="dxa"/>
            <w:vAlign w:val="bottom"/>
          </w:tcPr>
          <w:p>
            <w:pPr>
              <w:spacing w:after="0"/>
              <w:rPr>
                <w:sz w:val="20"/>
                <w:szCs w:val="20"/>
                <w:color w:val="auto"/>
              </w:rPr>
            </w:pPr>
            <w:r>
              <w:rPr>
                <w:rFonts w:ascii="Arial" w:cs="Arial" w:eastAsia="Arial" w:hAnsi="Arial"/>
                <w:sz w:val="14"/>
                <w:szCs w:val="14"/>
                <w:color w:val="auto"/>
              </w:rPr>
              <w:t>Ranson, WV</w:t>
            </w:r>
          </w:p>
        </w:tc>
        <w:tc>
          <w:tcPr>
            <w:tcW w:w="3060" w:type="dxa"/>
            <w:vAlign w:val="bottom"/>
          </w:tcPr>
          <w:p>
            <w:pPr>
              <w:jc w:val="center"/>
              <w:ind w:left="110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2"/>
        </w:trPr>
        <w:tc>
          <w:tcPr>
            <w:tcW w:w="1360" w:type="dxa"/>
            <w:vAlign w:val="bottom"/>
          </w:tcPr>
          <w:p>
            <w:pPr>
              <w:spacing w:after="0"/>
              <w:rPr>
                <w:sz w:val="20"/>
                <w:szCs w:val="20"/>
                <w:color w:val="auto"/>
              </w:rPr>
            </w:pPr>
            <w:r>
              <w:rPr>
                <w:rFonts w:ascii="Arial" w:cs="Arial" w:eastAsia="Arial" w:hAnsi="Arial"/>
                <w:sz w:val="14"/>
                <w:szCs w:val="14"/>
                <w:color w:val="auto"/>
              </w:rPr>
              <w:t>Rockwell, NC</w:t>
            </w:r>
          </w:p>
        </w:tc>
        <w:tc>
          <w:tcPr>
            <w:tcW w:w="3060" w:type="dxa"/>
            <w:vAlign w:val="bottom"/>
          </w:tcPr>
          <w:p>
            <w:pPr>
              <w:jc w:val="center"/>
              <w:ind w:left="110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3"/>
        </w:trPr>
        <w:tc>
          <w:tcPr>
            <w:tcW w:w="1360" w:type="dxa"/>
            <w:vAlign w:val="bottom"/>
          </w:tcPr>
          <w:p>
            <w:pPr>
              <w:spacing w:after="0"/>
              <w:rPr>
                <w:sz w:val="20"/>
                <w:szCs w:val="20"/>
                <w:color w:val="auto"/>
              </w:rPr>
            </w:pPr>
            <w:r>
              <w:rPr>
                <w:rFonts w:ascii="Arial" w:cs="Arial" w:eastAsia="Arial" w:hAnsi="Arial"/>
                <w:sz w:val="14"/>
                <w:szCs w:val="14"/>
                <w:color w:val="auto"/>
              </w:rPr>
              <w:t>Saginaw, TX</w:t>
            </w:r>
          </w:p>
        </w:tc>
        <w:tc>
          <w:tcPr>
            <w:tcW w:w="3060" w:type="dxa"/>
            <w:vAlign w:val="bottom"/>
          </w:tcPr>
          <w:p>
            <w:pPr>
              <w:jc w:val="center"/>
              <w:ind w:left="110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3"/>
        </w:trPr>
        <w:tc>
          <w:tcPr>
            <w:tcW w:w="1360" w:type="dxa"/>
            <w:vAlign w:val="bottom"/>
          </w:tcPr>
          <w:p>
            <w:pPr>
              <w:spacing w:after="0"/>
              <w:rPr>
                <w:sz w:val="20"/>
                <w:szCs w:val="20"/>
                <w:color w:val="auto"/>
              </w:rPr>
            </w:pPr>
            <w:r>
              <w:rPr>
                <w:rFonts w:ascii="Arial" w:cs="Arial" w:eastAsia="Arial" w:hAnsi="Arial"/>
                <w:sz w:val="14"/>
                <w:szCs w:val="14"/>
                <w:color w:val="auto"/>
              </w:rPr>
              <w:t>Schertz, TX</w:t>
            </w:r>
          </w:p>
        </w:tc>
        <w:tc>
          <w:tcPr>
            <w:tcW w:w="3060" w:type="dxa"/>
            <w:vAlign w:val="bottom"/>
          </w:tcPr>
          <w:p>
            <w:pPr>
              <w:jc w:val="center"/>
              <w:ind w:left="110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3"/>
        </w:trPr>
        <w:tc>
          <w:tcPr>
            <w:tcW w:w="1360" w:type="dxa"/>
            <w:vAlign w:val="bottom"/>
          </w:tcPr>
          <w:p>
            <w:pPr>
              <w:spacing w:after="0"/>
              <w:rPr>
                <w:sz w:val="20"/>
                <w:szCs w:val="20"/>
                <w:color w:val="auto"/>
              </w:rPr>
            </w:pPr>
            <w:r>
              <w:rPr>
                <w:rFonts w:ascii="Arial" w:cs="Arial" w:eastAsia="Arial" w:hAnsi="Arial"/>
                <w:sz w:val="14"/>
                <w:szCs w:val="14"/>
                <w:color w:val="auto"/>
              </w:rPr>
              <w:t>Selma, AL</w:t>
            </w:r>
          </w:p>
        </w:tc>
        <w:tc>
          <w:tcPr>
            <w:tcW w:w="3060" w:type="dxa"/>
            <w:vAlign w:val="bottom"/>
          </w:tcPr>
          <w:p>
            <w:pPr>
              <w:jc w:val="center"/>
              <w:ind w:left="110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3"/>
        </w:trPr>
        <w:tc>
          <w:tcPr>
            <w:tcW w:w="1360" w:type="dxa"/>
            <w:vAlign w:val="bottom"/>
          </w:tcPr>
          <w:p>
            <w:pPr>
              <w:spacing w:after="0"/>
              <w:rPr>
                <w:sz w:val="20"/>
                <w:szCs w:val="20"/>
                <w:color w:val="auto"/>
              </w:rPr>
            </w:pPr>
            <w:r>
              <w:rPr>
                <w:rFonts w:ascii="Arial" w:cs="Arial" w:eastAsia="Arial" w:hAnsi="Arial"/>
                <w:sz w:val="14"/>
                <w:szCs w:val="14"/>
                <w:color w:val="auto"/>
              </w:rPr>
              <w:t>Silsbee, TX</w:t>
            </w:r>
          </w:p>
        </w:tc>
        <w:tc>
          <w:tcPr>
            <w:tcW w:w="3060" w:type="dxa"/>
            <w:vAlign w:val="bottom"/>
          </w:tcPr>
          <w:p>
            <w:pPr>
              <w:jc w:val="center"/>
              <w:ind w:left="110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3"/>
        </w:trPr>
        <w:tc>
          <w:tcPr>
            <w:tcW w:w="1360" w:type="dxa"/>
            <w:vAlign w:val="bottom"/>
          </w:tcPr>
          <w:p>
            <w:pPr>
              <w:spacing w:after="0"/>
              <w:rPr>
                <w:sz w:val="20"/>
                <w:szCs w:val="20"/>
                <w:color w:val="auto"/>
              </w:rPr>
            </w:pPr>
            <w:r>
              <w:rPr>
                <w:rFonts w:ascii="Arial" w:cs="Arial" w:eastAsia="Arial" w:hAnsi="Arial"/>
                <w:sz w:val="14"/>
                <w:szCs w:val="14"/>
                <w:color w:val="auto"/>
              </w:rPr>
              <w:t>Stafford, TX</w:t>
            </w:r>
          </w:p>
        </w:tc>
        <w:tc>
          <w:tcPr>
            <w:tcW w:w="3060" w:type="dxa"/>
            <w:vAlign w:val="bottom"/>
          </w:tcPr>
          <w:p>
            <w:pPr>
              <w:jc w:val="center"/>
              <w:ind w:left="110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-2889250</wp:posOffset>
            </wp:positionH>
            <wp:positionV relativeFrom="paragraph">
              <wp:posOffset>-2588895</wp:posOffset>
            </wp:positionV>
            <wp:extent cx="569214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92140" cy="137160"/>
                    </a:xfrm>
                    <a:prstGeom prst="rect">
                      <a:avLst/>
                    </a:prstGeom>
                    <a:noFill/>
                  </pic:spPr>
                </pic:pic>
              </a:graphicData>
            </a:graphic>
          </wp:anchor>
        </w:drawing>
        <w:drawing>
          <wp:anchor simplePos="0" relativeHeight="251657728" behindDoc="1" locked="0" layoutInCell="0" allowOverlap="1">
            <wp:simplePos x="0" y="0"/>
            <wp:positionH relativeFrom="column">
              <wp:posOffset>-2889250</wp:posOffset>
            </wp:positionH>
            <wp:positionV relativeFrom="paragraph">
              <wp:posOffset>-2323465</wp:posOffset>
            </wp:positionV>
            <wp:extent cx="5692140"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92140" cy="128905"/>
                    </a:xfrm>
                    <a:prstGeom prst="rect">
                      <a:avLst/>
                    </a:prstGeom>
                    <a:noFill/>
                  </pic:spPr>
                </pic:pic>
              </a:graphicData>
            </a:graphic>
          </wp:anchor>
        </w:drawing>
        <w:drawing>
          <wp:anchor simplePos="0" relativeHeight="251657728" behindDoc="1" locked="0" layoutInCell="0" allowOverlap="1">
            <wp:simplePos x="0" y="0"/>
            <wp:positionH relativeFrom="column">
              <wp:posOffset>-2889250</wp:posOffset>
            </wp:positionH>
            <wp:positionV relativeFrom="paragraph">
              <wp:posOffset>-2066290</wp:posOffset>
            </wp:positionV>
            <wp:extent cx="5692140"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92140" cy="128905"/>
                    </a:xfrm>
                    <a:prstGeom prst="rect">
                      <a:avLst/>
                    </a:prstGeom>
                    <a:noFill/>
                  </pic:spPr>
                </pic:pic>
              </a:graphicData>
            </a:graphic>
          </wp:anchor>
        </w:drawing>
        <w:drawing>
          <wp:anchor simplePos="0" relativeHeight="251657728" behindDoc="1" locked="0" layoutInCell="0" allowOverlap="1">
            <wp:simplePos x="0" y="0"/>
            <wp:positionH relativeFrom="column">
              <wp:posOffset>-2889250</wp:posOffset>
            </wp:positionH>
            <wp:positionV relativeFrom="paragraph">
              <wp:posOffset>-1809115</wp:posOffset>
            </wp:positionV>
            <wp:extent cx="5692140"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92140" cy="128905"/>
                    </a:xfrm>
                    <a:prstGeom prst="rect">
                      <a:avLst/>
                    </a:prstGeom>
                    <a:noFill/>
                  </pic:spPr>
                </pic:pic>
              </a:graphicData>
            </a:graphic>
          </wp:anchor>
        </w:drawing>
        <w:drawing>
          <wp:anchor simplePos="0" relativeHeight="251657728" behindDoc="1" locked="0" layoutInCell="0" allowOverlap="1">
            <wp:simplePos x="0" y="0"/>
            <wp:positionH relativeFrom="column">
              <wp:posOffset>-2889250</wp:posOffset>
            </wp:positionH>
            <wp:positionV relativeFrom="paragraph">
              <wp:posOffset>-1551940</wp:posOffset>
            </wp:positionV>
            <wp:extent cx="5692140"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92140" cy="128270"/>
                    </a:xfrm>
                    <a:prstGeom prst="rect">
                      <a:avLst/>
                    </a:prstGeom>
                    <a:noFill/>
                  </pic:spPr>
                </pic:pic>
              </a:graphicData>
            </a:graphic>
          </wp:anchor>
        </w:drawing>
        <w:drawing>
          <wp:anchor simplePos="0" relativeHeight="251657728" behindDoc="1" locked="0" layoutInCell="0" allowOverlap="1">
            <wp:simplePos x="0" y="0"/>
            <wp:positionH relativeFrom="column">
              <wp:posOffset>-2889250</wp:posOffset>
            </wp:positionH>
            <wp:positionV relativeFrom="paragraph">
              <wp:posOffset>-1294765</wp:posOffset>
            </wp:positionV>
            <wp:extent cx="5692140"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92140" cy="128905"/>
                    </a:xfrm>
                    <a:prstGeom prst="rect">
                      <a:avLst/>
                    </a:prstGeom>
                    <a:noFill/>
                  </pic:spPr>
                </pic:pic>
              </a:graphicData>
            </a:graphic>
          </wp:anchor>
        </w:drawing>
        <w:drawing>
          <wp:anchor simplePos="0" relativeHeight="251657728" behindDoc="1" locked="0" layoutInCell="0" allowOverlap="1">
            <wp:simplePos x="0" y="0"/>
            <wp:positionH relativeFrom="column">
              <wp:posOffset>-2889250</wp:posOffset>
            </wp:positionH>
            <wp:positionV relativeFrom="paragraph">
              <wp:posOffset>-1037590</wp:posOffset>
            </wp:positionV>
            <wp:extent cx="5692140"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92140" cy="128905"/>
                    </a:xfrm>
                    <a:prstGeom prst="rect">
                      <a:avLst/>
                    </a:prstGeom>
                    <a:noFill/>
                  </pic:spPr>
                </pic:pic>
              </a:graphicData>
            </a:graphic>
          </wp:anchor>
        </w:drawing>
        <w:drawing>
          <wp:anchor simplePos="0" relativeHeight="251657728" behindDoc="1" locked="0" layoutInCell="0" allowOverlap="1">
            <wp:simplePos x="0" y="0"/>
            <wp:positionH relativeFrom="column">
              <wp:posOffset>-2889250</wp:posOffset>
            </wp:positionH>
            <wp:positionV relativeFrom="paragraph">
              <wp:posOffset>-780415</wp:posOffset>
            </wp:positionV>
            <wp:extent cx="5692140"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92140" cy="128905"/>
                    </a:xfrm>
                    <a:prstGeom prst="rect">
                      <a:avLst/>
                    </a:prstGeom>
                    <a:noFill/>
                  </pic:spPr>
                </pic:pic>
              </a:graphicData>
            </a:graphic>
          </wp:anchor>
        </w:drawing>
        <w:drawing>
          <wp:anchor simplePos="0" relativeHeight="251657728" behindDoc="1" locked="0" layoutInCell="0" allowOverlap="1">
            <wp:simplePos x="0" y="0"/>
            <wp:positionH relativeFrom="column">
              <wp:posOffset>-2889250</wp:posOffset>
            </wp:positionH>
            <wp:positionV relativeFrom="paragraph">
              <wp:posOffset>-523240</wp:posOffset>
            </wp:positionV>
            <wp:extent cx="5692140"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92140" cy="128905"/>
                    </a:xfrm>
                    <a:prstGeom prst="rect">
                      <a:avLst/>
                    </a:prstGeom>
                    <a:noFill/>
                  </pic:spPr>
                </pic:pic>
              </a:graphicData>
            </a:graphic>
          </wp:anchor>
        </w:drawing>
        <w:drawing>
          <wp:anchor simplePos="0" relativeHeight="251657728" behindDoc="1" locked="0" layoutInCell="0" allowOverlap="1">
            <wp:simplePos x="0" y="0"/>
            <wp:positionH relativeFrom="column">
              <wp:posOffset>-2889250</wp:posOffset>
            </wp:positionH>
            <wp:positionV relativeFrom="paragraph">
              <wp:posOffset>-266065</wp:posOffset>
            </wp:positionV>
            <wp:extent cx="5692140"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92140" cy="1289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440" w:space="160"/>
            <w:col w:w="4420"/>
          </w:cols>
          <w:pgMar w:left="1440" w:top="121" w:right="1439" w:bottom="1440" w:gutter="0" w:footer="0" w:header="0"/>
          <w:type w:val="continuous"/>
        </w:sectPr>
      </w:pP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20"/>
          </w:cols>
          <w:pgMar w:left="1440" w:top="121" w:right="1439" w:bottom="1440" w:gutter="0" w:footer="0" w:header="0"/>
          <w:type w:val="continuous"/>
        </w:sectPr>
      </w:pPr>
    </w:p>
    <w:bookmarkStart w:id="9" w:name="page10"/>
    <w:bookmarkEnd w:id="9"/>
    <w:tbl>
      <w:tblPr>
        <w:tblLayout w:type="fixed"/>
        <w:tblInd w:w="40" w:type="dxa"/>
        <w:tblCellMar>
          <w:top w:w="0" w:type="dxa"/>
          <w:left w:w="0" w:type="dxa"/>
          <w:bottom w:w="0" w:type="dxa"/>
          <w:right w:w="0" w:type="dxa"/>
        </w:tblCellMar>
      </w:tblPr>
      <w:tr>
        <w:trPr>
          <w:trHeight w:val="202"/>
        </w:trPr>
        <w:tc>
          <w:tcPr>
            <w:tcW w:w="2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Rancho Cucamonga, CA</w:t>
            </w:r>
          </w:p>
        </w:tc>
        <w:tc>
          <w:tcPr>
            <w:tcW w:w="1980" w:type="dxa"/>
            <w:vAlign w:val="bottom"/>
            <w:shd w:val="clear" w:color="auto" w:fill="CCEEFF"/>
          </w:tcPr>
          <w:p>
            <w:pPr>
              <w:jc w:val="center"/>
              <w:ind w:left="59"/>
              <w:spacing w:after="0"/>
              <w:rPr>
                <w:sz w:val="20"/>
                <w:szCs w:val="20"/>
                <w:color w:val="auto"/>
              </w:rPr>
            </w:pPr>
            <w:r>
              <w:rPr>
                <w:rFonts w:ascii="Arial" w:cs="Arial" w:eastAsia="Arial" w:hAnsi="Arial"/>
                <w:sz w:val="16"/>
                <w:szCs w:val="16"/>
                <w:color w:val="auto"/>
                <w:w w:val="89"/>
              </w:rPr>
              <w:t>1</w:t>
            </w: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4"/>
                <w:szCs w:val="14"/>
                <w:color w:val="auto"/>
              </w:rPr>
              <w:t>Stockertown, PA</w:t>
            </w:r>
          </w:p>
        </w:tc>
        <w:tc>
          <w:tcPr>
            <w:tcW w:w="3080" w:type="dxa"/>
            <w:vAlign w:val="bottom"/>
            <w:shd w:val="clear" w:color="auto" w:fill="CCEEFF"/>
          </w:tcPr>
          <w:p>
            <w:pPr>
              <w:jc w:val="center"/>
              <w:ind w:left="1128"/>
              <w:spacing w:after="0"/>
              <w:rPr>
                <w:sz w:val="20"/>
                <w:szCs w:val="20"/>
                <w:color w:val="auto"/>
              </w:rPr>
            </w:pPr>
            <w:r>
              <w:rPr>
                <w:rFonts w:ascii="Arial" w:cs="Arial" w:eastAsia="Arial" w:hAnsi="Arial"/>
                <w:sz w:val="14"/>
                <w:szCs w:val="14"/>
                <w:color w:val="auto"/>
              </w:rPr>
              <w:t>1</w:t>
            </w:r>
          </w:p>
        </w:tc>
      </w:tr>
      <w:tr>
        <w:trPr>
          <w:trHeight w:val="203"/>
        </w:trPr>
        <w:tc>
          <w:tcPr>
            <w:tcW w:w="2420" w:type="dxa"/>
            <w:vAlign w:val="bottom"/>
          </w:tcPr>
          <w:p>
            <w:pPr>
              <w:ind w:left="20"/>
              <w:spacing w:after="0"/>
              <w:rPr>
                <w:sz w:val="20"/>
                <w:szCs w:val="20"/>
                <w:color w:val="auto"/>
              </w:rPr>
            </w:pPr>
            <w:r>
              <w:rPr>
                <w:rFonts w:ascii="Arial" w:cs="Arial" w:eastAsia="Arial" w:hAnsi="Arial"/>
                <w:sz w:val="14"/>
                <w:szCs w:val="14"/>
                <w:color w:val="auto"/>
              </w:rPr>
              <w:t>Riverside, CA</w:t>
            </w:r>
          </w:p>
        </w:tc>
        <w:tc>
          <w:tcPr>
            <w:tcW w:w="1980" w:type="dxa"/>
            <w:vAlign w:val="bottom"/>
          </w:tcPr>
          <w:p>
            <w:pPr>
              <w:jc w:val="center"/>
              <w:ind w:left="59"/>
              <w:spacing w:after="0"/>
              <w:rPr>
                <w:sz w:val="20"/>
                <w:szCs w:val="20"/>
                <w:color w:val="auto"/>
              </w:rPr>
            </w:pPr>
            <w:r>
              <w:rPr>
                <w:rFonts w:ascii="Arial" w:cs="Arial" w:eastAsia="Arial" w:hAnsi="Arial"/>
                <w:sz w:val="16"/>
                <w:szCs w:val="16"/>
                <w:color w:val="auto"/>
                <w:w w:val="89"/>
              </w:rPr>
              <w:t>1</w:t>
            </w:r>
          </w:p>
        </w:tc>
        <w:tc>
          <w:tcPr>
            <w:tcW w:w="160" w:type="dxa"/>
            <w:vAlign w:val="bottom"/>
          </w:tcPr>
          <w:p>
            <w:pPr>
              <w:spacing w:after="0"/>
              <w:rPr>
                <w:sz w:val="17"/>
                <w:szCs w:val="17"/>
                <w:color w:val="auto"/>
              </w:rPr>
            </w:pPr>
          </w:p>
        </w:tc>
        <w:tc>
          <w:tcPr>
            <w:tcW w:w="1340" w:type="dxa"/>
            <w:vAlign w:val="bottom"/>
          </w:tcPr>
          <w:p>
            <w:pPr>
              <w:spacing w:after="0"/>
              <w:rPr>
                <w:sz w:val="20"/>
                <w:szCs w:val="20"/>
                <w:color w:val="auto"/>
              </w:rPr>
            </w:pPr>
            <w:r>
              <w:rPr>
                <w:rFonts w:ascii="Arial" w:cs="Arial" w:eastAsia="Arial" w:hAnsi="Arial"/>
                <w:sz w:val="14"/>
                <w:szCs w:val="14"/>
                <w:color w:val="auto"/>
              </w:rPr>
              <w:t>Tampa, FL</w:t>
            </w:r>
          </w:p>
        </w:tc>
        <w:tc>
          <w:tcPr>
            <w:tcW w:w="3080" w:type="dxa"/>
            <w:vAlign w:val="bottom"/>
          </w:tcPr>
          <w:p>
            <w:pPr>
              <w:jc w:val="center"/>
              <w:ind w:left="1128"/>
              <w:spacing w:after="0"/>
              <w:rPr>
                <w:sz w:val="20"/>
                <w:szCs w:val="20"/>
                <w:color w:val="auto"/>
              </w:rPr>
            </w:pPr>
            <w:r>
              <w:rPr>
                <w:rFonts w:ascii="Arial" w:cs="Arial" w:eastAsia="Arial" w:hAnsi="Arial"/>
                <w:sz w:val="14"/>
                <w:szCs w:val="14"/>
                <w:color w:val="auto"/>
              </w:rPr>
              <w:t>1</w:t>
            </w:r>
          </w:p>
        </w:tc>
      </w:tr>
      <w:tr>
        <w:trPr>
          <w:trHeight w:val="203"/>
        </w:trPr>
        <w:tc>
          <w:tcPr>
            <w:tcW w:w="2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Shawnee, OK</w:t>
            </w:r>
          </w:p>
        </w:tc>
        <w:tc>
          <w:tcPr>
            <w:tcW w:w="1980" w:type="dxa"/>
            <w:vAlign w:val="bottom"/>
            <w:shd w:val="clear" w:color="auto" w:fill="CCEEFF"/>
          </w:tcPr>
          <w:p>
            <w:pPr>
              <w:jc w:val="center"/>
              <w:ind w:left="59"/>
              <w:spacing w:after="0"/>
              <w:rPr>
                <w:sz w:val="20"/>
                <w:szCs w:val="20"/>
                <w:color w:val="auto"/>
              </w:rPr>
            </w:pPr>
            <w:r>
              <w:rPr>
                <w:rFonts w:ascii="Arial" w:cs="Arial" w:eastAsia="Arial" w:hAnsi="Arial"/>
                <w:sz w:val="16"/>
                <w:szCs w:val="16"/>
                <w:color w:val="auto"/>
                <w:w w:val="89"/>
              </w:rPr>
              <w:t>1</w:t>
            </w: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4"/>
                <w:szCs w:val="14"/>
                <w:color w:val="auto"/>
              </w:rPr>
              <w:t>White City, OR</w:t>
            </w:r>
          </w:p>
        </w:tc>
        <w:tc>
          <w:tcPr>
            <w:tcW w:w="3080" w:type="dxa"/>
            <w:vAlign w:val="bottom"/>
            <w:shd w:val="clear" w:color="auto" w:fill="CCEEFF"/>
          </w:tcPr>
          <w:p>
            <w:pPr>
              <w:jc w:val="center"/>
              <w:ind w:left="1128"/>
              <w:spacing w:after="0"/>
              <w:rPr>
                <w:sz w:val="20"/>
                <w:szCs w:val="20"/>
                <w:color w:val="auto"/>
              </w:rPr>
            </w:pPr>
            <w:r>
              <w:rPr>
                <w:rFonts w:ascii="Arial" w:cs="Arial" w:eastAsia="Arial" w:hAnsi="Arial"/>
                <w:sz w:val="14"/>
                <w:szCs w:val="14"/>
                <w:color w:val="auto"/>
              </w:rPr>
              <w:t>1</w:t>
            </w:r>
          </w:p>
        </w:tc>
      </w:tr>
      <w:tr>
        <w:trPr>
          <w:trHeight w:val="203"/>
        </w:trPr>
        <w:tc>
          <w:tcPr>
            <w:tcW w:w="2420" w:type="dxa"/>
            <w:vAlign w:val="bottom"/>
          </w:tcPr>
          <w:p>
            <w:pPr>
              <w:ind w:left="20"/>
              <w:spacing w:after="0"/>
              <w:rPr>
                <w:sz w:val="20"/>
                <w:szCs w:val="20"/>
                <w:color w:val="auto"/>
              </w:rPr>
            </w:pPr>
            <w:r>
              <w:rPr>
                <w:rFonts w:ascii="Arial" w:cs="Arial" w:eastAsia="Arial" w:hAnsi="Arial"/>
                <w:sz w:val="14"/>
                <w:szCs w:val="14"/>
                <w:color w:val="auto"/>
              </w:rPr>
              <w:t>Snohomish, WA</w:t>
            </w:r>
          </w:p>
        </w:tc>
        <w:tc>
          <w:tcPr>
            <w:tcW w:w="1980" w:type="dxa"/>
            <w:vAlign w:val="bottom"/>
          </w:tcPr>
          <w:p>
            <w:pPr>
              <w:jc w:val="center"/>
              <w:ind w:left="59"/>
              <w:spacing w:after="0"/>
              <w:rPr>
                <w:sz w:val="20"/>
                <w:szCs w:val="20"/>
                <w:color w:val="auto"/>
              </w:rPr>
            </w:pPr>
            <w:r>
              <w:rPr>
                <w:rFonts w:ascii="Arial" w:cs="Arial" w:eastAsia="Arial" w:hAnsi="Arial"/>
                <w:sz w:val="16"/>
                <w:szCs w:val="16"/>
                <w:color w:val="auto"/>
                <w:w w:val="89"/>
              </w:rPr>
              <w:t>1</w:t>
            </w:r>
          </w:p>
        </w:tc>
        <w:tc>
          <w:tcPr>
            <w:tcW w:w="160" w:type="dxa"/>
            <w:vAlign w:val="bottom"/>
          </w:tcPr>
          <w:p>
            <w:pPr>
              <w:spacing w:after="0"/>
              <w:rPr>
                <w:sz w:val="17"/>
                <w:szCs w:val="17"/>
                <w:color w:val="auto"/>
              </w:rPr>
            </w:pPr>
          </w:p>
        </w:tc>
        <w:tc>
          <w:tcPr>
            <w:tcW w:w="1340" w:type="dxa"/>
            <w:vAlign w:val="bottom"/>
          </w:tcPr>
          <w:p>
            <w:pPr>
              <w:spacing w:after="0"/>
              <w:rPr>
                <w:sz w:val="20"/>
                <w:szCs w:val="20"/>
                <w:color w:val="auto"/>
              </w:rPr>
            </w:pPr>
            <w:r>
              <w:rPr>
                <w:rFonts w:ascii="Arial" w:cs="Arial" w:eastAsia="Arial" w:hAnsi="Arial"/>
                <w:sz w:val="14"/>
                <w:szCs w:val="14"/>
                <w:color w:val="auto"/>
              </w:rPr>
              <w:t>Windsor, CO</w:t>
            </w:r>
          </w:p>
        </w:tc>
        <w:tc>
          <w:tcPr>
            <w:tcW w:w="3080" w:type="dxa"/>
            <w:vAlign w:val="bottom"/>
          </w:tcPr>
          <w:p>
            <w:pPr>
              <w:jc w:val="center"/>
              <w:ind w:left="1128"/>
              <w:spacing w:after="0"/>
              <w:rPr>
                <w:sz w:val="20"/>
                <w:szCs w:val="20"/>
                <w:color w:val="auto"/>
              </w:rPr>
            </w:pPr>
            <w:r>
              <w:rPr>
                <w:rFonts w:ascii="Arial" w:cs="Arial" w:eastAsia="Arial" w:hAnsi="Arial"/>
                <w:sz w:val="14"/>
                <w:szCs w:val="14"/>
                <w:color w:val="auto"/>
              </w:rPr>
              <w:t>3</w:t>
            </w:r>
          </w:p>
        </w:tc>
      </w:tr>
      <w:tr>
        <w:trPr>
          <w:trHeight w:val="203"/>
        </w:trPr>
        <w:tc>
          <w:tcPr>
            <w:tcW w:w="2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Walker, MI</w:t>
            </w:r>
          </w:p>
        </w:tc>
        <w:tc>
          <w:tcPr>
            <w:tcW w:w="1980" w:type="dxa"/>
            <w:vAlign w:val="bottom"/>
            <w:shd w:val="clear" w:color="auto" w:fill="CCEEFF"/>
          </w:tcPr>
          <w:p>
            <w:pPr>
              <w:jc w:val="center"/>
              <w:ind w:left="59"/>
              <w:spacing w:after="0"/>
              <w:rPr>
                <w:sz w:val="20"/>
                <w:szCs w:val="20"/>
                <w:color w:val="auto"/>
              </w:rPr>
            </w:pPr>
            <w:r>
              <w:rPr>
                <w:rFonts w:ascii="Arial" w:cs="Arial" w:eastAsia="Arial" w:hAnsi="Arial"/>
                <w:sz w:val="16"/>
                <w:szCs w:val="16"/>
                <w:color w:val="auto"/>
                <w:w w:val="89"/>
              </w:rPr>
              <w:t>1</w:t>
            </w: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4"/>
                <w:szCs w:val="14"/>
                <w:color w:val="auto"/>
              </w:rPr>
              <w:t>Prairie du Chien, WI</w:t>
            </w:r>
          </w:p>
        </w:tc>
        <w:tc>
          <w:tcPr>
            <w:tcW w:w="3080" w:type="dxa"/>
            <w:vAlign w:val="bottom"/>
            <w:shd w:val="clear" w:color="auto" w:fill="CCEEFF"/>
          </w:tcPr>
          <w:p>
            <w:pPr>
              <w:jc w:val="center"/>
              <w:ind w:left="1128"/>
              <w:spacing w:after="0"/>
              <w:rPr>
                <w:sz w:val="20"/>
                <w:szCs w:val="20"/>
                <w:color w:val="auto"/>
              </w:rPr>
            </w:pPr>
            <w:r>
              <w:rPr>
                <w:rFonts w:ascii="Arial" w:cs="Arial" w:eastAsia="Arial" w:hAnsi="Arial"/>
                <w:sz w:val="14"/>
                <w:szCs w:val="14"/>
                <w:color w:val="auto"/>
              </w:rPr>
              <w:t>2</w:t>
            </w:r>
          </w:p>
        </w:tc>
      </w:tr>
      <w:tr>
        <w:trPr>
          <w:trHeight w:val="202"/>
        </w:trPr>
        <w:tc>
          <w:tcPr>
            <w:tcW w:w="2420" w:type="dxa"/>
            <w:vAlign w:val="bottom"/>
          </w:tcPr>
          <w:p>
            <w:pPr>
              <w:ind w:left="20"/>
              <w:spacing w:after="0"/>
              <w:rPr>
                <w:sz w:val="20"/>
                <w:szCs w:val="20"/>
                <w:color w:val="auto"/>
              </w:rPr>
            </w:pPr>
            <w:r>
              <w:rPr>
                <w:rFonts w:ascii="Arial" w:cs="Arial" w:eastAsia="Arial" w:hAnsi="Arial"/>
                <w:sz w:val="14"/>
                <w:szCs w:val="14"/>
                <w:color w:val="auto"/>
              </w:rPr>
              <w:t>Warrens, WI</w:t>
            </w:r>
          </w:p>
        </w:tc>
        <w:tc>
          <w:tcPr>
            <w:tcW w:w="1980" w:type="dxa"/>
            <w:vAlign w:val="bottom"/>
          </w:tcPr>
          <w:p>
            <w:pPr>
              <w:jc w:val="center"/>
              <w:ind w:left="59"/>
              <w:spacing w:after="0"/>
              <w:rPr>
                <w:sz w:val="20"/>
                <w:szCs w:val="20"/>
                <w:color w:val="auto"/>
              </w:rPr>
            </w:pPr>
            <w:r>
              <w:rPr>
                <w:rFonts w:ascii="Arial" w:cs="Arial" w:eastAsia="Arial" w:hAnsi="Arial"/>
                <w:sz w:val="16"/>
                <w:szCs w:val="16"/>
                <w:color w:val="auto"/>
                <w:w w:val="89"/>
              </w:rPr>
              <w:t>1</w:t>
            </w:r>
          </w:p>
        </w:tc>
        <w:tc>
          <w:tcPr>
            <w:tcW w:w="160" w:type="dxa"/>
            <w:vAlign w:val="bottom"/>
          </w:tcPr>
          <w:p>
            <w:pPr>
              <w:spacing w:after="0"/>
              <w:rPr>
                <w:sz w:val="17"/>
                <w:szCs w:val="17"/>
                <w:color w:val="auto"/>
              </w:rPr>
            </w:pPr>
          </w:p>
        </w:tc>
        <w:tc>
          <w:tcPr>
            <w:tcW w:w="1340" w:type="dxa"/>
            <w:vAlign w:val="bottom"/>
          </w:tcPr>
          <w:p>
            <w:pPr>
              <w:spacing w:after="0"/>
              <w:rPr>
                <w:sz w:val="20"/>
                <w:szCs w:val="20"/>
                <w:color w:val="auto"/>
              </w:rPr>
            </w:pPr>
            <w:r>
              <w:rPr>
                <w:rFonts w:ascii="Arial" w:cs="Arial" w:eastAsia="Arial" w:hAnsi="Arial"/>
                <w:sz w:val="14"/>
                <w:szCs w:val="14"/>
                <w:color w:val="auto"/>
              </w:rPr>
              <w:t>Salina, KS</w:t>
            </w:r>
          </w:p>
        </w:tc>
        <w:tc>
          <w:tcPr>
            <w:tcW w:w="3080" w:type="dxa"/>
            <w:vAlign w:val="bottom"/>
          </w:tcPr>
          <w:p>
            <w:pPr>
              <w:jc w:val="center"/>
              <w:ind w:left="1128"/>
              <w:spacing w:after="0"/>
              <w:rPr>
                <w:sz w:val="20"/>
                <w:szCs w:val="20"/>
                <w:color w:val="auto"/>
              </w:rPr>
            </w:pPr>
            <w:r>
              <w:rPr>
                <w:rFonts w:ascii="Arial" w:cs="Arial" w:eastAsia="Arial" w:hAnsi="Arial"/>
                <w:sz w:val="14"/>
                <w:szCs w:val="14"/>
                <w:color w:val="auto"/>
              </w:rPr>
              <w:t>1</w:t>
            </w:r>
          </w:p>
        </w:tc>
      </w:tr>
      <w:tr>
        <w:trPr>
          <w:trHeight w:val="203"/>
        </w:trPr>
        <w:tc>
          <w:tcPr>
            <w:tcW w:w="2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Wenatchee, WA</w:t>
            </w:r>
          </w:p>
        </w:tc>
        <w:tc>
          <w:tcPr>
            <w:tcW w:w="1980" w:type="dxa"/>
            <w:vAlign w:val="bottom"/>
            <w:shd w:val="clear" w:color="auto" w:fill="CCEEFF"/>
          </w:tcPr>
          <w:p>
            <w:pPr>
              <w:jc w:val="center"/>
              <w:ind w:left="59"/>
              <w:spacing w:after="0"/>
              <w:rPr>
                <w:sz w:val="20"/>
                <w:szCs w:val="20"/>
                <w:color w:val="auto"/>
              </w:rPr>
            </w:pPr>
            <w:r>
              <w:rPr>
                <w:rFonts w:ascii="Arial" w:cs="Arial" w:eastAsia="Arial" w:hAnsi="Arial"/>
                <w:sz w:val="16"/>
                <w:szCs w:val="16"/>
                <w:color w:val="auto"/>
                <w:w w:val="89"/>
              </w:rPr>
              <w:t>1</w:t>
            </w: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4"/>
                <w:szCs w:val="14"/>
                <w:color w:val="auto"/>
              </w:rPr>
              <w:t>Union City, GA</w:t>
            </w:r>
          </w:p>
        </w:tc>
        <w:tc>
          <w:tcPr>
            <w:tcW w:w="3080" w:type="dxa"/>
            <w:vAlign w:val="bottom"/>
            <w:shd w:val="clear" w:color="auto" w:fill="CCEEFF"/>
          </w:tcPr>
          <w:p>
            <w:pPr>
              <w:jc w:val="center"/>
              <w:ind w:left="1128"/>
              <w:spacing w:after="0"/>
              <w:rPr>
                <w:sz w:val="20"/>
                <w:szCs w:val="20"/>
                <w:color w:val="auto"/>
              </w:rPr>
            </w:pPr>
            <w:r>
              <w:rPr>
                <w:rFonts w:ascii="Arial" w:cs="Arial" w:eastAsia="Arial" w:hAnsi="Arial"/>
                <w:sz w:val="14"/>
                <w:szCs w:val="14"/>
                <w:color w:val="auto"/>
              </w:rPr>
              <w:t>1</w:t>
            </w:r>
          </w:p>
        </w:tc>
      </w:tr>
      <w:tr>
        <w:trPr>
          <w:trHeight w:val="203"/>
        </w:trPr>
        <w:tc>
          <w:tcPr>
            <w:tcW w:w="2420" w:type="dxa"/>
            <w:vAlign w:val="bottom"/>
          </w:tcPr>
          <w:p>
            <w:pPr>
              <w:ind w:left="20"/>
              <w:spacing w:after="0"/>
              <w:rPr>
                <w:sz w:val="20"/>
                <w:szCs w:val="20"/>
                <w:color w:val="auto"/>
              </w:rPr>
            </w:pPr>
            <w:r>
              <w:rPr>
                <w:rFonts w:ascii="Arial" w:cs="Arial" w:eastAsia="Arial" w:hAnsi="Arial"/>
                <w:sz w:val="14"/>
                <w:szCs w:val="14"/>
                <w:color w:val="auto"/>
              </w:rPr>
              <w:t>Woodburn, OR</w:t>
            </w:r>
          </w:p>
        </w:tc>
        <w:tc>
          <w:tcPr>
            <w:tcW w:w="1980" w:type="dxa"/>
            <w:vAlign w:val="bottom"/>
          </w:tcPr>
          <w:p>
            <w:pPr>
              <w:jc w:val="center"/>
              <w:ind w:left="59"/>
              <w:spacing w:after="0"/>
              <w:rPr>
                <w:sz w:val="20"/>
                <w:szCs w:val="20"/>
                <w:color w:val="auto"/>
              </w:rPr>
            </w:pPr>
            <w:r>
              <w:rPr>
                <w:rFonts w:ascii="Arial" w:cs="Arial" w:eastAsia="Arial" w:hAnsi="Arial"/>
                <w:sz w:val="16"/>
                <w:szCs w:val="16"/>
                <w:color w:val="auto"/>
                <w:w w:val="89"/>
              </w:rPr>
              <w:t>3</w:t>
            </w:r>
          </w:p>
        </w:tc>
        <w:tc>
          <w:tcPr>
            <w:tcW w:w="160" w:type="dxa"/>
            <w:vAlign w:val="bottom"/>
          </w:tcPr>
          <w:p>
            <w:pPr>
              <w:spacing w:after="0"/>
              <w:rPr>
                <w:sz w:val="17"/>
                <w:szCs w:val="17"/>
                <w:color w:val="auto"/>
              </w:rPr>
            </w:pPr>
          </w:p>
        </w:tc>
        <w:tc>
          <w:tcPr>
            <w:tcW w:w="1340" w:type="dxa"/>
            <w:vAlign w:val="bottom"/>
          </w:tcPr>
          <w:p>
            <w:pPr>
              <w:spacing w:after="0"/>
              <w:rPr>
                <w:sz w:val="20"/>
                <w:szCs w:val="20"/>
                <w:color w:val="auto"/>
              </w:rPr>
            </w:pPr>
            <w:r>
              <w:rPr>
                <w:rFonts w:ascii="Arial" w:cs="Arial" w:eastAsia="Arial" w:hAnsi="Arial"/>
                <w:sz w:val="14"/>
                <w:szCs w:val="14"/>
                <w:color w:val="auto"/>
                <w:w w:val="99"/>
              </w:rPr>
              <w:t>White Bear Lake, MN</w:t>
            </w:r>
          </w:p>
        </w:tc>
        <w:tc>
          <w:tcPr>
            <w:tcW w:w="3080" w:type="dxa"/>
            <w:vAlign w:val="bottom"/>
          </w:tcPr>
          <w:p>
            <w:pPr>
              <w:jc w:val="center"/>
              <w:ind w:left="1128"/>
              <w:spacing w:after="0"/>
              <w:rPr>
                <w:sz w:val="20"/>
                <w:szCs w:val="20"/>
                <w:color w:val="auto"/>
              </w:rPr>
            </w:pPr>
            <w:r>
              <w:rPr>
                <w:rFonts w:ascii="Arial" w:cs="Arial" w:eastAsia="Arial" w:hAnsi="Arial"/>
                <w:sz w:val="14"/>
                <w:szCs w:val="14"/>
                <w:color w:val="auto"/>
              </w:rPr>
              <w:t>2</w:t>
            </w:r>
          </w:p>
        </w:tc>
      </w:tr>
      <w:tr>
        <w:trPr>
          <w:trHeight w:val="203"/>
        </w:trPr>
        <w:tc>
          <w:tcPr>
            <w:tcW w:w="2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Yakima, WA</w:t>
            </w:r>
          </w:p>
        </w:tc>
        <w:tc>
          <w:tcPr>
            <w:tcW w:w="1980" w:type="dxa"/>
            <w:vAlign w:val="bottom"/>
            <w:shd w:val="clear" w:color="auto" w:fill="CCEEFF"/>
          </w:tcPr>
          <w:p>
            <w:pPr>
              <w:jc w:val="center"/>
              <w:ind w:left="59"/>
              <w:spacing w:after="0"/>
              <w:rPr>
                <w:sz w:val="20"/>
                <w:szCs w:val="20"/>
                <w:color w:val="auto"/>
              </w:rPr>
            </w:pPr>
            <w:r>
              <w:rPr>
                <w:rFonts w:ascii="Arial" w:cs="Arial" w:eastAsia="Arial" w:hAnsi="Arial"/>
                <w:sz w:val="16"/>
                <w:szCs w:val="16"/>
                <w:color w:val="auto"/>
                <w:w w:val="89"/>
              </w:rPr>
              <w:t>1</w:t>
            </w: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4"/>
                <w:szCs w:val="14"/>
                <w:color w:val="auto"/>
              </w:rPr>
              <w:t>White Pigeon, MI</w:t>
            </w:r>
          </w:p>
        </w:tc>
        <w:tc>
          <w:tcPr>
            <w:tcW w:w="3080" w:type="dxa"/>
            <w:vAlign w:val="bottom"/>
            <w:shd w:val="clear" w:color="auto" w:fill="CCEEFF"/>
          </w:tcPr>
          <w:p>
            <w:pPr>
              <w:jc w:val="center"/>
              <w:ind w:left="1128"/>
              <w:spacing w:after="0"/>
              <w:rPr>
                <w:sz w:val="20"/>
                <w:szCs w:val="20"/>
                <w:color w:val="auto"/>
              </w:rPr>
            </w:pPr>
            <w:r>
              <w:rPr>
                <w:rFonts w:ascii="Arial" w:cs="Arial" w:eastAsia="Arial" w:hAnsi="Arial"/>
                <w:sz w:val="14"/>
                <w:szCs w:val="14"/>
                <w:color w:val="auto"/>
              </w:rPr>
              <w:t>1</w:t>
            </w:r>
          </w:p>
        </w:tc>
      </w:tr>
      <w:tr>
        <w:trPr>
          <w:trHeight w:val="203"/>
        </w:trPr>
        <w:tc>
          <w:tcPr>
            <w:tcW w:w="24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Adairsville, GA</w:t>
            </w:r>
          </w:p>
        </w:tc>
        <w:tc>
          <w:tcPr>
            <w:tcW w:w="1980" w:type="dxa"/>
            <w:vAlign w:val="bottom"/>
            <w:tcBorders>
              <w:bottom w:val="single" w:sz="8" w:color="CCEEFF"/>
            </w:tcBorders>
          </w:tcPr>
          <w:p>
            <w:pPr>
              <w:jc w:val="center"/>
              <w:ind w:left="59"/>
              <w:spacing w:after="0"/>
              <w:rPr>
                <w:sz w:val="20"/>
                <w:szCs w:val="20"/>
                <w:color w:val="auto"/>
              </w:rPr>
            </w:pPr>
            <w:r>
              <w:rPr>
                <w:rFonts w:ascii="Arial" w:cs="Arial" w:eastAsia="Arial" w:hAnsi="Arial"/>
                <w:sz w:val="16"/>
                <w:szCs w:val="16"/>
                <w:color w:val="auto"/>
                <w:w w:val="89"/>
              </w:rPr>
              <w:t>1</w:t>
            </w:r>
          </w:p>
        </w:tc>
        <w:tc>
          <w:tcPr>
            <w:tcW w:w="16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Ponce, Puerto Rico</w:t>
            </w:r>
          </w:p>
        </w:tc>
        <w:tc>
          <w:tcPr>
            <w:tcW w:w="3080" w:type="dxa"/>
            <w:vAlign w:val="bottom"/>
            <w:tcBorders>
              <w:bottom w:val="single" w:sz="8" w:color="auto"/>
            </w:tcBorders>
          </w:tcPr>
          <w:p>
            <w:pPr>
              <w:jc w:val="center"/>
              <w:ind w:left="1128"/>
              <w:spacing w:after="0"/>
              <w:rPr>
                <w:sz w:val="20"/>
                <w:szCs w:val="20"/>
                <w:color w:val="auto"/>
              </w:rPr>
            </w:pPr>
            <w:r>
              <w:rPr>
                <w:rFonts w:ascii="Arial" w:cs="Arial" w:eastAsia="Arial" w:hAnsi="Arial"/>
                <w:sz w:val="14"/>
                <w:szCs w:val="14"/>
                <w:color w:val="auto"/>
              </w:rPr>
              <w:t>1</w:t>
            </w:r>
          </w:p>
        </w:tc>
      </w:tr>
      <w:tr>
        <w:trPr>
          <w:trHeight w:val="183"/>
        </w:trPr>
        <w:tc>
          <w:tcPr>
            <w:tcW w:w="2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Dallas, TX</w:t>
            </w:r>
          </w:p>
        </w:tc>
        <w:tc>
          <w:tcPr>
            <w:tcW w:w="1980" w:type="dxa"/>
            <w:vAlign w:val="bottom"/>
            <w:shd w:val="clear" w:color="auto" w:fill="CCEEFF"/>
          </w:tcPr>
          <w:p>
            <w:pPr>
              <w:jc w:val="center"/>
              <w:ind w:left="59"/>
              <w:spacing w:after="0" w:line="183" w:lineRule="exact"/>
              <w:rPr>
                <w:sz w:val="20"/>
                <w:szCs w:val="20"/>
                <w:color w:val="auto"/>
              </w:rPr>
            </w:pPr>
            <w:r>
              <w:rPr>
                <w:rFonts w:ascii="Arial" w:cs="Arial" w:eastAsia="Arial" w:hAnsi="Arial"/>
                <w:sz w:val="16"/>
                <w:szCs w:val="16"/>
                <w:color w:val="auto"/>
                <w:w w:val="89"/>
              </w:rPr>
              <w:t>1</w:t>
            </w:r>
          </w:p>
        </w:tc>
        <w:tc>
          <w:tcPr>
            <w:tcW w:w="1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TOTAL</w:t>
            </w:r>
          </w:p>
        </w:tc>
        <w:tc>
          <w:tcPr>
            <w:tcW w:w="3080" w:type="dxa"/>
            <w:vAlign w:val="bottom"/>
            <w:shd w:val="clear" w:color="auto" w:fill="CCEEFF"/>
          </w:tcPr>
          <w:p>
            <w:pPr>
              <w:jc w:val="center"/>
              <w:ind w:left="1108"/>
              <w:spacing w:after="0"/>
              <w:rPr>
                <w:sz w:val="20"/>
                <w:szCs w:val="20"/>
                <w:color w:val="auto"/>
              </w:rPr>
            </w:pPr>
            <w:r>
              <w:rPr>
                <w:rFonts w:ascii="Arial" w:cs="Arial" w:eastAsia="Arial" w:hAnsi="Arial"/>
                <w:sz w:val="14"/>
                <w:szCs w:val="14"/>
                <w:b w:val="1"/>
                <w:bCs w:val="1"/>
                <w:color w:val="auto"/>
                <w:w w:val="89"/>
              </w:rPr>
              <w:t>37</w:t>
            </w:r>
          </w:p>
        </w:tc>
      </w:tr>
      <w:tr>
        <w:trPr>
          <w:trHeight w:val="203"/>
        </w:trPr>
        <w:tc>
          <w:tcPr>
            <w:tcW w:w="2420" w:type="dxa"/>
            <w:vAlign w:val="bottom"/>
          </w:tcPr>
          <w:p>
            <w:pPr>
              <w:ind w:left="20"/>
              <w:spacing w:after="0"/>
              <w:rPr>
                <w:sz w:val="20"/>
                <w:szCs w:val="20"/>
                <w:color w:val="auto"/>
              </w:rPr>
            </w:pPr>
            <w:r>
              <w:rPr>
                <w:rFonts w:ascii="Arial" w:cs="Arial" w:eastAsia="Arial" w:hAnsi="Arial"/>
                <w:sz w:val="14"/>
                <w:szCs w:val="14"/>
                <w:color w:val="auto"/>
              </w:rPr>
              <w:t>Grand Rapids, MI</w:t>
            </w:r>
          </w:p>
        </w:tc>
        <w:tc>
          <w:tcPr>
            <w:tcW w:w="1980" w:type="dxa"/>
            <w:vAlign w:val="bottom"/>
          </w:tcPr>
          <w:p>
            <w:pPr>
              <w:jc w:val="center"/>
              <w:ind w:left="59"/>
              <w:spacing w:after="0"/>
              <w:rPr>
                <w:sz w:val="20"/>
                <w:szCs w:val="20"/>
                <w:color w:val="auto"/>
              </w:rPr>
            </w:pPr>
            <w:r>
              <w:rPr>
                <w:rFonts w:ascii="Arial" w:cs="Arial" w:eastAsia="Arial" w:hAnsi="Arial"/>
                <w:sz w:val="16"/>
                <w:szCs w:val="16"/>
                <w:color w:val="auto"/>
                <w:w w:val="89"/>
              </w:rPr>
              <w:t>1</w:t>
            </w: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080" w:type="dxa"/>
            <w:vAlign w:val="bottom"/>
          </w:tcPr>
          <w:p>
            <w:pPr>
              <w:spacing w:after="0"/>
              <w:rPr>
                <w:sz w:val="17"/>
                <w:szCs w:val="17"/>
                <w:color w:val="auto"/>
              </w:rPr>
            </w:pPr>
          </w:p>
        </w:tc>
      </w:tr>
      <w:tr>
        <w:trPr>
          <w:trHeight w:val="203"/>
        </w:trPr>
        <w:tc>
          <w:tcPr>
            <w:tcW w:w="2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Huntsville, TX</w:t>
            </w:r>
          </w:p>
        </w:tc>
        <w:tc>
          <w:tcPr>
            <w:tcW w:w="1980" w:type="dxa"/>
            <w:vAlign w:val="bottom"/>
            <w:shd w:val="clear" w:color="auto" w:fill="CCEEFF"/>
          </w:tcPr>
          <w:p>
            <w:pPr>
              <w:jc w:val="center"/>
              <w:ind w:left="59"/>
              <w:spacing w:after="0"/>
              <w:rPr>
                <w:sz w:val="20"/>
                <w:szCs w:val="20"/>
                <w:color w:val="auto"/>
              </w:rPr>
            </w:pPr>
            <w:r>
              <w:rPr>
                <w:rFonts w:ascii="Arial" w:cs="Arial" w:eastAsia="Arial" w:hAnsi="Arial"/>
                <w:sz w:val="16"/>
                <w:szCs w:val="16"/>
                <w:color w:val="auto"/>
                <w:w w:val="89"/>
              </w:rPr>
              <w:t>1</w:t>
            </w: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080" w:type="dxa"/>
            <w:vAlign w:val="bottom"/>
            <w:shd w:val="clear" w:color="auto" w:fill="CCEEFF"/>
          </w:tcPr>
          <w:p>
            <w:pPr>
              <w:jc w:val="center"/>
              <w:ind w:right="1268"/>
              <w:spacing w:after="0"/>
              <w:rPr>
                <w:sz w:val="20"/>
                <w:szCs w:val="20"/>
                <w:color w:val="auto"/>
              </w:rPr>
            </w:pPr>
            <w:r>
              <w:rPr>
                <w:rFonts w:ascii="Arial" w:cs="Arial" w:eastAsia="Arial" w:hAnsi="Arial"/>
                <w:sz w:val="14"/>
                <w:szCs w:val="14"/>
                <w:b w:val="1"/>
                <w:bCs w:val="1"/>
                <w:color w:val="auto"/>
              </w:rPr>
              <w:t>ALL OTHER SEGMENT</w:t>
            </w:r>
          </w:p>
        </w:tc>
      </w:tr>
      <w:tr>
        <w:trPr>
          <w:trHeight w:val="203"/>
        </w:trPr>
        <w:tc>
          <w:tcPr>
            <w:tcW w:w="24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Marietta, GA</w:t>
            </w:r>
          </w:p>
        </w:tc>
        <w:tc>
          <w:tcPr>
            <w:tcW w:w="1980" w:type="dxa"/>
            <w:vAlign w:val="bottom"/>
            <w:tcBorders>
              <w:bottom w:val="single" w:sz="8" w:color="CCEEFF"/>
            </w:tcBorders>
          </w:tcPr>
          <w:p>
            <w:pPr>
              <w:jc w:val="center"/>
              <w:ind w:left="59"/>
              <w:spacing w:after="0"/>
              <w:rPr>
                <w:sz w:val="20"/>
                <w:szCs w:val="20"/>
                <w:color w:val="auto"/>
              </w:rPr>
            </w:pPr>
            <w:r>
              <w:rPr>
                <w:rFonts w:ascii="Arial" w:cs="Arial" w:eastAsia="Arial" w:hAnsi="Arial"/>
                <w:sz w:val="16"/>
                <w:szCs w:val="16"/>
                <w:color w:val="auto"/>
                <w:w w:val="89"/>
              </w:rPr>
              <w:t>1</w:t>
            </w:r>
          </w:p>
        </w:tc>
        <w:tc>
          <w:tcPr>
            <w:tcW w:w="16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Property Location</w:t>
            </w:r>
          </w:p>
        </w:tc>
        <w:tc>
          <w:tcPr>
            <w:tcW w:w="3080" w:type="dxa"/>
            <w:vAlign w:val="bottom"/>
            <w:tcBorders>
              <w:bottom w:val="single" w:sz="8" w:color="auto"/>
            </w:tcBorders>
          </w:tcPr>
          <w:p>
            <w:pPr>
              <w:ind w:left="1200"/>
              <w:spacing w:after="0"/>
              <w:rPr>
                <w:sz w:val="20"/>
                <w:szCs w:val="20"/>
                <w:color w:val="auto"/>
              </w:rPr>
            </w:pPr>
            <w:r>
              <w:rPr>
                <w:rFonts w:ascii="Arial" w:cs="Arial" w:eastAsia="Arial" w:hAnsi="Arial"/>
                <w:sz w:val="14"/>
                <w:szCs w:val="14"/>
                <w:b w:val="1"/>
                <w:bCs w:val="1"/>
                <w:color w:val="auto"/>
              </w:rPr>
              <w:t>Number of Properties</w:t>
            </w:r>
          </w:p>
        </w:tc>
      </w:tr>
      <w:tr>
        <w:trPr>
          <w:trHeight w:val="183"/>
        </w:trPr>
        <w:tc>
          <w:tcPr>
            <w:tcW w:w="2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Martin, TN</w:t>
            </w:r>
          </w:p>
        </w:tc>
        <w:tc>
          <w:tcPr>
            <w:tcW w:w="1980" w:type="dxa"/>
            <w:vAlign w:val="bottom"/>
            <w:shd w:val="clear" w:color="auto" w:fill="CCEEFF"/>
          </w:tcPr>
          <w:p>
            <w:pPr>
              <w:jc w:val="center"/>
              <w:ind w:left="59"/>
              <w:spacing w:after="0" w:line="183" w:lineRule="exact"/>
              <w:rPr>
                <w:sz w:val="20"/>
                <w:szCs w:val="20"/>
                <w:color w:val="auto"/>
              </w:rPr>
            </w:pPr>
            <w:r>
              <w:rPr>
                <w:rFonts w:ascii="Arial" w:cs="Arial" w:eastAsia="Arial" w:hAnsi="Arial"/>
                <w:sz w:val="16"/>
                <w:szCs w:val="16"/>
                <w:color w:val="auto"/>
                <w:w w:val="89"/>
              </w:rPr>
              <w:t>1</w:t>
            </w:r>
          </w:p>
        </w:tc>
        <w:tc>
          <w:tcPr>
            <w:tcW w:w="1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4"/>
                <w:szCs w:val="14"/>
                <w:color w:val="auto"/>
                <w:w w:val="94"/>
              </w:rPr>
              <w:t>Chateauguay, Quebec</w:t>
            </w:r>
          </w:p>
        </w:tc>
        <w:tc>
          <w:tcPr>
            <w:tcW w:w="3080" w:type="dxa"/>
            <w:vAlign w:val="bottom"/>
            <w:shd w:val="clear" w:color="auto" w:fill="CCEEFF"/>
          </w:tcPr>
          <w:p>
            <w:pPr>
              <w:jc w:val="center"/>
              <w:ind w:left="1128"/>
              <w:spacing w:after="0"/>
              <w:rPr>
                <w:sz w:val="20"/>
                <w:szCs w:val="20"/>
                <w:color w:val="auto"/>
              </w:rPr>
            </w:pPr>
            <w:r>
              <w:rPr>
                <w:rFonts w:ascii="Arial" w:cs="Arial" w:eastAsia="Arial" w:hAnsi="Arial"/>
                <w:sz w:val="14"/>
                <w:szCs w:val="14"/>
                <w:color w:val="auto"/>
              </w:rPr>
              <w:t>1</w:t>
            </w:r>
          </w:p>
        </w:tc>
      </w:tr>
      <w:tr>
        <w:trPr>
          <w:trHeight w:val="203"/>
        </w:trPr>
        <w:tc>
          <w:tcPr>
            <w:tcW w:w="2420" w:type="dxa"/>
            <w:vAlign w:val="bottom"/>
          </w:tcPr>
          <w:p>
            <w:pPr>
              <w:ind w:left="20"/>
              <w:spacing w:after="0"/>
              <w:rPr>
                <w:sz w:val="20"/>
                <w:szCs w:val="20"/>
                <w:color w:val="auto"/>
              </w:rPr>
            </w:pPr>
            <w:r>
              <w:rPr>
                <w:rFonts w:ascii="Arial" w:cs="Arial" w:eastAsia="Arial" w:hAnsi="Arial"/>
                <w:sz w:val="14"/>
                <w:szCs w:val="14"/>
                <w:color w:val="auto"/>
              </w:rPr>
              <w:t>Newnan, GA</w:t>
            </w:r>
          </w:p>
        </w:tc>
        <w:tc>
          <w:tcPr>
            <w:tcW w:w="1980" w:type="dxa"/>
            <w:vAlign w:val="bottom"/>
          </w:tcPr>
          <w:p>
            <w:pPr>
              <w:jc w:val="center"/>
              <w:ind w:left="59"/>
              <w:spacing w:after="0"/>
              <w:rPr>
                <w:sz w:val="20"/>
                <w:szCs w:val="20"/>
                <w:color w:val="auto"/>
              </w:rPr>
            </w:pPr>
            <w:r>
              <w:rPr>
                <w:rFonts w:ascii="Arial" w:cs="Arial" w:eastAsia="Arial" w:hAnsi="Arial"/>
                <w:sz w:val="16"/>
                <w:szCs w:val="16"/>
                <w:color w:val="auto"/>
                <w:w w:val="89"/>
              </w:rPr>
              <w:t>1</w:t>
            </w:r>
          </w:p>
        </w:tc>
        <w:tc>
          <w:tcPr>
            <w:tcW w:w="160" w:type="dxa"/>
            <w:vAlign w:val="bottom"/>
          </w:tcPr>
          <w:p>
            <w:pPr>
              <w:spacing w:after="0"/>
              <w:rPr>
                <w:sz w:val="17"/>
                <w:szCs w:val="17"/>
                <w:color w:val="auto"/>
              </w:rPr>
            </w:pPr>
          </w:p>
        </w:tc>
        <w:tc>
          <w:tcPr>
            <w:tcW w:w="1340" w:type="dxa"/>
            <w:vAlign w:val="bottom"/>
          </w:tcPr>
          <w:p>
            <w:pPr>
              <w:spacing w:after="0"/>
              <w:rPr>
                <w:sz w:val="20"/>
                <w:szCs w:val="20"/>
                <w:color w:val="auto"/>
              </w:rPr>
            </w:pPr>
            <w:r>
              <w:rPr>
                <w:rFonts w:ascii="Arial" w:cs="Arial" w:eastAsia="Arial" w:hAnsi="Arial"/>
                <w:sz w:val="14"/>
                <w:szCs w:val="14"/>
                <w:color w:val="auto"/>
              </w:rPr>
              <w:t>Erskine Park, AUS</w:t>
            </w:r>
          </w:p>
        </w:tc>
        <w:tc>
          <w:tcPr>
            <w:tcW w:w="3080" w:type="dxa"/>
            <w:vAlign w:val="bottom"/>
          </w:tcPr>
          <w:p>
            <w:pPr>
              <w:jc w:val="center"/>
              <w:ind w:left="1128"/>
              <w:spacing w:after="0"/>
              <w:rPr>
                <w:sz w:val="20"/>
                <w:szCs w:val="20"/>
                <w:color w:val="auto"/>
              </w:rPr>
            </w:pPr>
            <w:r>
              <w:rPr>
                <w:rFonts w:ascii="Arial" w:cs="Arial" w:eastAsia="Arial" w:hAnsi="Arial"/>
                <w:sz w:val="14"/>
                <w:szCs w:val="14"/>
                <w:color w:val="auto"/>
              </w:rPr>
              <w:t>1</w:t>
            </w:r>
          </w:p>
        </w:tc>
      </w:tr>
      <w:tr>
        <w:trPr>
          <w:trHeight w:val="203"/>
        </w:trPr>
        <w:tc>
          <w:tcPr>
            <w:tcW w:w="2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Orangeburg, SC</w:t>
            </w:r>
          </w:p>
        </w:tc>
        <w:tc>
          <w:tcPr>
            <w:tcW w:w="1980" w:type="dxa"/>
            <w:vAlign w:val="bottom"/>
            <w:shd w:val="clear" w:color="auto" w:fill="CCEEFF"/>
          </w:tcPr>
          <w:p>
            <w:pPr>
              <w:jc w:val="center"/>
              <w:ind w:left="59"/>
              <w:spacing w:after="0"/>
              <w:rPr>
                <w:sz w:val="20"/>
                <w:szCs w:val="20"/>
                <w:color w:val="auto"/>
              </w:rPr>
            </w:pPr>
            <w:r>
              <w:rPr>
                <w:rFonts w:ascii="Arial" w:cs="Arial" w:eastAsia="Arial" w:hAnsi="Arial"/>
                <w:sz w:val="16"/>
                <w:szCs w:val="16"/>
                <w:color w:val="auto"/>
                <w:w w:val="89"/>
              </w:rPr>
              <w:t>1</w:t>
            </w: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4"/>
                <w:szCs w:val="14"/>
                <w:color w:val="auto"/>
              </w:rPr>
              <w:t>Lacolle, Quebec</w:t>
            </w:r>
          </w:p>
        </w:tc>
        <w:tc>
          <w:tcPr>
            <w:tcW w:w="3080" w:type="dxa"/>
            <w:vAlign w:val="bottom"/>
            <w:shd w:val="clear" w:color="auto" w:fill="CCEEFF"/>
          </w:tcPr>
          <w:p>
            <w:pPr>
              <w:jc w:val="center"/>
              <w:ind w:left="1128"/>
              <w:spacing w:after="0"/>
              <w:rPr>
                <w:sz w:val="20"/>
                <w:szCs w:val="20"/>
                <w:color w:val="auto"/>
              </w:rPr>
            </w:pPr>
            <w:r>
              <w:rPr>
                <w:rFonts w:ascii="Arial" w:cs="Arial" w:eastAsia="Arial" w:hAnsi="Arial"/>
                <w:sz w:val="14"/>
                <w:szCs w:val="14"/>
                <w:color w:val="auto"/>
              </w:rPr>
              <w:t>1</w:t>
            </w:r>
          </w:p>
        </w:tc>
      </w:tr>
      <w:tr>
        <w:trPr>
          <w:trHeight w:val="203"/>
        </w:trPr>
        <w:tc>
          <w:tcPr>
            <w:tcW w:w="24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Rowesville, SC</w:t>
            </w:r>
          </w:p>
        </w:tc>
        <w:tc>
          <w:tcPr>
            <w:tcW w:w="1980" w:type="dxa"/>
            <w:vAlign w:val="bottom"/>
            <w:tcBorders>
              <w:bottom w:val="single" w:sz="8" w:color="CCEEFF"/>
            </w:tcBorders>
          </w:tcPr>
          <w:p>
            <w:pPr>
              <w:jc w:val="center"/>
              <w:ind w:left="59"/>
              <w:spacing w:after="0"/>
              <w:rPr>
                <w:sz w:val="20"/>
                <w:szCs w:val="20"/>
                <w:color w:val="auto"/>
              </w:rPr>
            </w:pPr>
            <w:r>
              <w:rPr>
                <w:rFonts w:ascii="Arial" w:cs="Arial" w:eastAsia="Arial" w:hAnsi="Arial"/>
                <w:sz w:val="16"/>
                <w:szCs w:val="16"/>
                <w:color w:val="auto"/>
                <w:w w:val="89"/>
              </w:rPr>
              <w:t>1</w:t>
            </w:r>
          </w:p>
        </w:tc>
        <w:tc>
          <w:tcPr>
            <w:tcW w:w="16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Yeerongpilly, AUS</w:t>
            </w:r>
          </w:p>
        </w:tc>
        <w:tc>
          <w:tcPr>
            <w:tcW w:w="3080" w:type="dxa"/>
            <w:vAlign w:val="bottom"/>
            <w:tcBorders>
              <w:bottom w:val="single" w:sz="8" w:color="auto"/>
            </w:tcBorders>
          </w:tcPr>
          <w:p>
            <w:pPr>
              <w:jc w:val="center"/>
              <w:ind w:left="1128"/>
              <w:spacing w:after="0"/>
              <w:rPr>
                <w:sz w:val="20"/>
                <w:szCs w:val="20"/>
                <w:color w:val="auto"/>
              </w:rPr>
            </w:pPr>
            <w:r>
              <w:rPr>
                <w:rFonts w:ascii="Arial" w:cs="Arial" w:eastAsia="Arial" w:hAnsi="Arial"/>
                <w:sz w:val="14"/>
                <w:szCs w:val="14"/>
                <w:color w:val="auto"/>
              </w:rPr>
              <w:t>1</w:t>
            </w:r>
          </w:p>
        </w:tc>
      </w:tr>
      <w:tr>
        <w:trPr>
          <w:trHeight w:val="196"/>
        </w:trPr>
        <w:tc>
          <w:tcPr>
            <w:tcW w:w="2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Salisbury, NC</w:t>
            </w:r>
          </w:p>
        </w:tc>
        <w:tc>
          <w:tcPr>
            <w:tcW w:w="1980" w:type="dxa"/>
            <w:vAlign w:val="bottom"/>
            <w:shd w:val="clear" w:color="auto" w:fill="CCEEFF"/>
          </w:tcPr>
          <w:p>
            <w:pPr>
              <w:jc w:val="center"/>
              <w:ind w:left="59"/>
              <w:spacing w:after="0"/>
              <w:rPr>
                <w:sz w:val="20"/>
                <w:szCs w:val="20"/>
                <w:color w:val="auto"/>
              </w:rPr>
            </w:pPr>
            <w:r>
              <w:rPr>
                <w:rFonts w:ascii="Arial" w:cs="Arial" w:eastAsia="Arial" w:hAnsi="Arial"/>
                <w:sz w:val="16"/>
                <w:szCs w:val="16"/>
                <w:color w:val="auto"/>
                <w:w w:val="89"/>
              </w:rPr>
              <w:t>2</w:t>
            </w: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TOTAL</w:t>
            </w:r>
          </w:p>
        </w:tc>
        <w:tc>
          <w:tcPr>
            <w:tcW w:w="3080" w:type="dxa"/>
            <w:vAlign w:val="bottom"/>
            <w:shd w:val="clear" w:color="auto" w:fill="CCEEFF"/>
          </w:tcPr>
          <w:p>
            <w:pPr>
              <w:jc w:val="center"/>
              <w:ind w:left="1128"/>
              <w:spacing w:after="0"/>
              <w:rPr>
                <w:sz w:val="20"/>
                <w:szCs w:val="20"/>
                <w:color w:val="auto"/>
              </w:rPr>
            </w:pPr>
            <w:r>
              <w:rPr>
                <w:rFonts w:ascii="Arial" w:cs="Arial" w:eastAsia="Arial" w:hAnsi="Arial"/>
                <w:sz w:val="14"/>
                <w:szCs w:val="14"/>
                <w:b w:val="1"/>
                <w:bCs w:val="1"/>
                <w:color w:val="auto"/>
              </w:rPr>
              <w:t>4</w:t>
            </w:r>
          </w:p>
        </w:tc>
      </w:tr>
      <w:tr>
        <w:trPr>
          <w:trHeight w:val="203"/>
        </w:trPr>
        <w:tc>
          <w:tcPr>
            <w:tcW w:w="2420" w:type="dxa"/>
            <w:vAlign w:val="bottom"/>
          </w:tcPr>
          <w:p>
            <w:pPr>
              <w:ind w:left="20"/>
              <w:spacing w:after="0"/>
              <w:rPr>
                <w:sz w:val="20"/>
                <w:szCs w:val="20"/>
                <w:color w:val="auto"/>
              </w:rPr>
            </w:pPr>
            <w:r>
              <w:rPr>
                <w:rFonts w:ascii="Arial" w:cs="Arial" w:eastAsia="Arial" w:hAnsi="Arial"/>
                <w:sz w:val="14"/>
                <w:szCs w:val="14"/>
                <w:color w:val="auto"/>
              </w:rPr>
              <w:t>Sharon, TN</w:t>
            </w:r>
          </w:p>
        </w:tc>
        <w:tc>
          <w:tcPr>
            <w:tcW w:w="1980" w:type="dxa"/>
            <w:vAlign w:val="bottom"/>
          </w:tcPr>
          <w:p>
            <w:pPr>
              <w:jc w:val="center"/>
              <w:ind w:left="59"/>
              <w:spacing w:after="0"/>
              <w:rPr>
                <w:sz w:val="20"/>
                <w:szCs w:val="20"/>
                <w:color w:val="auto"/>
              </w:rPr>
            </w:pPr>
            <w:r>
              <w:rPr>
                <w:rFonts w:ascii="Arial" w:cs="Arial" w:eastAsia="Arial" w:hAnsi="Arial"/>
                <w:sz w:val="16"/>
                <w:szCs w:val="16"/>
                <w:color w:val="auto"/>
                <w:w w:val="89"/>
              </w:rPr>
              <w:t>2</w:t>
            </w: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080" w:type="dxa"/>
            <w:vAlign w:val="bottom"/>
          </w:tcPr>
          <w:p>
            <w:pPr>
              <w:spacing w:after="0"/>
              <w:rPr>
                <w:sz w:val="17"/>
                <w:szCs w:val="17"/>
                <w:color w:val="auto"/>
              </w:rPr>
            </w:pPr>
          </w:p>
        </w:tc>
      </w:tr>
      <w:tr>
        <w:trPr>
          <w:trHeight w:val="203"/>
        </w:trPr>
        <w:tc>
          <w:tcPr>
            <w:tcW w:w="2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Thornton, CA</w:t>
            </w:r>
          </w:p>
        </w:tc>
        <w:tc>
          <w:tcPr>
            <w:tcW w:w="1980" w:type="dxa"/>
            <w:vAlign w:val="bottom"/>
            <w:tcBorders>
              <w:bottom w:val="single" w:sz="8" w:color="auto"/>
            </w:tcBorders>
            <w:shd w:val="clear" w:color="auto" w:fill="CCEEFF"/>
          </w:tcPr>
          <w:p>
            <w:pPr>
              <w:jc w:val="center"/>
              <w:ind w:left="59"/>
              <w:spacing w:after="0"/>
              <w:rPr>
                <w:sz w:val="20"/>
                <w:szCs w:val="20"/>
                <w:color w:val="auto"/>
              </w:rPr>
            </w:pPr>
            <w:r>
              <w:rPr>
                <w:rFonts w:ascii="Arial" w:cs="Arial" w:eastAsia="Arial" w:hAnsi="Arial"/>
                <w:sz w:val="16"/>
                <w:szCs w:val="16"/>
                <w:color w:val="auto"/>
                <w:w w:val="89"/>
              </w:rPr>
              <w:t>1</w:t>
            </w: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080" w:type="dxa"/>
            <w:vAlign w:val="bottom"/>
            <w:shd w:val="clear" w:color="auto" w:fill="CCEEFF"/>
          </w:tcPr>
          <w:p>
            <w:pPr>
              <w:jc w:val="center"/>
              <w:ind w:right="1268"/>
              <w:spacing w:after="0"/>
              <w:rPr>
                <w:sz w:val="20"/>
                <w:szCs w:val="20"/>
                <w:color w:val="auto"/>
              </w:rPr>
            </w:pPr>
            <w:r>
              <w:rPr>
                <w:rFonts w:ascii="Arial" w:cs="Arial" w:eastAsia="Arial" w:hAnsi="Arial"/>
                <w:sz w:val="14"/>
                <w:szCs w:val="14"/>
                <w:b w:val="1"/>
                <w:bCs w:val="1"/>
                <w:color w:val="auto"/>
              </w:rPr>
              <w:t>CORPORATE SEGMENT</w:t>
            </w:r>
          </w:p>
        </w:tc>
      </w:tr>
      <w:tr>
        <w:trPr>
          <w:trHeight w:val="196"/>
        </w:trPr>
        <w:tc>
          <w:tcPr>
            <w:tcW w:w="24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w:t>
            </w:r>
          </w:p>
        </w:tc>
        <w:tc>
          <w:tcPr>
            <w:tcW w:w="1980" w:type="dxa"/>
            <w:vAlign w:val="bottom"/>
            <w:tcBorders>
              <w:bottom w:val="single" w:sz="8" w:color="CCEEFF"/>
            </w:tcBorders>
          </w:tcPr>
          <w:p>
            <w:pPr>
              <w:jc w:val="center"/>
              <w:ind w:left="59"/>
              <w:spacing w:after="0"/>
              <w:rPr>
                <w:sz w:val="20"/>
                <w:szCs w:val="20"/>
                <w:color w:val="auto"/>
              </w:rPr>
            </w:pPr>
            <w:r>
              <w:rPr>
                <w:rFonts w:ascii="Arial" w:cs="Arial" w:eastAsia="Arial" w:hAnsi="Arial"/>
                <w:sz w:val="14"/>
                <w:szCs w:val="14"/>
                <w:b w:val="1"/>
                <w:bCs w:val="1"/>
                <w:color w:val="auto"/>
              </w:rPr>
              <w:t>52</w:t>
            </w:r>
          </w:p>
        </w:tc>
        <w:tc>
          <w:tcPr>
            <w:tcW w:w="16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Property Location</w:t>
            </w:r>
          </w:p>
        </w:tc>
        <w:tc>
          <w:tcPr>
            <w:tcW w:w="3080" w:type="dxa"/>
            <w:vAlign w:val="bottom"/>
            <w:tcBorders>
              <w:bottom w:val="single" w:sz="8" w:color="auto"/>
            </w:tcBorders>
          </w:tcPr>
          <w:p>
            <w:pPr>
              <w:ind w:left="1460"/>
              <w:spacing w:after="0"/>
              <w:rPr>
                <w:sz w:val="20"/>
                <w:szCs w:val="20"/>
                <w:color w:val="auto"/>
              </w:rPr>
            </w:pPr>
            <w:r>
              <w:rPr>
                <w:rFonts w:ascii="Arial" w:cs="Arial" w:eastAsia="Arial" w:hAnsi="Arial"/>
                <w:sz w:val="14"/>
                <w:szCs w:val="14"/>
                <w:b w:val="1"/>
                <w:bCs w:val="1"/>
                <w:color w:val="auto"/>
              </w:rPr>
              <w:t>Number of Properties</w:t>
            </w:r>
          </w:p>
        </w:tc>
      </w:tr>
      <w:tr>
        <w:trPr>
          <w:trHeight w:val="142"/>
        </w:trPr>
        <w:tc>
          <w:tcPr>
            <w:tcW w:w="242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Norton Shores, MI</w:t>
            </w:r>
          </w:p>
        </w:tc>
        <w:tc>
          <w:tcPr>
            <w:tcW w:w="3080" w:type="dxa"/>
            <w:vAlign w:val="bottom"/>
            <w:shd w:val="clear" w:color="auto" w:fill="CCEEFF"/>
          </w:tcPr>
          <w:p>
            <w:pPr>
              <w:jc w:val="center"/>
              <w:ind w:left="1128"/>
              <w:spacing w:after="0" w:line="142" w:lineRule="exact"/>
              <w:rPr>
                <w:sz w:val="20"/>
                <w:szCs w:val="20"/>
                <w:color w:val="auto"/>
              </w:rPr>
            </w:pPr>
            <w:r>
              <w:rPr>
                <w:rFonts w:ascii="Arial" w:cs="Arial" w:eastAsia="Arial" w:hAnsi="Arial"/>
                <w:sz w:val="14"/>
                <w:szCs w:val="14"/>
                <w:color w:val="auto"/>
              </w:rPr>
              <w:t>1</w:t>
            </w:r>
          </w:p>
        </w:tc>
      </w:tr>
      <w:tr>
        <w:trPr>
          <w:trHeight w:val="148"/>
        </w:trPr>
        <w:tc>
          <w:tcPr>
            <w:tcW w:w="2420" w:type="dxa"/>
            <w:vAlign w:val="bottom"/>
            <w:tcBorders>
              <w:bottom w:val="single" w:sz="8" w:color="CCEEFF"/>
            </w:tcBorders>
          </w:tcPr>
          <w:p>
            <w:pPr>
              <w:spacing w:after="0"/>
              <w:rPr>
                <w:sz w:val="12"/>
                <w:szCs w:val="12"/>
                <w:color w:val="auto"/>
              </w:rPr>
            </w:pPr>
          </w:p>
        </w:tc>
        <w:tc>
          <w:tcPr>
            <w:tcW w:w="198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34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Grand Rapids, MI</w:t>
            </w:r>
          </w:p>
        </w:tc>
        <w:tc>
          <w:tcPr>
            <w:tcW w:w="3080" w:type="dxa"/>
            <w:vAlign w:val="bottom"/>
            <w:tcBorders>
              <w:bottom w:val="single" w:sz="8" w:color="auto"/>
            </w:tcBorders>
          </w:tcPr>
          <w:p>
            <w:pPr>
              <w:jc w:val="center"/>
              <w:ind w:left="1128"/>
              <w:spacing w:after="0" w:line="149" w:lineRule="exact"/>
              <w:rPr>
                <w:sz w:val="20"/>
                <w:szCs w:val="20"/>
                <w:color w:val="auto"/>
              </w:rPr>
            </w:pPr>
            <w:r>
              <w:rPr>
                <w:rFonts w:ascii="Arial" w:cs="Arial" w:eastAsia="Arial" w:hAnsi="Arial"/>
                <w:sz w:val="14"/>
                <w:szCs w:val="14"/>
                <w:color w:val="auto"/>
              </w:rPr>
              <w:t>3</w:t>
            </w:r>
          </w:p>
        </w:tc>
      </w:tr>
      <w:tr>
        <w:trPr>
          <w:trHeight w:val="196"/>
        </w:trPr>
        <w:tc>
          <w:tcPr>
            <w:tcW w:w="242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TOTAL</w:t>
            </w:r>
          </w:p>
        </w:tc>
        <w:tc>
          <w:tcPr>
            <w:tcW w:w="3080" w:type="dxa"/>
            <w:vAlign w:val="bottom"/>
            <w:shd w:val="clear" w:color="auto" w:fill="CCEEFF"/>
          </w:tcPr>
          <w:p>
            <w:pPr>
              <w:jc w:val="center"/>
              <w:ind w:left="1128"/>
              <w:spacing w:after="0"/>
              <w:rPr>
                <w:sz w:val="20"/>
                <w:szCs w:val="20"/>
                <w:color w:val="auto"/>
              </w:rPr>
            </w:pPr>
            <w:r>
              <w:rPr>
                <w:rFonts w:ascii="Arial" w:cs="Arial" w:eastAsia="Arial" w:hAnsi="Arial"/>
                <w:sz w:val="14"/>
                <w:szCs w:val="14"/>
                <w:b w:val="1"/>
                <w:bCs w:val="1"/>
                <w:color w:val="auto"/>
              </w:rPr>
              <w:t>4</w:t>
            </w:r>
          </w:p>
        </w:tc>
      </w:tr>
    </w:tbl>
    <w:p>
      <w:pPr>
        <w:spacing w:after="0" w:line="202" w:lineRule="exact"/>
        <w:rPr>
          <w:sz w:val="20"/>
          <w:szCs w:val="20"/>
          <w:color w:val="auto"/>
        </w:rPr>
      </w:pPr>
    </w:p>
    <w:p>
      <w:pPr>
        <w:jc w:val="both"/>
        <w:ind w:left="60" w:right="60"/>
        <w:spacing w:after="0" w:line="263" w:lineRule="auto"/>
        <w:rPr>
          <w:sz w:val="20"/>
          <w:szCs w:val="20"/>
          <w:color w:val="auto"/>
        </w:rPr>
      </w:pPr>
      <w:r>
        <w:rPr>
          <w:rFonts w:ascii="Arial" w:cs="Arial" w:eastAsia="Arial" w:hAnsi="Arial"/>
          <w:sz w:val="18"/>
          <w:szCs w:val="18"/>
          <w:color w:val="auto"/>
        </w:rPr>
        <w:t>We own all of our properties, free from any significant mortgage or other encumbrance, except for approximately 80 facilities which are leased. We believe all of these operating facilities are adequate in capacity and condition to service our existing markets.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3. Legal Proceedings.</w:t>
      </w:r>
    </w:p>
    <w:p>
      <w:pPr>
        <w:spacing w:after="0" w:line="229" w:lineRule="exact"/>
        <w:rPr>
          <w:sz w:val="20"/>
          <w:szCs w:val="20"/>
          <w:color w:val="auto"/>
        </w:rPr>
      </w:pPr>
    </w:p>
    <w:p>
      <w:pPr>
        <w:jc w:val="both"/>
        <w:ind w:left="60" w:right="60"/>
        <w:spacing w:after="0" w:line="277" w:lineRule="auto"/>
        <w:rPr>
          <w:sz w:val="20"/>
          <w:szCs w:val="20"/>
          <w:color w:val="auto"/>
        </w:rPr>
      </w:pPr>
      <w:r>
        <w:rPr>
          <w:rFonts w:ascii="Arial" w:cs="Arial" w:eastAsia="Arial" w:hAnsi="Arial"/>
          <w:sz w:val="18"/>
          <w:szCs w:val="18"/>
          <w:color w:val="auto"/>
        </w:rPr>
        <w:t>Information regarding our legal proceedings is set forth in Note L of our Consolidated Financial Statements which are presented under Item 8 of this Form 10-K and are incorporated herein by reference.</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4. Mine Safety Disclosures.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Additional Item: Executive Officers of the Registrant.</w:t>
      </w:r>
    </w:p>
    <w:p>
      <w:pPr>
        <w:spacing w:after="0" w:line="229" w:lineRule="exact"/>
        <w:rPr>
          <w:sz w:val="20"/>
          <w:szCs w:val="20"/>
          <w:color w:val="auto"/>
        </w:rPr>
      </w:pPr>
    </w:p>
    <w:p>
      <w:pPr>
        <w:jc w:val="both"/>
        <w:ind w:left="60" w:right="60"/>
        <w:spacing w:after="0" w:line="263" w:lineRule="auto"/>
        <w:rPr>
          <w:sz w:val="20"/>
          <w:szCs w:val="20"/>
          <w:color w:val="auto"/>
        </w:rPr>
      </w:pPr>
      <w:r>
        <w:rPr>
          <w:rFonts w:ascii="Arial" w:cs="Arial" w:eastAsia="Arial" w:hAnsi="Arial"/>
          <w:sz w:val="18"/>
          <w:szCs w:val="18"/>
          <w:color w:val="auto"/>
        </w:rPr>
        <w:t>The following table lists the names, ages, and positions of our executive officers as of February 1, 2021. Executive officers are elected annually by the Board of Directors at the first meeting of the Board following the annual meeting of shareholders.</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241"/>
        </w:trPr>
        <w:tc>
          <w:tcPr>
            <w:tcW w:w="2500" w:type="dxa"/>
            <w:vAlign w:val="bottom"/>
            <w:gridSpan w:val="2"/>
          </w:tcPr>
          <w:p>
            <w:pPr>
              <w:ind w:left="940"/>
              <w:spacing w:after="0"/>
              <w:rPr>
                <w:sz w:val="20"/>
                <w:szCs w:val="20"/>
                <w:color w:val="auto"/>
              </w:rPr>
            </w:pPr>
            <w:r>
              <w:rPr>
                <w:rFonts w:ascii="Arial" w:cs="Arial" w:eastAsia="Arial" w:hAnsi="Arial"/>
                <w:sz w:val="18"/>
                <w:szCs w:val="18"/>
                <w:b w:val="1"/>
                <w:bCs w:val="1"/>
                <w:color w:val="auto"/>
              </w:rPr>
              <w:t>Name</w:t>
            </w:r>
          </w:p>
        </w:tc>
        <w:tc>
          <w:tcPr>
            <w:tcW w:w="8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Age</w:t>
            </w:r>
          </w:p>
        </w:tc>
        <w:tc>
          <w:tcPr>
            <w:tcW w:w="5600" w:type="dxa"/>
            <w:vAlign w:val="bottom"/>
            <w:gridSpan w:val="2"/>
          </w:tcPr>
          <w:p>
            <w:pPr>
              <w:ind w:left="2480"/>
              <w:spacing w:after="0"/>
              <w:rPr>
                <w:sz w:val="20"/>
                <w:szCs w:val="20"/>
                <w:color w:val="auto"/>
              </w:rPr>
            </w:pPr>
            <w:r>
              <w:rPr>
                <w:rFonts w:ascii="Arial" w:cs="Arial" w:eastAsia="Arial" w:hAnsi="Arial"/>
                <w:sz w:val="18"/>
                <w:szCs w:val="18"/>
                <w:b w:val="1"/>
                <w:bCs w:val="1"/>
                <w:color w:val="auto"/>
              </w:rPr>
              <w:t>Position</w:t>
            </w:r>
          </w:p>
        </w:tc>
      </w:tr>
      <w:tr>
        <w:trPr>
          <w:trHeight w:val="216"/>
        </w:trPr>
        <w:tc>
          <w:tcPr>
            <w:tcW w:w="23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Matthew J. Missad</w:t>
            </w:r>
          </w:p>
        </w:tc>
        <w:tc>
          <w:tcPr>
            <w:tcW w:w="1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60</w:t>
            </w:r>
          </w:p>
        </w:tc>
        <w:tc>
          <w:tcPr>
            <w:tcW w:w="180" w:type="dxa"/>
            <w:vAlign w:val="bottom"/>
            <w:tcBorders>
              <w:top w:val="single" w:sz="8" w:color="CCEEFF"/>
            </w:tcBorders>
            <w:shd w:val="clear" w:color="auto" w:fill="CCEEFF"/>
          </w:tcPr>
          <w:p>
            <w:pPr>
              <w:spacing w:after="0"/>
              <w:rPr>
                <w:sz w:val="18"/>
                <w:szCs w:val="18"/>
                <w:color w:val="auto"/>
              </w:rPr>
            </w:pPr>
          </w:p>
        </w:tc>
        <w:tc>
          <w:tcPr>
            <w:tcW w:w="5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Chief Executive Officer</w:t>
            </w:r>
          </w:p>
        </w:tc>
        <w:tc>
          <w:tcPr>
            <w:tcW w:w="20" w:type="dxa"/>
            <w:vAlign w:val="bottom"/>
          </w:tcPr>
          <w:p>
            <w:pPr>
              <w:spacing w:after="0"/>
              <w:rPr>
                <w:sz w:val="18"/>
                <w:szCs w:val="18"/>
                <w:color w:val="auto"/>
              </w:rPr>
            </w:pPr>
          </w:p>
        </w:tc>
      </w:tr>
      <w:tr>
        <w:trPr>
          <w:trHeight w:val="216"/>
        </w:trPr>
        <w:tc>
          <w:tcPr>
            <w:tcW w:w="2500" w:type="dxa"/>
            <w:vAlign w:val="bottom"/>
            <w:gridSpan w:val="2"/>
          </w:tcPr>
          <w:p>
            <w:pPr>
              <w:ind w:left="20"/>
              <w:spacing w:after="0"/>
              <w:rPr>
                <w:sz w:val="20"/>
                <w:szCs w:val="20"/>
                <w:color w:val="auto"/>
              </w:rPr>
            </w:pPr>
            <w:r>
              <w:rPr>
                <w:rFonts w:ascii="Arial" w:cs="Arial" w:eastAsia="Arial" w:hAnsi="Arial"/>
                <w:sz w:val="18"/>
                <w:szCs w:val="18"/>
                <w:color w:val="auto"/>
              </w:rPr>
              <w:t>Patrick M. Webster</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61</w:t>
            </w:r>
          </w:p>
        </w:tc>
        <w:tc>
          <w:tcPr>
            <w:tcW w:w="180" w:type="dxa"/>
            <w:vAlign w:val="bottom"/>
          </w:tcPr>
          <w:p>
            <w:pPr>
              <w:spacing w:after="0"/>
              <w:rPr>
                <w:sz w:val="18"/>
                <w:szCs w:val="18"/>
                <w:color w:val="auto"/>
              </w:rPr>
            </w:pPr>
          </w:p>
        </w:tc>
        <w:tc>
          <w:tcPr>
            <w:tcW w:w="5580" w:type="dxa"/>
            <w:vAlign w:val="bottom"/>
          </w:tcPr>
          <w:p>
            <w:pPr>
              <w:ind w:left="20"/>
              <w:spacing w:after="0"/>
              <w:rPr>
                <w:sz w:val="20"/>
                <w:szCs w:val="20"/>
                <w:color w:val="auto"/>
              </w:rPr>
            </w:pPr>
            <w:r>
              <w:rPr>
                <w:rFonts w:ascii="Arial" w:cs="Arial" w:eastAsia="Arial" w:hAnsi="Arial"/>
                <w:sz w:val="18"/>
                <w:szCs w:val="18"/>
                <w:color w:val="auto"/>
              </w:rPr>
              <w:t>President and Chief Operating Officer</w:t>
            </w:r>
          </w:p>
        </w:tc>
        <w:tc>
          <w:tcPr>
            <w:tcW w:w="20" w:type="dxa"/>
            <w:vAlign w:val="bottom"/>
          </w:tcPr>
          <w:p>
            <w:pPr>
              <w:spacing w:after="0"/>
              <w:rPr>
                <w:sz w:val="18"/>
                <w:szCs w:val="18"/>
                <w:color w:val="auto"/>
              </w:rPr>
            </w:pPr>
          </w:p>
        </w:tc>
      </w:tr>
      <w:tr>
        <w:trPr>
          <w:trHeight w:val="216"/>
        </w:trPr>
        <w:tc>
          <w:tcPr>
            <w:tcW w:w="2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Michael R. Cole</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54</w:t>
            </w:r>
          </w:p>
        </w:tc>
        <w:tc>
          <w:tcPr>
            <w:tcW w:w="180" w:type="dxa"/>
            <w:vAlign w:val="bottom"/>
            <w:shd w:val="clear" w:color="auto" w:fill="CCEEFF"/>
          </w:tcPr>
          <w:p>
            <w:pPr>
              <w:spacing w:after="0"/>
              <w:rPr>
                <w:sz w:val="18"/>
                <w:szCs w:val="18"/>
                <w:color w:val="auto"/>
              </w:rPr>
            </w:pPr>
          </w:p>
        </w:tc>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Chief Financial Officer and Treasurer</w:t>
            </w:r>
          </w:p>
        </w:tc>
        <w:tc>
          <w:tcPr>
            <w:tcW w:w="20" w:type="dxa"/>
            <w:vAlign w:val="bottom"/>
          </w:tcPr>
          <w:p>
            <w:pPr>
              <w:spacing w:after="0"/>
              <w:rPr>
                <w:sz w:val="18"/>
                <w:szCs w:val="18"/>
                <w:color w:val="auto"/>
              </w:rPr>
            </w:pPr>
          </w:p>
        </w:tc>
      </w:tr>
      <w:tr>
        <w:trPr>
          <w:trHeight w:val="216"/>
        </w:trPr>
        <w:tc>
          <w:tcPr>
            <w:tcW w:w="2500" w:type="dxa"/>
            <w:vAlign w:val="bottom"/>
            <w:gridSpan w:val="2"/>
          </w:tcPr>
          <w:p>
            <w:pPr>
              <w:ind w:left="20"/>
              <w:spacing w:after="0"/>
              <w:rPr>
                <w:sz w:val="20"/>
                <w:szCs w:val="20"/>
                <w:color w:val="auto"/>
              </w:rPr>
            </w:pPr>
            <w:r>
              <w:rPr>
                <w:rFonts w:ascii="Arial" w:cs="Arial" w:eastAsia="Arial" w:hAnsi="Arial"/>
                <w:sz w:val="18"/>
                <w:szCs w:val="18"/>
                <w:color w:val="auto"/>
              </w:rPr>
              <w:t>Allen T. Peters</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180" w:type="dxa"/>
            <w:vAlign w:val="bottom"/>
          </w:tcPr>
          <w:p>
            <w:pPr>
              <w:spacing w:after="0"/>
              <w:rPr>
                <w:sz w:val="18"/>
                <w:szCs w:val="18"/>
                <w:color w:val="auto"/>
              </w:rPr>
            </w:pPr>
          </w:p>
        </w:tc>
        <w:tc>
          <w:tcPr>
            <w:tcW w:w="5580" w:type="dxa"/>
            <w:vAlign w:val="bottom"/>
          </w:tcPr>
          <w:p>
            <w:pPr>
              <w:ind w:left="20"/>
              <w:spacing w:after="0"/>
              <w:rPr>
                <w:sz w:val="20"/>
                <w:szCs w:val="20"/>
                <w:color w:val="auto"/>
              </w:rPr>
            </w:pPr>
            <w:r>
              <w:rPr>
                <w:rFonts w:ascii="Arial" w:cs="Arial" w:eastAsia="Arial" w:hAnsi="Arial"/>
                <w:sz w:val="18"/>
                <w:szCs w:val="18"/>
                <w:color w:val="auto"/>
              </w:rPr>
              <w:t>President and Chief Operating Officer of UFP Retail Solutions, LLC</w:t>
            </w:r>
          </w:p>
        </w:tc>
        <w:tc>
          <w:tcPr>
            <w:tcW w:w="20" w:type="dxa"/>
            <w:vAlign w:val="bottom"/>
          </w:tcPr>
          <w:p>
            <w:pPr>
              <w:spacing w:after="0"/>
              <w:rPr>
                <w:sz w:val="18"/>
                <w:szCs w:val="18"/>
                <w:color w:val="auto"/>
              </w:rPr>
            </w:pPr>
          </w:p>
        </w:tc>
      </w:tr>
      <w:tr>
        <w:trPr>
          <w:trHeight w:val="216"/>
        </w:trPr>
        <w:tc>
          <w:tcPr>
            <w:tcW w:w="2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Patrick M. Benton</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51</w:t>
            </w:r>
          </w:p>
        </w:tc>
        <w:tc>
          <w:tcPr>
            <w:tcW w:w="180" w:type="dxa"/>
            <w:vAlign w:val="bottom"/>
            <w:shd w:val="clear" w:color="auto" w:fill="CCEEFF"/>
          </w:tcPr>
          <w:p>
            <w:pPr>
              <w:spacing w:after="0"/>
              <w:rPr>
                <w:sz w:val="18"/>
                <w:szCs w:val="18"/>
                <w:color w:val="auto"/>
              </w:rPr>
            </w:pPr>
          </w:p>
        </w:tc>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President of UFP Construction, LLC</w:t>
            </w:r>
          </w:p>
        </w:tc>
        <w:tc>
          <w:tcPr>
            <w:tcW w:w="20" w:type="dxa"/>
            <w:vAlign w:val="bottom"/>
          </w:tcPr>
          <w:p>
            <w:pPr>
              <w:spacing w:after="0"/>
              <w:rPr>
                <w:sz w:val="18"/>
                <w:szCs w:val="18"/>
                <w:color w:val="auto"/>
              </w:rPr>
            </w:pPr>
          </w:p>
        </w:tc>
      </w:tr>
      <w:tr>
        <w:trPr>
          <w:trHeight w:val="216"/>
        </w:trPr>
        <w:tc>
          <w:tcPr>
            <w:tcW w:w="2500" w:type="dxa"/>
            <w:vAlign w:val="bottom"/>
            <w:gridSpan w:val="2"/>
          </w:tcPr>
          <w:p>
            <w:pPr>
              <w:ind w:left="20"/>
              <w:spacing w:after="0"/>
              <w:rPr>
                <w:sz w:val="20"/>
                <w:szCs w:val="20"/>
                <w:color w:val="auto"/>
              </w:rPr>
            </w:pPr>
            <w:r>
              <w:rPr>
                <w:rFonts w:ascii="Arial" w:cs="Arial" w:eastAsia="Arial" w:hAnsi="Arial"/>
                <w:sz w:val="18"/>
                <w:szCs w:val="18"/>
                <w:color w:val="auto"/>
              </w:rPr>
              <w:t>Scott A. Worthington</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180" w:type="dxa"/>
            <w:vAlign w:val="bottom"/>
          </w:tcPr>
          <w:p>
            <w:pPr>
              <w:spacing w:after="0"/>
              <w:rPr>
                <w:sz w:val="18"/>
                <w:szCs w:val="18"/>
                <w:color w:val="auto"/>
              </w:rPr>
            </w:pPr>
          </w:p>
        </w:tc>
        <w:tc>
          <w:tcPr>
            <w:tcW w:w="5580" w:type="dxa"/>
            <w:vAlign w:val="bottom"/>
          </w:tcPr>
          <w:p>
            <w:pPr>
              <w:ind w:left="20"/>
              <w:spacing w:after="0"/>
              <w:rPr>
                <w:sz w:val="20"/>
                <w:szCs w:val="20"/>
                <w:color w:val="auto"/>
              </w:rPr>
            </w:pPr>
            <w:r>
              <w:rPr>
                <w:rFonts w:ascii="Arial" w:cs="Arial" w:eastAsia="Arial" w:hAnsi="Arial"/>
                <w:sz w:val="18"/>
                <w:szCs w:val="18"/>
                <w:color w:val="auto"/>
              </w:rPr>
              <w:t>President of UFP Industrial, LLC</w:t>
            </w:r>
          </w:p>
        </w:tc>
        <w:tc>
          <w:tcPr>
            <w:tcW w:w="20" w:type="dxa"/>
            <w:vAlign w:val="bottom"/>
          </w:tcPr>
          <w:p>
            <w:pPr>
              <w:spacing w:after="0"/>
              <w:rPr>
                <w:sz w:val="18"/>
                <w:szCs w:val="18"/>
                <w:color w:val="auto"/>
              </w:rPr>
            </w:pPr>
          </w:p>
        </w:tc>
      </w:tr>
      <w:tr>
        <w:trPr>
          <w:trHeight w:val="216"/>
        </w:trPr>
        <w:tc>
          <w:tcPr>
            <w:tcW w:w="2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Scott T. Bravata</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56</w:t>
            </w:r>
          </w:p>
        </w:tc>
        <w:tc>
          <w:tcPr>
            <w:tcW w:w="180" w:type="dxa"/>
            <w:vAlign w:val="bottom"/>
            <w:shd w:val="clear" w:color="auto" w:fill="CCEEFF"/>
          </w:tcPr>
          <w:p>
            <w:pPr>
              <w:spacing w:after="0"/>
              <w:rPr>
                <w:sz w:val="18"/>
                <w:szCs w:val="18"/>
                <w:color w:val="auto"/>
              </w:rPr>
            </w:pPr>
          </w:p>
        </w:tc>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Vice President of Accounting and Administration</w:t>
            </w:r>
          </w:p>
        </w:tc>
        <w:tc>
          <w:tcPr>
            <w:tcW w:w="20" w:type="dxa"/>
            <w:vAlign w:val="bottom"/>
          </w:tcPr>
          <w:p>
            <w:pPr>
              <w:spacing w:after="0"/>
              <w:rPr>
                <w:sz w:val="18"/>
                <w:szCs w:val="18"/>
                <w:color w:val="auto"/>
              </w:rPr>
            </w:pPr>
          </w:p>
        </w:tc>
      </w:tr>
      <w:tr>
        <w:trPr>
          <w:trHeight w:val="230"/>
        </w:trPr>
        <w:tc>
          <w:tcPr>
            <w:tcW w:w="2500" w:type="dxa"/>
            <w:vAlign w:val="bottom"/>
            <w:gridSpan w:val="2"/>
          </w:tcPr>
          <w:p>
            <w:pPr>
              <w:ind w:left="20"/>
              <w:spacing w:after="0"/>
              <w:rPr>
                <w:sz w:val="20"/>
                <w:szCs w:val="20"/>
                <w:color w:val="auto"/>
              </w:rPr>
            </w:pPr>
            <w:r>
              <w:rPr>
                <w:rFonts w:ascii="Arial" w:cs="Arial" w:eastAsia="Arial" w:hAnsi="Arial"/>
                <w:sz w:val="18"/>
                <w:szCs w:val="18"/>
                <w:color w:val="auto"/>
              </w:rPr>
              <w:t>David A. Tutas</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180" w:type="dxa"/>
            <w:vAlign w:val="bottom"/>
          </w:tcPr>
          <w:p>
            <w:pPr>
              <w:spacing w:after="0"/>
              <w:rPr>
                <w:sz w:val="20"/>
                <w:szCs w:val="20"/>
                <w:color w:val="auto"/>
              </w:rPr>
            </w:pPr>
          </w:p>
        </w:tc>
        <w:tc>
          <w:tcPr>
            <w:tcW w:w="5580" w:type="dxa"/>
            <w:vAlign w:val="bottom"/>
          </w:tcPr>
          <w:p>
            <w:pPr>
              <w:ind w:left="20"/>
              <w:spacing w:after="0"/>
              <w:rPr>
                <w:sz w:val="20"/>
                <w:szCs w:val="20"/>
                <w:color w:val="auto"/>
              </w:rPr>
            </w:pPr>
            <w:r>
              <w:rPr>
                <w:rFonts w:ascii="Arial" w:cs="Arial" w:eastAsia="Arial" w:hAnsi="Arial"/>
                <w:sz w:val="18"/>
                <w:szCs w:val="18"/>
                <w:color w:val="auto"/>
              </w:rPr>
              <w:t>General Counsel, Chief Compliance Officer and Secretary</w:t>
            </w:r>
          </w:p>
        </w:tc>
        <w:tc>
          <w:tcPr>
            <w:tcW w:w="20" w:type="dxa"/>
            <w:vAlign w:val="bottom"/>
          </w:tcPr>
          <w:p>
            <w:pPr>
              <w:spacing w:after="0"/>
              <w:rPr>
                <w:sz w:val="20"/>
                <w:szCs w:val="20"/>
                <w:color w:val="auto"/>
              </w:rPr>
            </w:pPr>
          </w:p>
        </w:tc>
      </w:tr>
      <w:tr>
        <w:trPr>
          <w:trHeight w:val="850"/>
        </w:trPr>
        <w:tc>
          <w:tcPr>
            <w:tcW w:w="2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580" w:type="dxa"/>
            <w:vAlign w:val="bottom"/>
          </w:tcPr>
          <w:p>
            <w:pPr>
              <w:ind w:left="1100"/>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24"/>
                <w:szCs w:val="24"/>
                <w:color w:val="auto"/>
              </w:rPr>
            </w:pPr>
          </w:p>
        </w:tc>
      </w:tr>
      <w:tr>
        <w:trPr>
          <w:trHeight w:val="561"/>
        </w:trPr>
        <w:tc>
          <w:tcPr>
            <w:tcW w:w="2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20"/>
          </w:cols>
          <w:pgMar w:left="1440" w:top="140" w:right="1439" w:bottom="1440" w:gutter="0" w:footer="0" w:header="0"/>
        </w:sectPr>
      </w:pPr>
    </w:p>
    <w:bookmarkStart w:id="10" w:name="page11"/>
    <w:bookmarkEnd w:id="10"/>
    <w:p>
      <w:pPr>
        <w:jc w:val="both"/>
        <w:ind w:left="60" w:right="59"/>
        <w:spacing w:after="0" w:line="277" w:lineRule="auto"/>
        <w:rPr>
          <w:sz w:val="20"/>
          <w:szCs w:val="20"/>
          <w:color w:val="auto"/>
        </w:rPr>
      </w:pPr>
      <w:r>
        <w:rPr>
          <w:rFonts w:ascii="Arial" w:cs="Arial" w:eastAsia="Arial" w:hAnsi="Arial"/>
          <w:sz w:val="18"/>
          <w:szCs w:val="18"/>
          <w:i w:val="1"/>
          <w:iCs w:val="1"/>
          <w:color w:val="auto"/>
        </w:rPr>
        <w:t xml:space="preserve">Matthew J. Missad </w:t>
      </w:r>
      <w:r>
        <w:rPr>
          <w:rFonts w:ascii="Arial" w:cs="Arial" w:eastAsia="Arial" w:hAnsi="Arial"/>
          <w:sz w:val="18"/>
          <w:szCs w:val="18"/>
          <w:color w:val="auto"/>
        </w:rPr>
        <w:t>joined us in 1985. In February 1996, Mr. Missad was promoted to Executive Vice President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On July 13, 2011, Mr. Missad became Chief Executive Officer of the Company.</w:t>
      </w:r>
    </w:p>
    <w:p>
      <w:pPr>
        <w:spacing w:after="0" w:line="170"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i w:val="1"/>
          <w:iCs w:val="1"/>
          <w:color w:val="auto"/>
        </w:rPr>
        <w:t xml:space="preserve">Patrick M. Webster </w:t>
      </w:r>
      <w:r>
        <w:rPr>
          <w:rFonts w:ascii="Arial" w:cs="Arial" w:eastAsia="Arial" w:hAnsi="Arial"/>
          <w:sz w:val="18"/>
          <w:szCs w:val="18"/>
          <w:color w:val="auto"/>
        </w:rPr>
        <w:t>joined us in 1985. Mr. Webster became Vice President of the Far West Region in 1999, on July 1, 2007,</w:t>
      </w:r>
      <w:r>
        <w:rPr>
          <w:rFonts w:ascii="Arial" w:cs="Arial" w:eastAsia="Arial" w:hAnsi="Arial"/>
          <w:sz w:val="18"/>
          <w:szCs w:val="18"/>
          <w:i w:val="1"/>
          <w:iCs w:val="1"/>
          <w:color w:val="auto"/>
        </w:rPr>
        <w:t xml:space="preserve"> </w:t>
      </w:r>
      <w:r>
        <w:rPr>
          <w:rFonts w:ascii="Arial" w:cs="Arial" w:eastAsia="Arial" w:hAnsi="Arial"/>
          <w:sz w:val="18"/>
          <w:szCs w:val="18"/>
          <w:color w:val="auto"/>
        </w:rPr>
        <w:t>he became President of UFP Western Division, Inc., and on January 1, 2009 became President and Chief Operating Officer of the Company.</w:t>
      </w:r>
    </w:p>
    <w:p>
      <w:pPr>
        <w:spacing w:after="0" w:line="184" w:lineRule="exact"/>
        <w:rPr>
          <w:sz w:val="20"/>
          <w:szCs w:val="20"/>
          <w:color w:val="auto"/>
        </w:rPr>
      </w:pPr>
    </w:p>
    <w:p>
      <w:pPr>
        <w:jc w:val="both"/>
        <w:ind w:left="60" w:right="79"/>
        <w:spacing w:after="0" w:line="342" w:lineRule="auto"/>
        <w:rPr>
          <w:sz w:val="20"/>
          <w:szCs w:val="20"/>
          <w:color w:val="auto"/>
        </w:rPr>
      </w:pPr>
      <w:r>
        <w:rPr>
          <w:rFonts w:ascii="Arial" w:cs="Arial" w:eastAsia="Arial" w:hAnsi="Arial"/>
          <w:sz w:val="16"/>
          <w:szCs w:val="16"/>
          <w:i w:val="1"/>
          <w:iCs w:val="1"/>
          <w:color w:val="auto"/>
        </w:rPr>
        <w:t xml:space="preserve">Michael R. Cole </w:t>
      </w:r>
      <w:r>
        <w:rPr>
          <w:rFonts w:ascii="Arial" w:cs="Arial" w:eastAsia="Arial" w:hAnsi="Arial"/>
          <w:sz w:val="16"/>
          <w:szCs w:val="16"/>
          <w:color w:val="auto"/>
        </w:rPr>
        <w:t>joined us in 1993 from the international public accounting firm Deloitte &amp; Touche. In December 1999, he</w:t>
      </w:r>
      <w:r>
        <w:rPr>
          <w:rFonts w:ascii="Arial" w:cs="Arial" w:eastAsia="Arial" w:hAnsi="Arial"/>
          <w:sz w:val="16"/>
          <w:szCs w:val="16"/>
          <w:i w:val="1"/>
          <w:iCs w:val="1"/>
          <w:color w:val="auto"/>
        </w:rPr>
        <w:t xml:space="preserve"> </w:t>
      </w:r>
      <w:r>
        <w:rPr>
          <w:rFonts w:ascii="Arial" w:cs="Arial" w:eastAsia="Arial" w:hAnsi="Arial"/>
          <w:sz w:val="16"/>
          <w:szCs w:val="16"/>
          <w:color w:val="auto"/>
        </w:rPr>
        <w:t>was promoted to Vice President of Finance. On July 19, 2000, Mr. Cole became Chief Financial Officer of the Company.</w:t>
      </w:r>
    </w:p>
    <w:p>
      <w:pPr>
        <w:spacing w:after="0" w:line="124"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i w:val="1"/>
          <w:iCs w:val="1"/>
          <w:color w:val="auto"/>
        </w:rPr>
        <w:t xml:space="preserve">Allen T. Peters </w:t>
      </w:r>
      <w:r>
        <w:rPr>
          <w:rFonts w:ascii="Arial" w:cs="Arial" w:eastAsia="Arial" w:hAnsi="Arial"/>
          <w:sz w:val="16"/>
          <w:szCs w:val="16"/>
          <w:color w:val="auto"/>
        </w:rPr>
        <w:t>joined us in 1997. In 2004 he became the General Manager of Operations of our plant in Harrisonville, MO</w:t>
      </w:r>
      <w:r>
        <w:rPr>
          <w:rFonts w:ascii="Arial" w:cs="Arial" w:eastAsia="Arial" w:hAnsi="Arial"/>
          <w:sz w:val="16"/>
          <w:szCs w:val="16"/>
          <w:i w:val="1"/>
          <w:iCs w:val="1"/>
          <w:color w:val="auto"/>
        </w:rPr>
        <w:t xml:space="preserve"> </w:t>
      </w:r>
      <w:r>
        <w:rPr>
          <w:rFonts w:ascii="Arial" w:cs="Arial" w:eastAsia="Arial" w:hAnsi="Arial"/>
          <w:sz w:val="16"/>
          <w:szCs w:val="16"/>
          <w:color w:val="auto"/>
        </w:rPr>
        <w:t>and in 2007 became Regional Vice President of our Gulf Region. On January 1, 2011, Mr. Peters became President of UFP Western Division, Inc, and on January 1, 2020, he became President and COO of UFP Retail Solutions, LLC.</w:t>
      </w:r>
    </w:p>
    <w:p>
      <w:pPr>
        <w:spacing w:after="0" w:line="149"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i w:val="1"/>
          <w:iCs w:val="1"/>
          <w:color w:val="auto"/>
        </w:rPr>
        <w:t xml:space="preserve">Patrick M. Benton </w:t>
      </w:r>
      <w:r>
        <w:rPr>
          <w:rFonts w:ascii="Arial" w:cs="Arial" w:eastAsia="Arial" w:hAnsi="Arial"/>
          <w:sz w:val="16"/>
          <w:szCs w:val="16"/>
          <w:color w:val="auto"/>
        </w:rPr>
        <w:t>joined us in 1993. In 2008 he became Operations Vice President of the South Texas Region, and on</w:t>
      </w:r>
      <w:r>
        <w:rPr>
          <w:rFonts w:ascii="Arial" w:cs="Arial" w:eastAsia="Arial" w:hAnsi="Arial"/>
          <w:sz w:val="16"/>
          <w:szCs w:val="16"/>
          <w:i w:val="1"/>
          <w:iCs w:val="1"/>
          <w:color w:val="auto"/>
        </w:rPr>
        <w:t xml:space="preserve"> </w:t>
      </w:r>
      <w:r>
        <w:rPr>
          <w:rFonts w:ascii="Arial" w:cs="Arial" w:eastAsia="Arial" w:hAnsi="Arial"/>
          <w:sz w:val="16"/>
          <w:szCs w:val="16"/>
          <w:color w:val="auto"/>
        </w:rPr>
        <w:t>July 1, 2014, he became Executive Vice President of UFP Eastern Division – North. On February 1, 2017, Mr. Benton became President of the UFP Northern Division, and on January 1, 2020, he became President of UFP Construction, LLC.</w:t>
      </w:r>
    </w:p>
    <w:p>
      <w:pPr>
        <w:spacing w:after="0" w:line="14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i w:val="1"/>
          <w:iCs w:val="1"/>
          <w:color w:val="auto"/>
        </w:rPr>
        <w:t xml:space="preserve">Scott A. Worthington </w:t>
      </w:r>
      <w:r>
        <w:rPr>
          <w:rFonts w:ascii="Arial" w:cs="Arial" w:eastAsia="Arial" w:hAnsi="Arial"/>
          <w:sz w:val="18"/>
          <w:szCs w:val="18"/>
          <w:color w:val="auto"/>
        </w:rPr>
        <w:t>joined us in 1997. In 2007, he became General Manager of Operations of our plant in New Waverly,</w:t>
      </w:r>
      <w:r>
        <w:rPr>
          <w:rFonts w:ascii="Arial" w:cs="Arial" w:eastAsia="Arial" w:hAnsi="Arial"/>
          <w:sz w:val="18"/>
          <w:szCs w:val="18"/>
          <w:i w:val="1"/>
          <w:iCs w:val="1"/>
          <w:color w:val="auto"/>
        </w:rPr>
        <w:t xml:space="preserve"> </w:t>
      </w:r>
      <w:r>
        <w:rPr>
          <w:rFonts w:ascii="Arial" w:cs="Arial" w:eastAsia="Arial" w:hAnsi="Arial"/>
          <w:sz w:val="18"/>
          <w:szCs w:val="18"/>
          <w:color w:val="auto"/>
        </w:rPr>
        <w:t>TX, and on August 1, 2014, he became Regional Vice President of the South Texas Region. On January 1, 2020, he became President of UFP Industrial, LLC</w:t>
      </w:r>
    </w:p>
    <w:p>
      <w:pPr>
        <w:spacing w:after="0" w:line="184"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i w:val="1"/>
          <w:iCs w:val="1"/>
          <w:color w:val="auto"/>
        </w:rPr>
        <w:t xml:space="preserve">Scott T. Bravata </w:t>
      </w:r>
      <w:r>
        <w:rPr>
          <w:rFonts w:ascii="Arial" w:cs="Arial" w:eastAsia="Arial" w:hAnsi="Arial"/>
          <w:sz w:val="17"/>
          <w:szCs w:val="17"/>
          <w:color w:val="auto"/>
        </w:rPr>
        <w:t>joined us in 1988. He became Director of Wholesale Accounting in 1989 and became Corporate</w:t>
      </w:r>
      <w:r>
        <w:rPr>
          <w:rFonts w:ascii="Arial" w:cs="Arial" w:eastAsia="Arial" w:hAnsi="Arial"/>
          <w:sz w:val="17"/>
          <w:szCs w:val="17"/>
          <w:i w:val="1"/>
          <w:iCs w:val="1"/>
          <w:color w:val="auto"/>
        </w:rPr>
        <w:t xml:space="preserve"> </w:t>
      </w:r>
      <w:r>
        <w:rPr>
          <w:rFonts w:ascii="Arial" w:cs="Arial" w:eastAsia="Arial" w:hAnsi="Arial"/>
          <w:sz w:val="17"/>
          <w:szCs w:val="17"/>
          <w:color w:val="auto"/>
        </w:rPr>
        <w:t>Controller in 1997. On February 27, 2006, he became Vice President of Accounting and Administration.</w:t>
      </w:r>
    </w:p>
    <w:p>
      <w:pPr>
        <w:spacing w:after="0" w:line="14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i w:val="1"/>
          <w:iCs w:val="1"/>
          <w:color w:val="auto"/>
        </w:rPr>
        <w:t xml:space="preserve">David A. Tutas </w:t>
      </w:r>
      <w:r>
        <w:rPr>
          <w:rFonts w:ascii="Arial" w:cs="Arial" w:eastAsia="Arial" w:hAnsi="Arial"/>
          <w:sz w:val="18"/>
          <w:szCs w:val="18"/>
          <w:color w:val="auto"/>
        </w:rPr>
        <w:t>joined us in 2003 as a staff counsel. In 2007, he was promoted to Director of Legal Services. On August 1,</w:t>
      </w:r>
      <w:r>
        <w:rPr>
          <w:rFonts w:ascii="Arial" w:cs="Arial" w:eastAsia="Arial" w:hAnsi="Arial"/>
          <w:sz w:val="18"/>
          <w:szCs w:val="18"/>
          <w:i w:val="1"/>
          <w:iCs w:val="1"/>
          <w:color w:val="auto"/>
        </w:rPr>
        <w:t xml:space="preserve"> </w:t>
      </w:r>
      <w:r>
        <w:rPr>
          <w:rFonts w:ascii="Arial" w:cs="Arial" w:eastAsia="Arial" w:hAnsi="Arial"/>
          <w:sz w:val="18"/>
          <w:szCs w:val="18"/>
          <w:color w:val="auto"/>
        </w:rPr>
        <w:t>2011, he was promoted to General Counsel. On January 18, 2013, he became Secretary of the Company, and on February 1, 2019, he became Chief Compliance Officer.</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following information items in this Part II, which are contained in the 2020 Annual Report, are specifically incorporated by reference into this Form 10-K Report. These portions of the 2020 Annual Report that are specifically incorporated by reference are filed as Exhibit 13 with this Form 10-K Report.</w:t>
      </w:r>
    </w:p>
    <w:p>
      <w:pPr>
        <w:spacing w:after="0" w:line="180" w:lineRule="exact"/>
        <w:rPr>
          <w:sz w:val="20"/>
          <w:szCs w:val="20"/>
          <w:color w:val="auto"/>
        </w:rPr>
      </w:pPr>
    </w:p>
    <w:p>
      <w:pPr>
        <w:ind w:left="60" w:right="479"/>
        <w:spacing w:after="0" w:line="282" w:lineRule="auto"/>
        <w:rPr>
          <w:sz w:val="20"/>
          <w:szCs w:val="20"/>
          <w:color w:val="auto"/>
        </w:rPr>
      </w:pPr>
      <w:r>
        <w:rPr>
          <w:rFonts w:ascii="Arial" w:cs="Arial" w:eastAsia="Arial" w:hAnsi="Arial"/>
          <w:sz w:val="18"/>
          <w:szCs w:val="18"/>
          <w:b w:val="1"/>
          <w:bCs w:val="1"/>
          <w:u w:val="single" w:color="auto"/>
          <w:color w:val="auto"/>
        </w:rPr>
        <w:t>Item 5. Market for Registrant’s Common Equity, Related Shareholder Matters and Issuer Purchases of Equity Securities.</w:t>
      </w:r>
    </w:p>
    <w:p>
      <w:pPr>
        <w:spacing w:after="0" w:line="166" w:lineRule="exact"/>
        <w:rPr>
          <w:sz w:val="20"/>
          <w:szCs w:val="20"/>
          <w:color w:val="auto"/>
        </w:rPr>
      </w:pPr>
    </w:p>
    <w:p>
      <w:pPr>
        <w:ind w:left="380" w:right="79" w:hanging="330"/>
        <w:spacing w:after="0" w:line="277" w:lineRule="auto"/>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information relating to market, holders and dividends is incorporated by reference from the 2020 Annual Report under the caption “Stock Performance Graph.”</w:t>
      </w:r>
    </w:p>
    <w:p>
      <w:pPr>
        <w:spacing w:after="0" w:line="170"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There were no sales of unregistered securities during the last three years.</w:t>
      </w:r>
    </w:p>
    <w:p>
      <w:pPr>
        <w:spacing w:after="0" w:line="225" w:lineRule="exact"/>
        <w:rPr>
          <w:rFonts w:ascii="Arial" w:cs="Arial" w:eastAsia="Arial" w:hAnsi="Arial"/>
          <w:sz w:val="18"/>
          <w:szCs w:val="18"/>
          <w:color w:val="auto"/>
        </w:rPr>
      </w:pPr>
    </w:p>
    <w:p>
      <w:pPr>
        <w:ind w:left="380" w:hanging="330"/>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380" w:hanging="330"/>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Issuer purchases of equity securities during the fourth quarter.</w:t>
      </w:r>
    </w:p>
    <w:p>
      <w:pPr>
        <w:spacing w:after="0" w:line="227"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5940" w:type="dxa"/>
            <w:vAlign w:val="bottom"/>
            <w:gridSpan w:val="3"/>
          </w:tcPr>
          <w:p>
            <w:pPr>
              <w:ind w:left="20"/>
              <w:spacing w:after="0"/>
              <w:rPr>
                <w:sz w:val="20"/>
                <w:szCs w:val="20"/>
                <w:color w:val="auto"/>
              </w:rPr>
            </w:pPr>
            <w:r>
              <w:rPr>
                <w:rFonts w:ascii="Arial" w:cs="Arial" w:eastAsia="Arial" w:hAnsi="Arial"/>
                <w:sz w:val="14"/>
                <w:szCs w:val="14"/>
                <w:b w:val="1"/>
                <w:bCs w:val="1"/>
                <w:color w:val="auto"/>
              </w:rPr>
              <w:t>Fiscal Month</w:t>
            </w:r>
          </w:p>
        </w:tc>
        <w:tc>
          <w:tcPr>
            <w:tcW w:w="720" w:type="dxa"/>
            <w:vAlign w:val="bottom"/>
            <w:gridSpan w:val="2"/>
          </w:tcPr>
          <w:p>
            <w:pPr>
              <w:ind w:left="200"/>
              <w:spacing w:after="0"/>
              <w:rPr>
                <w:sz w:val="20"/>
                <w:szCs w:val="20"/>
                <w:color w:val="auto"/>
              </w:rPr>
            </w:pPr>
            <w:r>
              <w:rPr>
                <w:rFonts w:ascii="Arial" w:cs="Arial" w:eastAsia="Arial" w:hAnsi="Arial"/>
                <w:sz w:val="14"/>
                <w:szCs w:val="14"/>
                <w:b w:val="1"/>
                <w:bCs w:val="1"/>
                <w:color w:val="auto"/>
              </w:rPr>
              <w:t>(a)</w:t>
            </w:r>
          </w:p>
        </w:tc>
        <w:tc>
          <w:tcPr>
            <w:tcW w:w="700" w:type="dxa"/>
            <w:vAlign w:val="bottom"/>
            <w:gridSpan w:val="2"/>
          </w:tcPr>
          <w:p>
            <w:pPr>
              <w:ind w:left="180"/>
              <w:spacing w:after="0"/>
              <w:rPr>
                <w:sz w:val="20"/>
                <w:szCs w:val="20"/>
                <w:color w:val="auto"/>
              </w:rPr>
            </w:pPr>
            <w:r>
              <w:rPr>
                <w:rFonts w:ascii="Arial" w:cs="Arial" w:eastAsia="Arial" w:hAnsi="Arial"/>
                <w:sz w:val="14"/>
                <w:szCs w:val="14"/>
                <w:b w:val="1"/>
                <w:bCs w:val="1"/>
                <w:color w:val="auto"/>
              </w:rPr>
              <w:t>(b)</w:t>
            </w:r>
          </w:p>
        </w:tc>
        <w:tc>
          <w:tcPr>
            <w:tcW w:w="700" w:type="dxa"/>
            <w:vAlign w:val="bottom"/>
            <w:gridSpan w:val="2"/>
          </w:tcPr>
          <w:p>
            <w:pPr>
              <w:ind w:left="200"/>
              <w:spacing w:after="0"/>
              <w:rPr>
                <w:sz w:val="20"/>
                <w:szCs w:val="20"/>
                <w:color w:val="auto"/>
              </w:rPr>
            </w:pPr>
            <w:r>
              <w:rPr>
                <w:rFonts w:ascii="Arial" w:cs="Arial" w:eastAsia="Arial" w:hAnsi="Arial"/>
                <w:sz w:val="14"/>
                <w:szCs w:val="14"/>
                <w:b w:val="1"/>
                <w:bCs w:val="1"/>
                <w:color w:val="auto"/>
              </w:rPr>
              <w:t>(c)</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(d)</w:t>
            </w:r>
          </w:p>
        </w:tc>
      </w:tr>
      <w:tr>
        <w:trPr>
          <w:trHeight w:val="210"/>
        </w:trPr>
        <w:tc>
          <w:tcPr>
            <w:tcW w:w="580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September 27 – October 31, 2020</w:t>
            </w:r>
          </w:p>
        </w:tc>
        <w:tc>
          <w:tcPr>
            <w:tcW w:w="1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1,103,957</w:t>
            </w:r>
          </w:p>
        </w:tc>
      </w:tr>
      <w:tr>
        <w:trPr>
          <w:trHeight w:val="216"/>
        </w:trPr>
        <w:tc>
          <w:tcPr>
            <w:tcW w:w="5940" w:type="dxa"/>
            <w:vAlign w:val="bottom"/>
            <w:gridSpan w:val="3"/>
          </w:tcPr>
          <w:p>
            <w:pPr>
              <w:ind w:left="20"/>
              <w:spacing w:after="0"/>
              <w:rPr>
                <w:sz w:val="20"/>
                <w:szCs w:val="20"/>
                <w:color w:val="auto"/>
              </w:rPr>
            </w:pPr>
            <w:r>
              <w:rPr>
                <w:rFonts w:ascii="Arial" w:cs="Arial" w:eastAsia="Arial" w:hAnsi="Arial"/>
                <w:sz w:val="18"/>
                <w:szCs w:val="18"/>
                <w:color w:val="auto"/>
              </w:rPr>
              <w:t>November 1 – 28, 2020</w:t>
            </w:r>
          </w:p>
        </w:tc>
        <w:tc>
          <w:tcPr>
            <w:tcW w:w="7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1,103,957</w:t>
            </w:r>
          </w:p>
        </w:tc>
      </w:tr>
      <w:tr>
        <w:trPr>
          <w:trHeight w:val="216"/>
        </w:trPr>
        <w:tc>
          <w:tcPr>
            <w:tcW w:w="59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November 29 – December 26, 2020</w:t>
            </w:r>
          </w:p>
        </w:tc>
        <w:tc>
          <w:tcPr>
            <w:tcW w:w="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1,103,957</w:t>
            </w:r>
          </w:p>
        </w:tc>
      </w:tr>
      <w:tr>
        <w:trPr>
          <w:trHeight w:val="108"/>
        </w:trPr>
        <w:tc>
          <w:tcPr>
            <w:tcW w:w="2240" w:type="dxa"/>
            <w:vAlign w:val="bottom"/>
            <w:tcBorders>
              <w:bottom w:val="single" w:sz="8" w:color="auto"/>
            </w:tcBorders>
          </w:tcPr>
          <w:p>
            <w:pPr>
              <w:spacing w:after="0"/>
              <w:rPr>
                <w:sz w:val="9"/>
                <w:szCs w:val="9"/>
                <w:color w:val="auto"/>
              </w:rPr>
            </w:pPr>
          </w:p>
        </w:tc>
        <w:tc>
          <w:tcPr>
            <w:tcW w:w="3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r>
    </w:tbl>
    <w:p>
      <w:pPr>
        <w:spacing w:after="0" w:line="80" w:lineRule="exact"/>
        <w:rPr>
          <w:sz w:val="20"/>
          <w:szCs w:val="20"/>
          <w:color w:val="auto"/>
        </w:rPr>
      </w:pPr>
    </w:p>
    <w:p>
      <w:pPr>
        <w:ind w:left="60"/>
        <w:spacing w:after="0"/>
        <w:rPr>
          <w:sz w:val="20"/>
          <w:szCs w:val="20"/>
          <w:color w:val="auto"/>
        </w:rPr>
      </w:pPr>
      <w:r>
        <w:rPr>
          <w:rFonts w:ascii="Arial" w:cs="Arial" w:eastAsia="Arial" w:hAnsi="Arial"/>
          <w:sz w:val="18"/>
          <w:szCs w:val="18"/>
          <w:color w:val="auto"/>
        </w:rPr>
        <w:t>(a)  Total number of shares purchased.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1" w:name="page12"/>
    <w:bookmarkEnd w:id="11"/>
    <w:p>
      <w:pPr>
        <w:ind w:left="380" w:hanging="330"/>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Average price paid per share.</w:t>
      </w:r>
    </w:p>
    <w:p>
      <w:pPr>
        <w:spacing w:after="0" w:line="23" w:lineRule="exact"/>
        <w:rPr>
          <w:rFonts w:ascii="Arial" w:cs="Arial" w:eastAsia="Arial" w:hAnsi="Arial"/>
          <w:sz w:val="18"/>
          <w:szCs w:val="18"/>
          <w:color w:val="auto"/>
        </w:rPr>
      </w:pPr>
    </w:p>
    <w:p>
      <w:pPr>
        <w:ind w:left="380" w:hanging="330"/>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Total number of shares purchased as part of publicly announced plans or programs.</w:t>
      </w:r>
    </w:p>
    <w:p>
      <w:pPr>
        <w:spacing w:after="0" w:line="9" w:lineRule="exact"/>
        <w:rPr>
          <w:rFonts w:ascii="Arial" w:cs="Arial" w:eastAsia="Arial" w:hAnsi="Arial"/>
          <w:sz w:val="18"/>
          <w:szCs w:val="18"/>
          <w:color w:val="auto"/>
        </w:rPr>
      </w:pPr>
    </w:p>
    <w:p>
      <w:pPr>
        <w:ind w:left="380" w:hanging="330"/>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Maximum number of shares that may yet be purchased under the plans or programs.</w:t>
      </w:r>
    </w:p>
    <w:p>
      <w:pPr>
        <w:spacing w:after="0" w:line="211"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On November 14, 2001, the Board of Directors approved a share repurchase program (which succeeded a previous program) allowing us to repurchase up to 2.5 million shares of our common stock. On October 14, 2010, our Board authorized an additional 2 million shares to be repurchased under our existing share repurchase program. The total number of remaining shares that may be repurchased under the program is approximately 1.1 million.</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6. Selected Financial Data.</w:t>
      </w:r>
    </w:p>
    <w:p>
      <w:pPr>
        <w:spacing w:after="0" w:line="229"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information required by this Item is incorporated by reference from the 2020 Annual Report under the caption "Selected Financial Data."</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7. Management’s Discussion and Analysis of Financial Condition and Results of Operations.</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information required by this item is incorporated by reference from the 2020 Annual Report under the caption "Management’s Discussion and Analysis of Financial Condition and Results of Operations."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7A. Quantitative and Qualitative Disclosures about Market Risk.</w:t>
      </w:r>
    </w:p>
    <w:p>
      <w:pPr>
        <w:spacing w:after="0" w:line="229"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We are exposed to market risks related to fluctuations in interest rates on our variable rate debt, which consists of a revolving credit facility and industrial development revenue bonds. We do not enter into any material interest rate swaps, futures contracts or options on futures, or other types of derivative financial instruments to mitigate this risk.</w:t>
      </w:r>
    </w:p>
    <w:p>
      <w:pPr>
        <w:spacing w:after="0" w:line="16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For fixed rate debt, changes in interest rates generally affect the fair market value, but not earnings or cash flows. Conversely, for variable rate debt, changes in interest rates generally do not influence fair market value, but do affect future earnings and cash flows. We do not have an obligation to prepay fixed rate debt prior to maturity, and as a result, interest rate risk and changes in fair market value should not have a significant impact on such debt until we would be required to refinance it.</w:t>
      </w:r>
    </w:p>
    <w:p>
      <w:pPr>
        <w:spacing w:after="0" w:line="188"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On December 26, 2020, the estimated fair value of our long-term debt, including the current portion, was $341.4 million. The estimated fair value is based on rates anticipated to be available to us for debt with similar terms and maturities. The estimated fair value of notes payable included in current liabilities and the revolving credit facility approximated the carrying values as these debt instruments have interest rates that fluctuate with current market conditions.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6"/>
          <w:szCs w:val="16"/>
          <w:color w:val="auto"/>
        </w:rPr>
        <w:t>Expected cash flows over the next five years related to debt instruments, excluding debt issuance costs, are as follows:</w:t>
      </w: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3460" w:type="dxa"/>
            <w:vAlign w:val="bottom"/>
          </w:tcPr>
          <w:p>
            <w:pPr>
              <w:ind w:left="20"/>
              <w:spacing w:after="0"/>
              <w:rPr>
                <w:sz w:val="20"/>
                <w:szCs w:val="20"/>
                <w:color w:val="auto"/>
              </w:rPr>
            </w:pPr>
            <w:r>
              <w:rPr>
                <w:rFonts w:ascii="Arial" w:cs="Arial" w:eastAsia="Arial" w:hAnsi="Arial"/>
                <w:sz w:val="14"/>
                <w:szCs w:val="14"/>
                <w:b w:val="1"/>
                <w:bCs w:val="1"/>
                <w:color w:val="auto"/>
              </w:rPr>
              <w:t>($US equivalent, in thousands)</w:t>
            </w:r>
          </w:p>
        </w:tc>
        <w:tc>
          <w:tcPr>
            <w:tcW w:w="100" w:type="dxa"/>
            <w:vAlign w:val="bottom"/>
          </w:tcPr>
          <w:p>
            <w:pPr>
              <w:spacing w:after="0"/>
              <w:rPr>
                <w:sz w:val="15"/>
                <w:szCs w:val="15"/>
                <w:color w:val="auto"/>
              </w:rPr>
            </w:pPr>
          </w:p>
        </w:tc>
        <w:tc>
          <w:tcPr>
            <w:tcW w:w="440" w:type="dxa"/>
            <w:vAlign w:val="bottom"/>
          </w:tcPr>
          <w:p>
            <w:pPr>
              <w:jc w:val="right"/>
              <w:ind w:right="68"/>
              <w:spacing w:after="0"/>
              <w:rPr>
                <w:sz w:val="20"/>
                <w:szCs w:val="20"/>
                <w:color w:val="auto"/>
              </w:rPr>
            </w:pPr>
            <w:r>
              <w:rPr>
                <w:rFonts w:ascii="Arial" w:cs="Arial" w:eastAsia="Arial" w:hAnsi="Arial"/>
                <w:sz w:val="14"/>
                <w:szCs w:val="14"/>
                <w:b w:val="1"/>
                <w:bCs w:val="1"/>
                <w:color w:val="auto"/>
                <w:w w:val="89"/>
              </w:rPr>
              <w:t>2021</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ind w:right="168"/>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ind w:right="48"/>
              <w:spacing w:after="0"/>
              <w:rPr>
                <w:sz w:val="20"/>
                <w:szCs w:val="20"/>
                <w:color w:val="auto"/>
              </w:rPr>
            </w:pPr>
            <w:r>
              <w:rPr>
                <w:rFonts w:ascii="Arial" w:cs="Arial" w:eastAsia="Arial" w:hAnsi="Arial"/>
                <w:sz w:val="14"/>
                <w:szCs w:val="14"/>
                <w:b w:val="1"/>
                <w:bCs w:val="1"/>
                <w:color w:val="auto"/>
                <w:w w:val="89"/>
              </w:rPr>
              <w:t>2023</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ind w:right="68"/>
              <w:spacing w:after="0"/>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ind w:left="20"/>
              <w:spacing w:after="0"/>
              <w:rPr>
                <w:sz w:val="20"/>
                <w:szCs w:val="20"/>
                <w:color w:val="auto"/>
              </w:rPr>
            </w:pPr>
            <w:r>
              <w:rPr>
                <w:rFonts w:ascii="Arial" w:cs="Arial" w:eastAsia="Arial" w:hAnsi="Arial"/>
                <w:sz w:val="14"/>
                <w:szCs w:val="14"/>
                <w:b w:val="1"/>
                <w:bCs w:val="1"/>
                <w:color w:val="auto"/>
              </w:rPr>
              <w:t>2025</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auto"/>
              </w:rPr>
              <w:t>Thereafter</w:t>
            </w:r>
          </w:p>
        </w:tc>
        <w:tc>
          <w:tcPr>
            <w:tcW w:w="100" w:type="dxa"/>
            <w:vAlign w:val="bottom"/>
          </w:tcPr>
          <w:p>
            <w:pPr>
              <w:spacing w:after="0"/>
              <w:rPr>
                <w:sz w:val="15"/>
                <w:szCs w:val="15"/>
                <w:color w:val="auto"/>
              </w:rPr>
            </w:pPr>
          </w:p>
        </w:tc>
        <w:tc>
          <w:tcPr>
            <w:tcW w:w="540" w:type="dxa"/>
            <w:vAlign w:val="bottom"/>
          </w:tcPr>
          <w:p>
            <w:pPr>
              <w:jc w:val="right"/>
              <w:ind w:right="88"/>
              <w:spacing w:after="0"/>
              <w:rPr>
                <w:sz w:val="20"/>
                <w:szCs w:val="20"/>
                <w:color w:val="auto"/>
              </w:rPr>
            </w:pPr>
            <w:r>
              <w:rPr>
                <w:rFonts w:ascii="Arial" w:cs="Arial" w:eastAsia="Arial" w:hAnsi="Arial"/>
                <w:sz w:val="14"/>
                <w:szCs w:val="14"/>
                <w:b w:val="1"/>
                <w:bCs w:val="1"/>
                <w:color w:val="auto"/>
              </w:rPr>
              <w:t>Total</w:t>
            </w:r>
          </w:p>
        </w:tc>
      </w:tr>
      <w:tr>
        <w:trPr>
          <w:trHeight w:val="148"/>
        </w:trPr>
        <w:tc>
          <w:tcPr>
            <w:tcW w:w="3460" w:type="dxa"/>
            <w:vAlign w:val="bottom"/>
            <w:tcBorders>
              <w:top w:val="single" w:sz="8" w:color="CCEEFF"/>
            </w:tcBorders>
            <w:shd w:val="clear" w:color="auto" w:fill="CCEEFF"/>
          </w:tcPr>
          <w:p>
            <w:pPr>
              <w:ind w:left="20"/>
              <w:spacing w:after="0" w:line="149" w:lineRule="exact"/>
              <w:rPr>
                <w:sz w:val="20"/>
                <w:szCs w:val="20"/>
                <w:color w:val="auto"/>
              </w:rPr>
            </w:pPr>
            <w:r>
              <w:rPr>
                <w:rFonts w:ascii="Arial" w:cs="Arial" w:eastAsia="Arial" w:hAnsi="Arial"/>
                <w:sz w:val="14"/>
                <w:szCs w:val="14"/>
                <w:color w:val="auto"/>
              </w:rPr>
              <w:t>Long-term Debt:</w:t>
            </w:r>
          </w:p>
        </w:tc>
        <w:tc>
          <w:tcPr>
            <w:tcW w:w="10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r>
      <w:tr>
        <w:trPr>
          <w:trHeight w:val="149"/>
        </w:trPr>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Fixed Rate ($US)</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34</w:t>
            </w:r>
          </w:p>
        </w:tc>
        <w:tc>
          <w:tcPr>
            <w:tcW w:w="140" w:type="dxa"/>
            <w:vAlign w:val="bottom"/>
          </w:tcPr>
          <w:p>
            <w:pPr>
              <w:spacing w:after="0"/>
              <w:rPr>
                <w:sz w:val="12"/>
                <w:szCs w:val="12"/>
                <w:color w:val="auto"/>
              </w:rPr>
            </w:pPr>
          </w:p>
        </w:tc>
        <w:tc>
          <w:tcPr>
            <w:tcW w:w="160" w:type="dxa"/>
            <w:vAlign w:val="bottom"/>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35,038</w:t>
            </w:r>
          </w:p>
        </w:tc>
        <w:tc>
          <w:tcPr>
            <w:tcW w:w="1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w w:val="97"/>
              </w:rPr>
              <w:t>40,000</w:t>
            </w:r>
          </w:p>
        </w:tc>
        <w:tc>
          <w:tcPr>
            <w:tcW w:w="14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225,000</w:t>
            </w:r>
          </w:p>
        </w:tc>
        <w:tc>
          <w:tcPr>
            <w:tcW w:w="28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w w:val="94"/>
              </w:rPr>
              <w:t>300,072</w:t>
            </w:r>
          </w:p>
        </w:tc>
      </w:tr>
      <w:tr>
        <w:trPr>
          <w:trHeight w:val="148"/>
        </w:trPr>
        <w:tc>
          <w:tcPr>
            <w:tcW w:w="346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Average interest rate</w:t>
            </w: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3.89%</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3.98%</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3.55%</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r>
      <w:tr>
        <w:trPr>
          <w:trHeight w:val="149"/>
        </w:trPr>
        <w:tc>
          <w:tcPr>
            <w:tcW w:w="3460" w:type="dxa"/>
            <w:vAlign w:val="bottom"/>
          </w:tcPr>
          <w:p>
            <w:pPr>
              <w:ind w:left="20"/>
              <w:spacing w:after="0" w:line="149" w:lineRule="exact"/>
              <w:rPr>
                <w:sz w:val="20"/>
                <w:szCs w:val="20"/>
                <w:color w:val="auto"/>
              </w:rPr>
            </w:pPr>
            <w:r>
              <w:rPr>
                <w:rFonts w:ascii="Arial" w:cs="Arial" w:eastAsia="Arial" w:hAnsi="Arial"/>
                <w:sz w:val="14"/>
                <w:szCs w:val="14"/>
                <w:color w:val="auto"/>
              </w:rPr>
              <w:t>Variable Rate ($US)</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66</w:t>
            </w:r>
          </w:p>
        </w:tc>
        <w:tc>
          <w:tcPr>
            <w:tcW w:w="140" w:type="dxa"/>
            <w:vAlign w:val="bottom"/>
          </w:tcPr>
          <w:p>
            <w:pPr>
              <w:spacing w:after="0"/>
              <w:rPr>
                <w:sz w:val="12"/>
                <w:szCs w:val="12"/>
                <w:color w:val="auto"/>
              </w:rPr>
            </w:pPr>
          </w:p>
        </w:tc>
        <w:tc>
          <w:tcPr>
            <w:tcW w:w="160" w:type="dxa"/>
            <w:vAlign w:val="bottom"/>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3,700</w:t>
            </w:r>
          </w:p>
        </w:tc>
        <w:tc>
          <w:tcPr>
            <w:tcW w:w="1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w w:val="96"/>
              </w:rPr>
              <w:t>4,715</w:t>
            </w:r>
          </w:p>
        </w:tc>
        <w:tc>
          <w:tcPr>
            <w:tcW w:w="14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3,300</w:t>
            </w:r>
          </w:p>
        </w:tc>
        <w:tc>
          <w:tcPr>
            <w:tcW w:w="28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11,781</w:t>
            </w:r>
          </w:p>
        </w:tc>
      </w:tr>
      <w:tr>
        <w:trPr>
          <w:trHeight w:val="162"/>
        </w:trPr>
        <w:tc>
          <w:tcPr>
            <w:tcW w:w="3460" w:type="dxa"/>
            <w:vAlign w:val="bottom"/>
            <w:shd w:val="clear" w:color="auto" w:fill="CCEEFF"/>
          </w:tcPr>
          <w:p>
            <w:pPr>
              <w:ind w:left="160"/>
              <w:spacing w:after="0" w:line="162" w:lineRule="exact"/>
              <w:rPr>
                <w:sz w:val="20"/>
                <w:szCs w:val="20"/>
                <w:color w:val="auto"/>
              </w:rPr>
            </w:pPr>
            <w:r>
              <w:rPr>
                <w:rFonts w:ascii="Arial" w:cs="Arial" w:eastAsia="Arial" w:hAnsi="Arial"/>
                <w:sz w:val="13"/>
                <w:szCs w:val="13"/>
                <w:color w:val="auto"/>
              </w:rPr>
              <w:t xml:space="preserve">Average interest rate </w:t>
            </w:r>
            <w:r>
              <w:rPr>
                <w:rFonts w:ascii="Arial" w:cs="Arial" w:eastAsia="Arial" w:hAnsi="Arial"/>
                <w:sz w:val="18"/>
                <w:szCs w:val="18"/>
                <w:color w:val="auto"/>
                <w:vertAlign w:val="superscript"/>
              </w:rPr>
              <w:t>(1)</w:t>
            </w: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0.79%</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5"/>
              </w:rPr>
              <w:t>1.13%</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0.74%</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-7620</wp:posOffset>
            </wp:positionV>
            <wp:extent cx="193738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937385" cy="17145"/>
                    </a:xfrm>
                    <a:prstGeom prst="rect">
                      <a:avLst/>
                    </a:prstGeom>
                    <a:noFill/>
                  </pic:spPr>
                </pic:pic>
              </a:graphicData>
            </a:graphic>
          </wp:anchor>
        </w:drawing>
      </w:r>
    </w:p>
    <w:p>
      <w:pPr>
        <w:ind w:left="60"/>
        <w:spacing w:after="0"/>
        <w:rPr>
          <w:sz w:val="20"/>
          <w:szCs w:val="20"/>
          <w:color w:val="auto"/>
        </w:rPr>
      </w:pPr>
      <w:r>
        <w:rPr>
          <w:rFonts w:ascii="Arial" w:cs="Arial" w:eastAsia="Arial" w:hAnsi="Arial"/>
          <w:sz w:val="14"/>
          <w:szCs w:val="14"/>
          <w:color w:val="auto"/>
        </w:rPr>
        <w:t>(1) Average of rates at December 26, 2020</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2" w:name="page13"/>
    <w:bookmarkEnd w:id="12"/>
    <w:p>
      <w:pPr>
        <w:ind w:left="60"/>
        <w:spacing w:after="0"/>
        <w:rPr>
          <w:sz w:val="20"/>
          <w:szCs w:val="20"/>
          <w:color w:val="auto"/>
        </w:rPr>
      </w:pPr>
      <w:r>
        <w:rPr>
          <w:rFonts w:ascii="Arial" w:cs="Arial" w:eastAsia="Arial" w:hAnsi="Arial"/>
          <w:sz w:val="18"/>
          <w:szCs w:val="18"/>
          <w:b w:val="1"/>
          <w:bCs w:val="1"/>
          <w:u w:val="single" w:color="auto"/>
          <w:color w:val="auto"/>
        </w:rPr>
        <w:t>Item 8. Financial Statements and Supplementary Data.</w:t>
      </w:r>
    </w:p>
    <w:p>
      <w:pPr>
        <w:spacing w:after="0" w:line="229"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color w:val="auto"/>
        </w:rPr>
        <w:t>The information required by this Item is incorporated by reference from the 2020 Annual Report under the following captions: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"Report of Independent Registered Public Accounting Firm"</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"Report of Independent Registered Public Accounting Firm"</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"Consolidated Statements of Earnings and Comprehensive Income"</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"Consolidated Statements of Shareholders’ Equity"</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"Consolidated Statements of Cash Flows"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"Notes to Consolidated Financial Statements"</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9. Changes in and Disagreements with Accountants on Accounting and Financial Disclosure.</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9A. Controls and Procedures.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left="60" w:right="79" w:firstLine="648"/>
        <w:spacing w:after="0" w:line="287" w:lineRule="auto"/>
        <w:rPr>
          <w:sz w:val="20"/>
          <w:szCs w:val="20"/>
          <w:color w:val="auto"/>
        </w:rPr>
      </w:pPr>
      <w:r>
        <w:rPr>
          <w:rFonts w:ascii="Arial" w:cs="Arial" w:eastAsia="Arial" w:hAnsi="Arial"/>
          <w:sz w:val="16"/>
          <w:szCs w:val="16"/>
          <w:color w:val="auto"/>
        </w:rPr>
        <w:t>We conducted an evaluation of the effectiveness of our disclosure controls and procedures (as defined in Rules 13a-15(e) and 15d-15(e) of the Securities Exchange Act of 1934, as amended, referred to herein as “Disclosure Controls”) as of the end of the period covered by this Annual Report on Form 10-K. The controls evaluation was performed under the supervision and with the participation of management, including our Chief Executive Officer (CEO) and Chief Financial Officer (CFO). Based upon our most recent evaluation, our CEO and CFO have concluded that our Disclosure Controls and procedures were not effective because of the material weakness related to the accounting for stock-based compensation awards, as further described below. Despite the existence of the material weakness, we have concluded that the consolidated financial statements included in this Annual Report on Form 10-K fairly present, in all material respects, our financial position, results of operations and cash flows for the periods presented in conformity with accounting principles generally accepted in the United States of America (“U.S. GAAP”). Additionally, the material weakness did not result in any restatements of our consolidated financial statements or disclosures for any prior period.</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225" w:lineRule="exact"/>
        <w:rPr>
          <w:sz w:val="20"/>
          <w:szCs w:val="20"/>
          <w:color w:val="auto"/>
        </w:rPr>
      </w:pPr>
    </w:p>
    <w:p>
      <w:pPr>
        <w:ind w:left="60" w:right="219" w:firstLine="648"/>
        <w:spacing w:after="0" w:line="270" w:lineRule="auto"/>
        <w:rPr>
          <w:sz w:val="20"/>
          <w:szCs w:val="20"/>
          <w:color w:val="auto"/>
        </w:rPr>
      </w:pPr>
      <w:r>
        <w:rPr>
          <w:rFonts w:ascii="Arial" w:cs="Arial" w:eastAsia="Arial" w:hAnsi="Arial"/>
          <w:sz w:val="17"/>
          <w:szCs w:val="17"/>
          <w:color w:val="auto"/>
        </w:rPr>
        <w:t>Management is responsible for establishing and maintaining adequate internal control over financial reporting as defined in Rules 13a-15(f) and 15d-15(f) under the Exchange Act and based upon the criteria established in Internal Control — Integrated Framework (2013) issued by the Committee of Sponsoring Organizations of the Treadway Commission. Our internal control over financial reporting is designed to provide reasonable assurance regarding the reliability of financial reporting and the preparation of financial statements for external purposes in accordance with U.S. GAAP. Our management assessed the effectiveness of our internal control over financial reporting as of December 26, 2020. Based on this assessment, our Chief Executive Officer and Chief Financial Officer concluded based upon the existence of a material weakness described below, our internal control over financial reporting was not effective as of December 26, 2020.</w:t>
      </w:r>
    </w:p>
    <w:p>
      <w:pPr>
        <w:spacing w:after="0" w:line="181" w:lineRule="exact"/>
        <w:rPr>
          <w:sz w:val="20"/>
          <w:szCs w:val="20"/>
          <w:color w:val="auto"/>
        </w:rPr>
      </w:pPr>
    </w:p>
    <w:p>
      <w:pPr>
        <w:ind w:left="60" w:right="139" w:firstLine="648"/>
        <w:spacing w:after="0" w:line="263" w:lineRule="auto"/>
        <w:rPr>
          <w:sz w:val="20"/>
          <w:szCs w:val="20"/>
          <w:color w:val="auto"/>
        </w:rPr>
      </w:pPr>
      <w:r>
        <w:rPr>
          <w:rFonts w:ascii="Arial" w:cs="Arial" w:eastAsia="Arial" w:hAnsi="Arial"/>
          <w:sz w:val="18"/>
          <w:szCs w:val="18"/>
          <w:color w:val="auto"/>
        </w:rPr>
        <w:t>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3" w:name="page14"/>
    <w:bookmarkEnd w:id="13"/>
    <w:p>
      <w:pPr>
        <w:ind w:left="60" w:right="139" w:firstLine="648"/>
        <w:spacing w:after="0" w:line="271" w:lineRule="auto"/>
        <w:rPr>
          <w:sz w:val="20"/>
          <w:szCs w:val="20"/>
          <w:color w:val="auto"/>
        </w:rPr>
      </w:pPr>
      <w:r>
        <w:rPr>
          <w:rFonts w:ascii="Arial" w:cs="Arial" w:eastAsia="Arial" w:hAnsi="Arial"/>
          <w:sz w:val="17"/>
          <w:szCs w:val="17"/>
          <w:color w:val="auto"/>
        </w:rPr>
        <w:t>We identified a material weakness in the design and operation of our control regarding the accounting for our share-based bonus awards. Under our annual incentive compensation plan, bonuses earned in excess of the cash payment limitations are paid in the form of share-based bonus awards. The allocation of share-based bonus expense in the period when the share awards were granted, rather than over the associated service and vesting period of the awards, was not in accordance with ASC 718. Our controls were not adequately designed to review the appropriate accounting conclusion with enough precision related to the determination of the appropriate period over which to recognize the expense associated with share awards. This material weakness resulted in an error in the accounting for share-based bonus awards, which could have been material if it had gone undetected.</w:t>
      </w:r>
    </w:p>
    <w:p>
      <w:pPr>
        <w:spacing w:after="0" w:line="178" w:lineRule="exact"/>
        <w:rPr>
          <w:sz w:val="20"/>
          <w:szCs w:val="20"/>
          <w:color w:val="auto"/>
        </w:rPr>
      </w:pPr>
    </w:p>
    <w:p>
      <w:pPr>
        <w:ind w:left="60" w:right="319" w:firstLine="648"/>
        <w:spacing w:after="0" w:line="259" w:lineRule="auto"/>
        <w:rPr>
          <w:sz w:val="20"/>
          <w:szCs w:val="20"/>
          <w:color w:val="auto"/>
        </w:rPr>
      </w:pPr>
      <w:r>
        <w:rPr>
          <w:rFonts w:ascii="Arial" w:cs="Arial" w:eastAsia="Arial" w:hAnsi="Arial"/>
          <w:sz w:val="18"/>
          <w:szCs w:val="18"/>
          <w:color w:val="auto"/>
        </w:rPr>
        <w:t>Deloitte &amp; Touche LLP, our independent registered public accounting firm, has audited the effectiveness of our internal control over financial reporting as of December 26, 2020. Deloitte &amp; Touche LLP's opinion, as stated in their report which appears on page 25 of this Form 10-K, is consistent with management's report on internal control over financial reporting as set forth above.</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Remediation</w:t>
      </w:r>
    </w:p>
    <w:p>
      <w:pPr>
        <w:spacing w:after="0" w:line="225" w:lineRule="exact"/>
        <w:rPr>
          <w:sz w:val="20"/>
          <w:szCs w:val="20"/>
          <w:color w:val="auto"/>
        </w:rPr>
      </w:pPr>
    </w:p>
    <w:p>
      <w:pPr>
        <w:ind w:left="60" w:right="359" w:firstLine="648"/>
        <w:spacing w:after="0" w:line="277" w:lineRule="auto"/>
        <w:rPr>
          <w:sz w:val="20"/>
          <w:szCs w:val="20"/>
          <w:color w:val="auto"/>
        </w:rPr>
      </w:pPr>
      <w:r>
        <w:rPr>
          <w:rFonts w:ascii="Arial" w:cs="Arial" w:eastAsia="Arial" w:hAnsi="Arial"/>
          <w:sz w:val="18"/>
          <w:szCs w:val="18"/>
          <w:color w:val="auto"/>
        </w:rPr>
        <w:t>Management will engage experts to assist with the review of complex accounting conclusions related to share-based bonus awards in the future.</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left="60" w:right="139" w:firstLine="648"/>
        <w:spacing w:after="0" w:line="263" w:lineRule="auto"/>
        <w:rPr>
          <w:sz w:val="20"/>
          <w:szCs w:val="20"/>
          <w:color w:val="auto"/>
        </w:rPr>
      </w:pPr>
      <w:r>
        <w:rPr>
          <w:rFonts w:ascii="Arial" w:cs="Arial" w:eastAsia="Arial" w:hAnsi="Arial"/>
          <w:sz w:val="18"/>
          <w:szCs w:val="18"/>
          <w:color w:val="auto"/>
        </w:rPr>
        <w:t>Other than the material weakness discussed above, there was no change in our internal control over financial reporting that occurred during the quarter ended December 26, 2020, that has materially affected, or is reasonably likely to materially affect, our internal control over financial reporting.</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9B. Other Information.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10. Directors, Executive Officers and Corporate Governance.</w:t>
      </w:r>
    </w:p>
    <w:p>
      <w:pPr>
        <w:spacing w:after="0" w:line="229"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Information relating to our directors, compliance with Section 16(a) of the Securities and Exchange Act of 1934 and various corporate governance matters is incorporated by reference from our definitive Proxy Statement for the year ended December 26, 2020 for the 2021 Annual Meeting of Shareholders, as filed with the Commission ("2021 Proxy Statement"), under the captions "Election of Directors," "Corporate Governance and Board Matters," and "Section 16(a) Beneficial Ownership Reporting Compliance." Information relating to executive officers is included in this report in the last Section of Part I under the caption "Additional Item: Executive Officers of the Registrant." Information relating to our code of ethics is included in this report in Part I, Item 1 under the caption “Available Information”.</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11. Executive Compensation.</w:t>
      </w:r>
    </w:p>
    <w:p>
      <w:pPr>
        <w:spacing w:after="0" w:line="22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Information relating to director and executive compensation is incorporated by reference from the 2021 Proxy Statement under the caption "Executive Compensation." The "Personnel and Compensation Committee Report" included in the 2021 Proxy Statement is incorporated by reference for the purpose of being furnished herein and is not and shall not be deemed to be filed under the Securities Exchange Act of 1934, as amended.</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7"/>
          <w:szCs w:val="17"/>
          <w:b w:val="1"/>
          <w:bCs w:val="1"/>
          <w:u w:val="single" w:color="auto"/>
          <w:color w:val="auto"/>
        </w:rPr>
        <w:t>Item 12. Security Ownership of Certain Beneficial Owners and Management and Related Shareholder Matters.</w:t>
      </w:r>
    </w:p>
    <w:p>
      <w:pPr>
        <w:spacing w:after="0" w:line="241" w:lineRule="exact"/>
        <w:rPr>
          <w:sz w:val="20"/>
          <w:szCs w:val="20"/>
          <w:color w:val="auto"/>
        </w:rPr>
      </w:pPr>
    </w:p>
    <w:p>
      <w:pPr>
        <w:jc w:val="both"/>
        <w:ind w:left="60" w:right="79"/>
        <w:spacing w:after="0" w:line="342" w:lineRule="auto"/>
        <w:rPr>
          <w:sz w:val="20"/>
          <w:szCs w:val="20"/>
          <w:color w:val="auto"/>
        </w:rPr>
      </w:pPr>
      <w:r>
        <w:rPr>
          <w:rFonts w:ascii="Arial" w:cs="Arial" w:eastAsia="Arial" w:hAnsi="Arial"/>
          <w:sz w:val="16"/>
          <w:szCs w:val="16"/>
          <w:color w:val="auto"/>
        </w:rPr>
        <w:t>Information relating to security ownership of certain beneficial owners and management is incorporated by reference from our 2021 Proxy Statement under the captions "Ownership of Common Stock" and "Securities Ownership of Management."</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4" w:name="page15"/>
    <w:bookmarkEnd w:id="14"/>
    <w:p>
      <w:pPr>
        <w:ind w:left="60" w:right="79"/>
        <w:spacing w:after="0" w:line="277" w:lineRule="auto"/>
        <w:rPr>
          <w:sz w:val="20"/>
          <w:szCs w:val="20"/>
          <w:color w:val="auto"/>
        </w:rPr>
      </w:pPr>
      <w:r>
        <w:rPr>
          <w:rFonts w:ascii="Arial" w:cs="Arial" w:eastAsia="Arial" w:hAnsi="Arial"/>
          <w:sz w:val="18"/>
          <w:szCs w:val="18"/>
          <w:color w:val="auto"/>
        </w:rPr>
        <w:t>Information relating to securities authorized for issuance under equity compensation plans as of December 26, 2020, is as follows: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2"/>
              </w:rPr>
              <w:t>Number of shares</w:t>
            </w:r>
          </w:p>
        </w:tc>
        <w:tc>
          <w:tcPr>
            <w:tcW w:w="0" w:type="dxa"/>
            <w:vAlign w:val="bottom"/>
          </w:tcPr>
          <w:p>
            <w:pPr>
              <w:spacing w:after="0"/>
              <w:rPr>
                <w:sz w:val="1"/>
                <w:szCs w:val="1"/>
                <w:color w:val="auto"/>
              </w:rPr>
            </w:pPr>
          </w:p>
        </w:tc>
      </w:tr>
      <w:tr>
        <w:trPr>
          <w:trHeight w:val="148"/>
        </w:trPr>
        <w:tc>
          <w:tcPr>
            <w:tcW w:w="5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9"/>
        </w:trPr>
        <w:tc>
          <w:tcPr>
            <w:tcW w:w="5540" w:type="dxa"/>
            <w:vAlign w:val="bottom"/>
          </w:tcPr>
          <w:p>
            <w:pPr>
              <w:spacing w:after="0"/>
              <w:rPr>
                <w:sz w:val="12"/>
                <w:szCs w:val="12"/>
                <w:color w:val="auto"/>
              </w:rPr>
            </w:pPr>
          </w:p>
        </w:tc>
        <w:tc>
          <w:tcPr>
            <w:tcW w:w="9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4"/>
              </w:rPr>
              <w:t>Number of</w:t>
            </w: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available for</w:t>
            </w:r>
          </w:p>
        </w:tc>
        <w:tc>
          <w:tcPr>
            <w:tcW w:w="0" w:type="dxa"/>
            <w:vAlign w:val="bottom"/>
          </w:tcPr>
          <w:p>
            <w:pPr>
              <w:spacing w:after="0"/>
              <w:rPr>
                <w:sz w:val="1"/>
                <w:szCs w:val="1"/>
                <w:color w:val="auto"/>
              </w:rPr>
            </w:pPr>
          </w:p>
        </w:tc>
      </w:tr>
      <w:tr>
        <w:trPr>
          <w:trHeight w:val="148"/>
        </w:trPr>
        <w:tc>
          <w:tcPr>
            <w:tcW w:w="55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future issuance</w:t>
            </w:r>
          </w:p>
        </w:tc>
        <w:tc>
          <w:tcPr>
            <w:tcW w:w="0" w:type="dxa"/>
            <w:vAlign w:val="bottom"/>
          </w:tcPr>
          <w:p>
            <w:pPr>
              <w:spacing w:after="0"/>
              <w:rPr>
                <w:sz w:val="1"/>
                <w:szCs w:val="1"/>
                <w:color w:val="auto"/>
              </w:rPr>
            </w:pPr>
          </w:p>
        </w:tc>
      </w:tr>
      <w:tr>
        <w:trPr>
          <w:trHeight w:val="148"/>
        </w:trPr>
        <w:tc>
          <w:tcPr>
            <w:tcW w:w="554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shares to be</w:t>
            </w:r>
          </w:p>
        </w:tc>
        <w:tc>
          <w:tcPr>
            <w:tcW w:w="132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1"/>
              </w:rPr>
              <w:t>Weighted average</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under equity</w:t>
            </w:r>
          </w:p>
        </w:tc>
        <w:tc>
          <w:tcPr>
            <w:tcW w:w="0" w:type="dxa"/>
            <w:vAlign w:val="bottom"/>
          </w:tcPr>
          <w:p>
            <w:pPr>
              <w:spacing w:after="0"/>
              <w:rPr>
                <w:sz w:val="1"/>
                <w:szCs w:val="1"/>
                <w:color w:val="auto"/>
              </w:rPr>
            </w:pPr>
          </w:p>
        </w:tc>
      </w:tr>
      <w:tr>
        <w:trPr>
          <w:trHeight w:val="148"/>
        </w:trPr>
        <w:tc>
          <w:tcPr>
            <w:tcW w:w="554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issued upon</w:t>
            </w:r>
          </w:p>
        </w:tc>
        <w:tc>
          <w:tcPr>
            <w:tcW w:w="1320" w:type="dxa"/>
            <w:vAlign w:val="bottom"/>
            <w:gridSpan w:val="3"/>
            <w:vMerge w:val="continue"/>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0" w:type="dxa"/>
            <w:vAlign w:val="bottom"/>
          </w:tcPr>
          <w:p>
            <w:pPr>
              <w:spacing w:after="0"/>
              <w:rPr>
                <w:sz w:val="1"/>
                <w:szCs w:val="1"/>
                <w:color w:val="auto"/>
              </w:rPr>
            </w:pPr>
          </w:p>
        </w:tc>
      </w:tr>
      <w:tr>
        <w:trPr>
          <w:trHeight w:val="148"/>
        </w:trPr>
        <w:tc>
          <w:tcPr>
            <w:tcW w:w="554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exercise of</w:t>
            </w:r>
          </w:p>
        </w:tc>
        <w:tc>
          <w:tcPr>
            <w:tcW w:w="13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exercise price of</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plans [excluding</w:t>
            </w:r>
          </w:p>
        </w:tc>
        <w:tc>
          <w:tcPr>
            <w:tcW w:w="0" w:type="dxa"/>
            <w:vAlign w:val="bottom"/>
          </w:tcPr>
          <w:p>
            <w:pPr>
              <w:spacing w:after="0"/>
              <w:rPr>
                <w:sz w:val="1"/>
                <w:szCs w:val="1"/>
                <w:color w:val="auto"/>
              </w:rPr>
            </w:pPr>
          </w:p>
        </w:tc>
      </w:tr>
      <w:tr>
        <w:trPr>
          <w:trHeight w:val="149"/>
        </w:trPr>
        <w:tc>
          <w:tcPr>
            <w:tcW w:w="554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outstanding</w:t>
            </w:r>
          </w:p>
        </w:tc>
        <w:tc>
          <w:tcPr>
            <w:tcW w:w="160" w:type="dxa"/>
            <w:vAlign w:val="bottom"/>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shares reflected in</w:t>
            </w:r>
          </w:p>
        </w:tc>
        <w:tc>
          <w:tcPr>
            <w:tcW w:w="0" w:type="dxa"/>
            <w:vAlign w:val="bottom"/>
          </w:tcPr>
          <w:p>
            <w:pPr>
              <w:spacing w:after="0"/>
              <w:rPr>
                <w:sz w:val="1"/>
                <w:szCs w:val="1"/>
                <w:color w:val="auto"/>
              </w:rPr>
            </w:pPr>
          </w:p>
        </w:tc>
      </w:tr>
      <w:tr>
        <w:trPr>
          <w:trHeight w:val="148"/>
        </w:trPr>
        <w:tc>
          <w:tcPr>
            <w:tcW w:w="554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options</w:t>
            </w:r>
          </w:p>
        </w:tc>
        <w:tc>
          <w:tcPr>
            <w:tcW w:w="160" w:type="dxa"/>
            <w:vAlign w:val="bottom"/>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options</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column (a)] (1)</w:t>
            </w:r>
          </w:p>
        </w:tc>
        <w:tc>
          <w:tcPr>
            <w:tcW w:w="0" w:type="dxa"/>
            <w:vAlign w:val="bottom"/>
          </w:tcPr>
          <w:p>
            <w:pPr>
              <w:spacing w:after="0"/>
              <w:rPr>
                <w:sz w:val="1"/>
                <w:szCs w:val="1"/>
                <w:color w:val="auto"/>
              </w:rPr>
            </w:pPr>
          </w:p>
        </w:tc>
      </w:tr>
      <w:tr>
        <w:trPr>
          <w:trHeight w:val="171"/>
        </w:trPr>
        <w:tc>
          <w:tcPr>
            <w:tcW w:w="554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color w:val="auto"/>
                <w:w w:val="93"/>
              </w:rPr>
              <w:t>(a)</w:t>
            </w:r>
          </w:p>
        </w:tc>
        <w:tc>
          <w:tcPr>
            <w:tcW w:w="160" w:type="dxa"/>
            <w:vAlign w:val="bottom"/>
          </w:tcPr>
          <w:p>
            <w:pPr>
              <w:spacing w:after="0"/>
              <w:rPr>
                <w:sz w:val="14"/>
                <w:szCs w:val="14"/>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color w:val="auto"/>
              </w:rPr>
              <w:t>(b)</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09"/>
        </w:trPr>
        <w:tc>
          <w:tcPr>
            <w:tcW w:w="5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compensation plans approved by security holders</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2,089,274</w:t>
            </w:r>
          </w:p>
        </w:tc>
        <w:tc>
          <w:tcPr>
            <w:tcW w:w="0" w:type="dxa"/>
            <w:vAlign w:val="bottom"/>
          </w:tcPr>
          <w:p>
            <w:pPr>
              <w:spacing w:after="0"/>
              <w:rPr>
                <w:sz w:val="1"/>
                <w:szCs w:val="1"/>
                <w:color w:val="auto"/>
              </w:rPr>
            </w:pPr>
          </w:p>
        </w:tc>
      </w:tr>
      <w:tr>
        <w:trPr>
          <w:trHeight w:val="230"/>
        </w:trPr>
        <w:tc>
          <w:tcPr>
            <w:tcW w:w="5540" w:type="dxa"/>
            <w:vAlign w:val="bottom"/>
          </w:tcPr>
          <w:p>
            <w:pPr>
              <w:ind w:left="20"/>
              <w:spacing w:after="0"/>
              <w:rPr>
                <w:sz w:val="20"/>
                <w:szCs w:val="20"/>
                <w:color w:val="auto"/>
              </w:rPr>
            </w:pPr>
            <w:r>
              <w:rPr>
                <w:rFonts w:ascii="Arial" w:cs="Arial" w:eastAsia="Arial" w:hAnsi="Arial"/>
                <w:sz w:val="18"/>
                <w:szCs w:val="18"/>
                <w:color w:val="auto"/>
              </w:rPr>
              <w:t>Equity compensation plans not approved by security holders</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none</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59690</wp:posOffset>
            </wp:positionV>
            <wp:extent cx="141414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67" w:lineRule="exact"/>
        <w:rPr>
          <w:sz w:val="20"/>
          <w:szCs w:val="20"/>
          <w:color w:val="auto"/>
        </w:rPr>
      </w:pPr>
    </w:p>
    <w:p>
      <w:pPr>
        <w:jc w:val="both"/>
        <w:ind w:left="380" w:right="79" w:hanging="330"/>
        <w:spacing w:after="0" w:line="247" w:lineRule="auto"/>
        <w:tabs>
          <w:tab w:leader="none" w:pos="380" w:val="left"/>
        </w:tabs>
        <w:numPr>
          <w:ilvl w:val="0"/>
          <w:numId w:val="6"/>
        </w:numPr>
        <w:rPr>
          <w:rFonts w:ascii="Arial" w:cs="Arial" w:eastAsia="Arial" w:hAnsi="Arial"/>
          <w:sz w:val="26"/>
          <w:szCs w:val="26"/>
          <w:color w:val="auto"/>
          <w:vertAlign w:val="superscript"/>
        </w:rPr>
      </w:pPr>
      <w:r>
        <w:rPr>
          <w:rFonts w:ascii="Arial" w:cs="Arial" w:eastAsia="Arial" w:hAnsi="Arial"/>
          <w:sz w:val="17"/>
          <w:szCs w:val="17"/>
          <w:color w:val="auto"/>
        </w:rPr>
        <w:t>The number of shares remaining available for future issuance under equity compensation plans, excluding outstanding options, warrants, or similar rights, as of December 26, 2020, is as follows: 489,124 shares for our Employee Stock Purchase Plan, 212,676 shares for our Directors’ Retainer Stock Plan, and 16,013 shares for our Employee Stock Gift Program. In addition, of the remaining 1,371,461 shares available for future issuance under our Long-Term Stock Incentive Plan, those awards may be made in the form of options as well as stock appreciation rights, restricted stock, performance shares, or other stock-based awards.</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13. Certain Relationships and Related Transactions, and Director Independence.</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Information relating to certain relationships and related transactions, and director independence is incorporated by reference from the 2021 Proxy Statement under the captions "Election of Directors", “Affirmative Determination Regarding Director Independence and Other Matters” and "Related Party Transactions."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14. Principal Accountant Fees and Services.</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Information relating to the types of services rendered by our Independent Registered Public Accounting Firm and the fees paid for these services is incorporated by reference from our 2021 Proxy Statement under the caption "Independent Registered Public Accounting Firm – Disclosure of Fees.”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15. Exhibits, Financial Statement Schedules.</w:t>
      </w:r>
    </w:p>
    <w:p>
      <w:pPr>
        <w:spacing w:after="0" w:line="229" w:lineRule="exact"/>
        <w:rPr>
          <w:sz w:val="20"/>
          <w:szCs w:val="20"/>
          <w:color w:val="auto"/>
        </w:rPr>
      </w:pPr>
    </w:p>
    <w:p>
      <w:pPr>
        <w:ind w:left="700" w:right="79" w:hanging="650"/>
        <w:spacing w:after="0" w:line="277" w:lineRule="auto"/>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1. Financial Statements</w:t>
      </w:r>
      <w:r>
        <w:rPr>
          <w:rFonts w:ascii="Arial" w:cs="Arial" w:eastAsia="Arial" w:hAnsi="Arial"/>
          <w:sz w:val="18"/>
          <w:szCs w:val="18"/>
          <w:color w:val="auto"/>
        </w:rPr>
        <w:t>. The following are incorporated by reference, under Item 8 of this report, from the 2020 Annual Report:</w:t>
      </w:r>
    </w:p>
    <w:p>
      <w:pPr>
        <w:spacing w:after="0" w:line="170" w:lineRule="exact"/>
        <w:rPr>
          <w:rFonts w:ascii="Arial" w:cs="Arial" w:eastAsia="Arial" w:hAnsi="Arial"/>
          <w:sz w:val="18"/>
          <w:szCs w:val="18"/>
          <w:color w:val="auto"/>
        </w:rPr>
      </w:pPr>
    </w:p>
    <w:p>
      <w:pPr>
        <w:ind w:left="700" w:right="3419"/>
        <w:spacing w:after="0" w:line="268" w:lineRule="auto"/>
        <w:rPr>
          <w:rFonts w:ascii="Arial" w:cs="Arial" w:eastAsia="Arial" w:hAnsi="Arial"/>
          <w:sz w:val="18"/>
          <w:szCs w:val="18"/>
          <w:color w:val="auto"/>
        </w:rPr>
      </w:pPr>
      <w:r>
        <w:rPr>
          <w:rFonts w:ascii="Arial" w:cs="Arial" w:eastAsia="Arial" w:hAnsi="Arial"/>
          <w:sz w:val="17"/>
          <w:szCs w:val="17"/>
          <w:color w:val="auto"/>
        </w:rPr>
        <w:t>Management’s Report on Internal Control Over Financial Reporting Report of Independent Registered Public Accounting Firm Report of Independent Registered Public Accounting Firm Consolidated Statements of Earnings and Comprehensive Income Consolidated Statements of Shareholders’ Equity</w:t>
      </w:r>
    </w:p>
    <w:p>
      <w:pPr>
        <w:spacing w:after="0" w:line="2" w:lineRule="exact"/>
        <w:rPr>
          <w:rFonts w:ascii="Arial" w:cs="Arial" w:eastAsia="Arial" w:hAnsi="Arial"/>
          <w:sz w:val="18"/>
          <w:szCs w:val="18"/>
          <w:color w:val="auto"/>
        </w:rPr>
      </w:pPr>
    </w:p>
    <w:p>
      <w:pPr>
        <w:ind w:left="700" w:right="5179"/>
        <w:spacing w:after="0" w:line="323" w:lineRule="auto"/>
        <w:rPr>
          <w:rFonts w:ascii="Arial" w:cs="Arial" w:eastAsia="Arial" w:hAnsi="Arial"/>
          <w:sz w:val="18"/>
          <w:szCs w:val="18"/>
          <w:color w:val="auto"/>
        </w:rPr>
      </w:pPr>
      <w:r>
        <w:rPr>
          <w:rFonts w:ascii="Arial" w:cs="Arial" w:eastAsia="Arial" w:hAnsi="Arial"/>
          <w:sz w:val="16"/>
          <w:szCs w:val="16"/>
          <w:color w:val="auto"/>
        </w:rPr>
        <w:t>Consolidated Statements of Cash Flows Notes to Consolidated Financial Statements</w:t>
      </w:r>
    </w:p>
    <w:p>
      <w:pPr>
        <w:spacing w:after="0" w:line="138" w:lineRule="exact"/>
        <w:rPr>
          <w:rFonts w:ascii="Arial" w:cs="Arial" w:eastAsia="Arial" w:hAnsi="Arial"/>
          <w:sz w:val="18"/>
          <w:szCs w:val="18"/>
          <w:color w:val="auto"/>
        </w:rPr>
      </w:pPr>
    </w:p>
    <w:p>
      <w:pPr>
        <w:ind w:left="700" w:right="199" w:hanging="2"/>
        <w:spacing w:after="0" w:line="311" w:lineRule="auto"/>
        <w:tabs>
          <w:tab w:leader="none" w:pos="1015" w:val="left"/>
        </w:tabs>
        <w:numPr>
          <w:ilvl w:val="1"/>
          <w:numId w:val="7"/>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Financial Statement Schedules</w:t>
      </w:r>
      <w:r>
        <w:rPr>
          <w:rFonts w:ascii="Arial" w:cs="Arial" w:eastAsia="Arial" w:hAnsi="Arial"/>
          <w:sz w:val="16"/>
          <w:szCs w:val="16"/>
          <w:color w:val="auto"/>
        </w:rPr>
        <w:t>. All schedules required by this Form 10-K Report have been omitted because they were inapplicable, included in the Consolidated Financial Statements or Notes to Consolidated Financial Statements, or otherwise not required under instructions contained in Regulation S-X.</w:t>
      </w:r>
    </w:p>
    <w:p>
      <w:pPr>
        <w:spacing w:after="0" w:line="148" w:lineRule="exact"/>
        <w:rPr>
          <w:rFonts w:ascii="Arial" w:cs="Arial" w:eastAsia="Arial" w:hAnsi="Arial"/>
          <w:sz w:val="16"/>
          <w:szCs w:val="16"/>
          <w:u w:val="single" w:color="auto"/>
          <w:color w:val="auto"/>
        </w:rPr>
      </w:pPr>
    </w:p>
    <w:p>
      <w:pPr>
        <w:ind w:left="1020" w:hanging="322"/>
        <w:spacing w:after="0"/>
        <w:tabs>
          <w:tab w:leader="none" w:pos="1020" w:val="left"/>
        </w:tabs>
        <w:numPr>
          <w:ilvl w:val="1"/>
          <w:numId w:val="7"/>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 Reference is made to the Exhibit Index which is included in this Form 10-K Report.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5" w:name="page16"/>
    <w:bookmarkEnd w:id="15"/>
    <w:p>
      <w:pPr>
        <w:ind w:left="700" w:hanging="650"/>
        <w:spacing w:after="0"/>
        <w:tabs>
          <w:tab w:leader="none" w:pos="70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Reference is made to the Exhibit Index which is included in this Form 10-K Report.</w:t>
      </w:r>
    </w:p>
    <w:p>
      <w:pPr>
        <w:spacing w:after="0" w:line="248" w:lineRule="exact"/>
        <w:rPr>
          <w:rFonts w:ascii="Arial" w:cs="Arial" w:eastAsia="Arial" w:hAnsi="Arial"/>
          <w:sz w:val="16"/>
          <w:szCs w:val="16"/>
          <w:color w:val="auto"/>
        </w:rPr>
      </w:pPr>
    </w:p>
    <w:p>
      <w:pPr>
        <w:ind w:left="700" w:hanging="650"/>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229" w:lineRule="exact"/>
        <w:rPr>
          <w:sz w:val="20"/>
          <w:szCs w:val="20"/>
          <w:color w:val="auto"/>
        </w:rPr>
      </w:pPr>
    </w:p>
    <w:p>
      <w:pPr>
        <w:ind w:left="20"/>
        <w:spacing w:after="0"/>
        <w:tabs>
          <w:tab w:leader="none" w:pos="900" w:val="left"/>
        </w:tabs>
        <w:rPr>
          <w:sz w:val="20"/>
          <w:szCs w:val="20"/>
          <w:color w:val="auto"/>
        </w:rPr>
      </w:pPr>
      <w:r>
        <w:rPr>
          <w:rFonts w:ascii="Arial" w:cs="Arial" w:eastAsia="Arial" w:hAnsi="Arial"/>
          <w:sz w:val="18"/>
          <w:szCs w:val="18"/>
          <w:u w:val="single" w:color="auto"/>
          <w:color w:val="auto"/>
        </w:rPr>
        <w:t>Exhibit #</w:t>
      </w:r>
      <w:r>
        <w:rPr>
          <w:sz w:val="20"/>
          <w:szCs w:val="20"/>
          <w:color w:val="auto"/>
        </w:rPr>
        <w:tab/>
      </w:r>
      <w:r>
        <w:rPr>
          <w:rFonts w:ascii="Arial" w:cs="Arial" w:eastAsia="Arial" w:hAnsi="Arial"/>
          <w:sz w:val="16"/>
          <w:szCs w:val="16"/>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14605</wp:posOffset>
            </wp:positionV>
            <wp:extent cx="511746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17465" cy="8255"/>
                    </a:xfrm>
                    <a:prstGeom prst="rect">
                      <a:avLst/>
                    </a:prstGeom>
                    <a:noFill/>
                  </pic:spPr>
                </pic:pic>
              </a:graphicData>
            </a:graphic>
          </wp:anchor>
        </w:drawing>
      </w:r>
    </w:p>
    <w:p>
      <w:pPr>
        <w:spacing w:after="0" w:line="178" w:lineRule="exact"/>
        <w:rPr>
          <w:sz w:val="20"/>
          <w:szCs w:val="20"/>
          <w:color w:val="auto"/>
        </w:rPr>
      </w:pPr>
    </w:p>
    <w:p>
      <w:pPr>
        <w:ind w:left="920" w:hanging="897"/>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Articles of Incorporation and Bylaws.</w:t>
      </w:r>
    </w:p>
    <w:p>
      <w:pPr>
        <w:spacing w:after="0" w:line="171" w:lineRule="exact"/>
        <w:rPr>
          <w:rFonts w:ascii="Arial" w:cs="Arial" w:eastAsia="Arial" w:hAnsi="Arial"/>
          <w:sz w:val="18"/>
          <w:szCs w:val="18"/>
          <w:color w:val="auto"/>
        </w:rPr>
      </w:pPr>
    </w:p>
    <w:p>
      <w:pPr>
        <w:ind w:left="1920" w:right="319" w:hanging="1006"/>
        <w:spacing w:after="0" w:line="235" w:lineRule="auto"/>
        <w:tabs>
          <w:tab w:leader="none" w:pos="1920" w:val="left"/>
        </w:tabs>
        <w:numPr>
          <w:ilvl w:val="1"/>
          <w:numId w:val="9"/>
        </w:numPr>
        <w:rPr>
          <w:rFonts w:ascii="Arial" w:cs="Arial" w:eastAsia="Arial" w:hAnsi="Arial"/>
          <w:sz w:val="18"/>
          <w:szCs w:val="18"/>
          <w:u w:val="single" w:color="auto"/>
          <w:color w:val="0000EE"/>
        </w:rPr>
      </w:pPr>
      <w:hyperlink r:id="rId39">
        <w:r>
          <w:rPr>
            <w:rFonts w:ascii="Arial" w:cs="Arial" w:eastAsia="Arial" w:hAnsi="Arial"/>
            <w:sz w:val="18"/>
            <w:szCs w:val="18"/>
            <w:u w:val="single" w:color="auto"/>
            <w:color w:val="0000EE"/>
          </w:rPr>
          <w:t>Registrant’s Restated and Amended Articles of Incorporation were filed as Exhibit 3.1 to a</w:t>
        </w:r>
      </w:hyperlink>
      <w:r>
        <w:rPr>
          <w:rFonts w:ascii="Arial" w:cs="Arial" w:eastAsia="Arial" w:hAnsi="Arial"/>
          <w:sz w:val="18"/>
          <w:szCs w:val="18"/>
          <w:u w:val="single" w:color="auto"/>
          <w:color w:val="0000EE"/>
        </w:rPr>
        <w:t xml:space="preserve"> </w:t>
      </w:r>
      <w:hyperlink r:id="rId39">
        <w:r>
          <w:rPr>
            <w:rFonts w:ascii="Arial" w:cs="Arial" w:eastAsia="Arial" w:hAnsi="Arial"/>
            <w:sz w:val="18"/>
            <w:szCs w:val="18"/>
            <w:u w:val="single" w:color="auto"/>
            <w:color w:val="0000EE"/>
          </w:rPr>
          <w:t>Registrant’s Current Report 8-K (dated April 27, 2017) and the same is incorporated herein by</w:t>
        </w:r>
      </w:hyperlink>
      <w:r>
        <w:rPr>
          <w:rFonts w:ascii="Arial" w:cs="Arial" w:eastAsia="Arial" w:hAnsi="Arial"/>
          <w:sz w:val="18"/>
          <w:szCs w:val="18"/>
          <w:u w:val="single" w:color="auto"/>
          <w:color w:val="0000EE"/>
        </w:rPr>
        <w:t xml:space="preserve"> </w:t>
      </w:r>
      <w:hyperlink r:id="rId39">
        <w:r>
          <w:rPr>
            <w:rFonts w:ascii="Arial" w:cs="Arial" w:eastAsia="Arial" w:hAnsi="Arial"/>
            <w:sz w:val="18"/>
            <w:szCs w:val="18"/>
            <w:u w:val="single" w:color="auto"/>
            <w:color w:val="0000EE"/>
          </w:rPr>
          <w:t>reference.</w:t>
        </w:r>
      </w:hyperlink>
    </w:p>
    <w:p>
      <w:pPr>
        <w:spacing w:after="0" w:line="147" w:lineRule="exact"/>
        <w:rPr>
          <w:rFonts w:ascii="Arial" w:cs="Arial" w:eastAsia="Arial" w:hAnsi="Arial"/>
          <w:sz w:val="18"/>
          <w:szCs w:val="18"/>
          <w:u w:val="single" w:color="auto"/>
          <w:color w:val="0000EE"/>
        </w:rPr>
      </w:pPr>
    </w:p>
    <w:p>
      <w:pPr>
        <w:ind w:left="1920" w:right="339" w:hanging="1006"/>
        <w:spacing w:after="0" w:line="235" w:lineRule="auto"/>
        <w:tabs>
          <w:tab w:leader="none" w:pos="1920" w:val="left"/>
        </w:tabs>
        <w:numPr>
          <w:ilvl w:val="1"/>
          <w:numId w:val="9"/>
        </w:numPr>
        <w:rPr>
          <w:rFonts w:ascii="Arial" w:cs="Arial" w:eastAsia="Arial" w:hAnsi="Arial"/>
          <w:sz w:val="18"/>
          <w:szCs w:val="18"/>
          <w:u w:val="single" w:color="auto"/>
          <w:color w:val="0000EE"/>
        </w:rPr>
      </w:pPr>
      <w:hyperlink r:id="rId40">
        <w:r>
          <w:rPr>
            <w:rFonts w:ascii="Arial" w:cs="Arial" w:eastAsia="Arial" w:hAnsi="Arial"/>
            <w:sz w:val="18"/>
            <w:szCs w:val="18"/>
            <w:u w:val="single" w:color="auto"/>
            <w:color w:val="0000EE"/>
          </w:rPr>
          <w:t>Amended Bylaws was filed as Exhibit 3(b) to a Form 10-K, Annual Report for the year-ended</w:t>
        </w:r>
      </w:hyperlink>
      <w:r>
        <w:rPr>
          <w:rFonts w:ascii="Arial" w:cs="Arial" w:eastAsia="Arial" w:hAnsi="Arial"/>
          <w:sz w:val="18"/>
          <w:szCs w:val="18"/>
          <w:u w:val="single" w:color="auto"/>
          <w:color w:val="0000EE"/>
        </w:rPr>
        <w:t xml:space="preserve"> </w:t>
      </w:r>
      <w:hyperlink r:id="rId40">
        <w:r>
          <w:rPr>
            <w:rFonts w:ascii="Arial" w:cs="Arial" w:eastAsia="Arial" w:hAnsi="Arial"/>
            <w:sz w:val="18"/>
            <w:szCs w:val="18"/>
            <w:u w:val="single" w:color="auto"/>
            <w:color w:val="0000EE"/>
          </w:rPr>
          <w:t>December 31, 2016 (Commission file No.: 0-22684) and the same incorporated herein by</w:t>
        </w:r>
      </w:hyperlink>
      <w:r>
        <w:rPr>
          <w:rFonts w:ascii="Arial" w:cs="Arial" w:eastAsia="Arial" w:hAnsi="Arial"/>
          <w:sz w:val="18"/>
          <w:szCs w:val="18"/>
          <w:u w:val="single" w:color="auto"/>
          <w:color w:val="0000EE"/>
        </w:rPr>
        <w:t xml:space="preserve"> </w:t>
      </w:r>
      <w:hyperlink r:id="rId40">
        <w:r>
          <w:rPr>
            <w:rFonts w:ascii="Arial" w:cs="Arial" w:eastAsia="Arial" w:hAnsi="Arial"/>
            <w:sz w:val="18"/>
            <w:szCs w:val="18"/>
            <w:u w:val="single" w:color="auto"/>
            <w:color w:val="0000EE"/>
          </w:rPr>
          <w:t>reference.</w:t>
        </w:r>
      </w:hyperlink>
    </w:p>
    <w:p>
      <w:pPr>
        <w:spacing w:after="0" w:line="148" w:lineRule="exact"/>
        <w:rPr>
          <w:rFonts w:ascii="Arial" w:cs="Arial" w:eastAsia="Arial" w:hAnsi="Arial"/>
          <w:sz w:val="18"/>
          <w:szCs w:val="18"/>
          <w:u w:val="single" w:color="auto"/>
          <w:color w:val="0000EE"/>
        </w:rPr>
      </w:pPr>
    </w:p>
    <w:p>
      <w:pPr>
        <w:ind w:left="920" w:hanging="897"/>
        <w:spacing w:after="0"/>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Instruments Defining the Rights of Security Holders.</w:t>
      </w:r>
    </w:p>
    <w:p>
      <w:pPr>
        <w:spacing w:after="0" w:line="171" w:lineRule="exact"/>
        <w:rPr>
          <w:rFonts w:ascii="Arial" w:cs="Arial" w:eastAsia="Arial" w:hAnsi="Arial"/>
          <w:sz w:val="18"/>
          <w:szCs w:val="18"/>
          <w:color w:val="auto"/>
        </w:rPr>
      </w:pPr>
    </w:p>
    <w:p>
      <w:pPr>
        <w:ind w:left="1920" w:right="79" w:hanging="1006"/>
        <w:spacing w:after="0" w:line="307" w:lineRule="auto"/>
        <w:tabs>
          <w:tab w:leader="none" w:pos="1920" w:val="left"/>
        </w:tabs>
        <w:numPr>
          <w:ilvl w:val="1"/>
          <w:numId w:val="10"/>
        </w:numPr>
        <w:rPr>
          <w:rFonts w:ascii="Arial" w:cs="Arial" w:eastAsia="Arial" w:hAnsi="Arial"/>
          <w:sz w:val="16"/>
          <w:szCs w:val="16"/>
          <w:color w:val="auto"/>
        </w:rPr>
      </w:pPr>
      <w:r>
        <w:rPr>
          <w:rFonts w:ascii="Arial" w:cs="Arial" w:eastAsia="Arial" w:hAnsi="Arial"/>
          <w:sz w:val="16"/>
          <w:szCs w:val="16"/>
          <w:color w:val="auto"/>
        </w:rPr>
        <w:t>Specimen form of Stock Certificate for Common Stock was filed as Exhibit 4(a) to a Registration Statement on Form S-1 (No. 33-69474) and the same is incorporated herein by reference.</w:t>
      </w:r>
    </w:p>
    <w:p>
      <w:pPr>
        <w:spacing w:after="0" w:line="96" w:lineRule="exact"/>
        <w:rPr>
          <w:rFonts w:ascii="Arial" w:cs="Arial" w:eastAsia="Arial" w:hAnsi="Arial"/>
          <w:sz w:val="16"/>
          <w:szCs w:val="16"/>
          <w:color w:val="auto"/>
        </w:rPr>
      </w:pPr>
    </w:p>
    <w:p>
      <w:pPr>
        <w:ind w:left="1920" w:hanging="1006"/>
        <w:spacing w:after="0"/>
        <w:tabs>
          <w:tab w:leader="none" w:pos="1920" w:val="left"/>
        </w:tabs>
        <w:numPr>
          <w:ilvl w:val="1"/>
          <w:numId w:val="10"/>
        </w:numPr>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Description of Registrant’s Securities</w:t>
        </w:r>
      </w:hyperlink>
    </w:p>
    <w:p>
      <w:pPr>
        <w:spacing w:after="0" w:line="171" w:lineRule="exact"/>
        <w:rPr>
          <w:rFonts w:ascii="Arial" w:cs="Arial" w:eastAsia="Arial" w:hAnsi="Arial"/>
          <w:sz w:val="18"/>
          <w:szCs w:val="18"/>
          <w:u w:val="single" w:color="auto"/>
          <w:color w:val="0000EE"/>
        </w:rPr>
      </w:pPr>
    </w:p>
    <w:p>
      <w:pPr>
        <w:ind w:left="920" w:hanging="897"/>
        <w:spacing w:after="0"/>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Material Contracts.</w:t>
      </w:r>
    </w:p>
    <w:p>
      <w:pPr>
        <w:spacing w:after="0" w:line="171" w:lineRule="exact"/>
        <w:rPr>
          <w:rFonts w:ascii="Arial" w:cs="Arial" w:eastAsia="Arial" w:hAnsi="Arial"/>
          <w:sz w:val="18"/>
          <w:szCs w:val="18"/>
          <w:color w:val="auto"/>
        </w:rPr>
      </w:pPr>
    </w:p>
    <w:p>
      <w:pPr>
        <w:ind w:left="1920" w:right="219" w:hanging="1006"/>
        <w:spacing w:after="0" w:line="235" w:lineRule="auto"/>
        <w:tabs>
          <w:tab w:leader="none" w:pos="19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Form of Indemnity Agreement entered into between the Registrant and each of its directors was filed as Exhibit 10(b) to a Registration Statement on Form S-1 (No. 33-69474) and the same is incorporated herein by reference.</w:t>
      </w:r>
    </w:p>
    <w:p>
      <w:pPr>
        <w:spacing w:after="0" w:line="131" w:lineRule="exact"/>
        <w:rPr>
          <w:rFonts w:ascii="Arial" w:cs="Arial" w:eastAsia="Arial" w:hAnsi="Arial"/>
          <w:sz w:val="18"/>
          <w:szCs w:val="18"/>
          <w:u w:val="single" w:color="auto"/>
          <w:color w:val="0000EE"/>
        </w:rPr>
      </w:pPr>
    </w:p>
    <w:tbl>
      <w:tblPr>
        <w:tblLayout w:type="fixed"/>
        <w:tblInd w:w="40" w:type="dxa"/>
        <w:tblCellMar>
          <w:top w:w="0" w:type="dxa"/>
          <w:left w:w="0" w:type="dxa"/>
          <w:bottom w:w="0" w:type="dxa"/>
          <w:right w:w="0" w:type="dxa"/>
        </w:tblCellMar>
      </w:tblPr>
      <w:tr>
        <w:trPr>
          <w:trHeight w:val="207"/>
        </w:trPr>
        <w:tc>
          <w:tcPr>
            <w:tcW w:w="1880" w:type="dxa"/>
            <w:vAlign w:val="bottom"/>
          </w:tcPr>
          <w:p>
            <w:pPr>
              <w:ind w:left="880"/>
              <w:spacing w:after="0"/>
              <w:rPr>
                <w:sz w:val="20"/>
                <w:szCs w:val="20"/>
                <w:color w:val="auto"/>
              </w:rPr>
            </w:pPr>
            <w:r>
              <w:rPr>
                <w:rFonts w:ascii="Arial" w:cs="Arial" w:eastAsia="Arial" w:hAnsi="Arial"/>
                <w:sz w:val="18"/>
                <w:szCs w:val="18"/>
                <w:color w:val="auto"/>
              </w:rPr>
              <w:t>*(b)</w:t>
            </w:r>
          </w:p>
        </w:tc>
        <w:tc>
          <w:tcPr>
            <w:tcW w:w="7040" w:type="dxa"/>
            <w:vAlign w:val="bottom"/>
            <w:gridSpan w:val="23"/>
          </w:tcPr>
          <w:p>
            <w:pPr>
              <w:spacing w:after="0"/>
              <w:rPr>
                <w:rFonts w:ascii="Arial" w:cs="Arial" w:eastAsia="Arial" w:hAnsi="Arial"/>
                <w:sz w:val="18"/>
                <w:szCs w:val="18"/>
                <w:color w:val="0000EE"/>
                <w:w w:val="93"/>
              </w:rPr>
            </w:pPr>
            <w:hyperlink r:id="rId41">
              <w:r>
                <w:rPr>
                  <w:rFonts w:ascii="Arial" w:cs="Arial" w:eastAsia="Arial" w:hAnsi="Arial"/>
                  <w:sz w:val="18"/>
                  <w:szCs w:val="18"/>
                  <w:color w:val="0000EE"/>
                  <w:w w:val="93"/>
                </w:rPr>
                <w:t>Performance Bonus Plan Summary Plan Description was filed as Exhibit 10(f) to a Form 10-K,</w:t>
              </w:r>
            </w:hyperlink>
          </w:p>
        </w:tc>
      </w:tr>
      <w:tr>
        <w:trPr>
          <w:trHeight w:val="169"/>
        </w:trPr>
        <w:tc>
          <w:tcPr>
            <w:tcW w:w="1880" w:type="dxa"/>
            <w:vAlign w:val="bottom"/>
          </w:tcPr>
          <w:p>
            <w:pPr>
              <w:spacing w:after="0"/>
              <w:rPr>
                <w:sz w:val="14"/>
                <w:szCs w:val="14"/>
                <w:color w:val="auto"/>
              </w:rPr>
            </w:pPr>
          </w:p>
        </w:tc>
        <w:tc>
          <w:tcPr>
            <w:tcW w:w="6860" w:type="dxa"/>
            <w:vAlign w:val="bottom"/>
            <w:tcBorders>
              <w:top w:val="single" w:sz="8" w:color="0000EE"/>
            </w:tcBorders>
            <w:gridSpan w:val="19"/>
          </w:tcPr>
          <w:p>
            <w:pPr>
              <w:spacing w:after="0" w:line="169" w:lineRule="exact"/>
              <w:rPr>
                <w:rFonts w:ascii="Arial" w:cs="Arial" w:eastAsia="Arial" w:hAnsi="Arial"/>
                <w:sz w:val="18"/>
                <w:szCs w:val="18"/>
                <w:color w:val="0000EE"/>
                <w:w w:val="91"/>
              </w:rPr>
            </w:pPr>
            <w:hyperlink r:id="rId41">
              <w:r>
                <w:rPr>
                  <w:rFonts w:ascii="Arial" w:cs="Arial" w:eastAsia="Arial" w:hAnsi="Arial"/>
                  <w:sz w:val="18"/>
                  <w:szCs w:val="18"/>
                  <w:color w:val="0000EE"/>
                  <w:w w:val="91"/>
                </w:rPr>
                <w:t>Annual Report for the year ended December 25, 2010 (Commission file No.: 0-22684) and the</w:t>
              </w:r>
            </w:hyperlink>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9"/>
        </w:trPr>
        <w:tc>
          <w:tcPr>
            <w:tcW w:w="1880" w:type="dxa"/>
            <w:vAlign w:val="bottom"/>
          </w:tcPr>
          <w:p>
            <w:pPr>
              <w:spacing w:after="0"/>
              <w:rPr>
                <w:sz w:val="14"/>
                <w:szCs w:val="14"/>
                <w:color w:val="auto"/>
              </w:rPr>
            </w:pPr>
          </w:p>
        </w:tc>
        <w:tc>
          <w:tcPr>
            <w:tcW w:w="6800" w:type="dxa"/>
            <w:vAlign w:val="bottom"/>
            <w:tcBorders>
              <w:top w:val="single" w:sz="8" w:color="0000EE"/>
            </w:tcBorders>
            <w:gridSpan w:val="16"/>
          </w:tcPr>
          <w:p>
            <w:pPr>
              <w:spacing w:after="0" w:line="169" w:lineRule="exact"/>
              <w:rPr>
                <w:rFonts w:ascii="Arial" w:cs="Arial" w:eastAsia="Arial" w:hAnsi="Arial"/>
                <w:sz w:val="18"/>
                <w:szCs w:val="18"/>
                <w:color w:val="0000EE"/>
              </w:rPr>
            </w:pPr>
            <w:hyperlink r:id="rId41">
              <w:r>
                <w:rPr>
                  <w:rFonts w:ascii="Arial" w:cs="Arial" w:eastAsia="Arial" w:hAnsi="Arial"/>
                  <w:sz w:val="18"/>
                  <w:szCs w:val="18"/>
                  <w:color w:val="0000EE"/>
                </w:rPr>
                <w:t>same is incorporated herein by reference.</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0"/>
        </w:trPr>
        <w:tc>
          <w:tcPr>
            <w:tcW w:w="18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8"/>
        </w:trPr>
        <w:tc>
          <w:tcPr>
            <w:tcW w:w="1880" w:type="dxa"/>
            <w:vAlign w:val="bottom"/>
          </w:tcPr>
          <w:p>
            <w:pPr>
              <w:ind w:left="880"/>
              <w:spacing w:after="0"/>
              <w:rPr>
                <w:sz w:val="20"/>
                <w:szCs w:val="20"/>
                <w:color w:val="auto"/>
              </w:rPr>
            </w:pPr>
            <w:r>
              <w:rPr>
                <w:rFonts w:ascii="Arial" w:cs="Arial" w:eastAsia="Arial" w:hAnsi="Arial"/>
                <w:sz w:val="18"/>
                <w:szCs w:val="18"/>
                <w:color w:val="auto"/>
              </w:rPr>
              <w:t>*(c)</w:t>
            </w:r>
          </w:p>
        </w:tc>
        <w:tc>
          <w:tcPr>
            <w:tcW w:w="7040" w:type="dxa"/>
            <w:vAlign w:val="bottom"/>
            <w:gridSpan w:val="23"/>
          </w:tcPr>
          <w:p>
            <w:pPr>
              <w:spacing w:after="0"/>
              <w:rPr>
                <w:rFonts w:ascii="Arial" w:cs="Arial" w:eastAsia="Arial" w:hAnsi="Arial"/>
                <w:sz w:val="18"/>
                <w:szCs w:val="18"/>
                <w:color w:val="0000EE"/>
                <w:w w:val="91"/>
              </w:rPr>
            </w:pPr>
            <w:hyperlink r:id="rId42">
              <w:r>
                <w:rPr>
                  <w:rFonts w:ascii="Arial" w:cs="Arial" w:eastAsia="Arial" w:hAnsi="Arial"/>
                  <w:sz w:val="18"/>
                  <w:szCs w:val="18"/>
                  <w:color w:val="0000EE"/>
                  <w:w w:val="91"/>
                </w:rPr>
                <w:t>Universal Forest Products, Inc. Deferred Compensation Plan as amended and restated effective</w:t>
              </w:r>
            </w:hyperlink>
          </w:p>
        </w:tc>
      </w:tr>
      <w:tr>
        <w:trPr>
          <w:trHeight w:val="169"/>
        </w:trPr>
        <w:tc>
          <w:tcPr>
            <w:tcW w:w="1880" w:type="dxa"/>
            <w:vAlign w:val="bottom"/>
          </w:tcPr>
          <w:p>
            <w:pPr>
              <w:spacing w:after="0"/>
              <w:rPr>
                <w:sz w:val="14"/>
                <w:szCs w:val="14"/>
                <w:color w:val="auto"/>
              </w:rPr>
            </w:pPr>
          </w:p>
        </w:tc>
        <w:tc>
          <w:tcPr>
            <w:tcW w:w="6820" w:type="dxa"/>
            <w:vAlign w:val="bottom"/>
            <w:tcBorders>
              <w:top w:val="single" w:sz="8" w:color="0000EE"/>
            </w:tcBorders>
            <w:gridSpan w:val="17"/>
          </w:tcPr>
          <w:p>
            <w:pPr>
              <w:spacing w:after="0" w:line="169" w:lineRule="exact"/>
              <w:rPr>
                <w:rFonts w:ascii="Arial" w:cs="Arial" w:eastAsia="Arial" w:hAnsi="Arial"/>
                <w:sz w:val="18"/>
                <w:szCs w:val="18"/>
                <w:color w:val="0000EE"/>
                <w:w w:val="95"/>
              </w:rPr>
            </w:pPr>
            <w:hyperlink r:id="rId42">
              <w:r>
                <w:rPr>
                  <w:rFonts w:ascii="Arial" w:cs="Arial" w:eastAsia="Arial" w:hAnsi="Arial"/>
                  <w:sz w:val="18"/>
                  <w:szCs w:val="18"/>
                  <w:color w:val="0000EE"/>
                  <w:w w:val="95"/>
                </w:rPr>
                <w:t>June 1, 2011 was filed as Exhibit 10(g) to a Form 10-K, Annual Report for the year ended</w:t>
              </w:r>
            </w:hyperlink>
          </w:p>
        </w:tc>
        <w:tc>
          <w:tcPr>
            <w:tcW w:w="2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0"/>
        </w:trPr>
        <w:tc>
          <w:tcPr>
            <w:tcW w:w="18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23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9"/>
        </w:trPr>
        <w:tc>
          <w:tcPr>
            <w:tcW w:w="1880" w:type="dxa"/>
            <w:vAlign w:val="bottom"/>
          </w:tcPr>
          <w:p>
            <w:pPr>
              <w:spacing w:after="0"/>
              <w:rPr>
                <w:sz w:val="14"/>
                <w:szCs w:val="14"/>
                <w:color w:val="auto"/>
              </w:rPr>
            </w:pPr>
          </w:p>
        </w:tc>
        <w:tc>
          <w:tcPr>
            <w:tcW w:w="7040" w:type="dxa"/>
            <w:vAlign w:val="bottom"/>
            <w:gridSpan w:val="23"/>
          </w:tcPr>
          <w:p>
            <w:pPr>
              <w:spacing w:after="0" w:line="169" w:lineRule="exact"/>
              <w:rPr>
                <w:rFonts w:ascii="Arial" w:cs="Arial" w:eastAsia="Arial" w:hAnsi="Arial"/>
                <w:sz w:val="18"/>
                <w:szCs w:val="18"/>
                <w:color w:val="0000EE"/>
                <w:w w:val="96"/>
              </w:rPr>
            </w:pPr>
            <w:hyperlink r:id="rId42">
              <w:r>
                <w:rPr>
                  <w:rFonts w:ascii="Arial" w:cs="Arial" w:eastAsia="Arial" w:hAnsi="Arial"/>
                  <w:sz w:val="18"/>
                  <w:szCs w:val="18"/>
                  <w:color w:val="0000EE"/>
                  <w:w w:val="96"/>
                </w:rPr>
                <w:t>December 31, 2011 (Commission file No.: 0-22684) and the same is incorporated herein by</w:t>
              </w:r>
            </w:hyperlink>
          </w:p>
        </w:tc>
      </w:tr>
      <w:tr>
        <w:trPr>
          <w:trHeight w:val="169"/>
        </w:trPr>
        <w:tc>
          <w:tcPr>
            <w:tcW w:w="1880" w:type="dxa"/>
            <w:vAlign w:val="bottom"/>
          </w:tcPr>
          <w:p>
            <w:pPr>
              <w:spacing w:after="0"/>
              <w:rPr>
                <w:sz w:val="14"/>
                <w:szCs w:val="14"/>
                <w:color w:val="auto"/>
              </w:rPr>
            </w:pPr>
          </w:p>
        </w:tc>
        <w:tc>
          <w:tcPr>
            <w:tcW w:w="6580" w:type="dxa"/>
            <w:vAlign w:val="bottom"/>
            <w:tcBorders>
              <w:top w:val="single" w:sz="8" w:color="0000EE"/>
            </w:tcBorders>
            <w:gridSpan w:val="9"/>
          </w:tcPr>
          <w:p>
            <w:pPr>
              <w:spacing w:after="0" w:line="169" w:lineRule="exact"/>
              <w:rPr>
                <w:rFonts w:ascii="Arial" w:cs="Arial" w:eastAsia="Arial" w:hAnsi="Arial"/>
                <w:sz w:val="18"/>
                <w:szCs w:val="18"/>
                <w:color w:val="0000EE"/>
              </w:rPr>
            </w:pPr>
            <w:hyperlink r:id="rId42">
              <w:r>
                <w:rPr>
                  <w:rFonts w:ascii="Arial" w:cs="Arial" w:eastAsia="Arial" w:hAnsi="Arial"/>
                  <w:sz w:val="18"/>
                  <w:szCs w:val="18"/>
                  <w:color w:val="0000EE"/>
                </w:rPr>
                <w:t>reference.</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12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0"/>
        </w:trPr>
        <w:tc>
          <w:tcPr>
            <w:tcW w:w="18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8"/>
        </w:trPr>
        <w:tc>
          <w:tcPr>
            <w:tcW w:w="1880" w:type="dxa"/>
            <w:vAlign w:val="bottom"/>
          </w:tcPr>
          <w:p>
            <w:pPr>
              <w:ind w:left="880"/>
              <w:spacing w:after="0"/>
              <w:rPr>
                <w:sz w:val="20"/>
                <w:szCs w:val="20"/>
                <w:color w:val="auto"/>
              </w:rPr>
            </w:pPr>
            <w:r>
              <w:rPr>
                <w:rFonts w:ascii="Arial" w:cs="Arial" w:eastAsia="Arial" w:hAnsi="Arial"/>
                <w:sz w:val="18"/>
                <w:szCs w:val="18"/>
                <w:color w:val="auto"/>
              </w:rPr>
              <w:t>*(d)</w:t>
            </w:r>
          </w:p>
        </w:tc>
        <w:tc>
          <w:tcPr>
            <w:tcW w:w="7040" w:type="dxa"/>
            <w:vAlign w:val="bottom"/>
            <w:gridSpan w:val="23"/>
          </w:tcPr>
          <w:p>
            <w:pPr>
              <w:spacing w:after="0"/>
              <w:rPr>
                <w:rFonts w:ascii="Arial" w:cs="Arial" w:eastAsia="Arial" w:hAnsi="Arial"/>
                <w:sz w:val="18"/>
                <w:szCs w:val="18"/>
                <w:color w:val="0000EE"/>
                <w:w w:val="95"/>
              </w:rPr>
            </w:pPr>
            <w:hyperlink r:id="rId43">
              <w:r>
                <w:rPr>
                  <w:rFonts w:ascii="Arial" w:cs="Arial" w:eastAsia="Arial" w:hAnsi="Arial"/>
                  <w:sz w:val="18"/>
                  <w:szCs w:val="18"/>
                  <w:color w:val="0000EE"/>
                  <w:w w:val="95"/>
                </w:rPr>
                <w:t>Executive Stock Grant Program was filed as Exhibit 10(h) to a Form 10-K, Annual Report for</w:t>
              </w:r>
            </w:hyperlink>
          </w:p>
        </w:tc>
      </w:tr>
      <w:tr>
        <w:trPr>
          <w:trHeight w:val="169"/>
        </w:trPr>
        <w:tc>
          <w:tcPr>
            <w:tcW w:w="1880" w:type="dxa"/>
            <w:vAlign w:val="bottom"/>
          </w:tcPr>
          <w:p>
            <w:pPr>
              <w:spacing w:after="0"/>
              <w:rPr>
                <w:sz w:val="14"/>
                <w:szCs w:val="14"/>
                <w:color w:val="auto"/>
              </w:rPr>
            </w:pPr>
          </w:p>
        </w:tc>
        <w:tc>
          <w:tcPr>
            <w:tcW w:w="6780" w:type="dxa"/>
            <w:vAlign w:val="bottom"/>
            <w:tcBorders>
              <w:top w:val="single" w:sz="8" w:color="0000EE"/>
              <w:bottom w:val="single" w:sz="8" w:color="0000EE"/>
            </w:tcBorders>
            <w:gridSpan w:val="15"/>
          </w:tcPr>
          <w:p>
            <w:pPr>
              <w:spacing w:after="0" w:line="169" w:lineRule="exact"/>
              <w:rPr>
                <w:rFonts w:ascii="Arial" w:cs="Arial" w:eastAsia="Arial" w:hAnsi="Arial"/>
                <w:sz w:val="18"/>
                <w:szCs w:val="18"/>
                <w:color w:val="0000EE"/>
                <w:w w:val="87"/>
              </w:rPr>
            </w:pPr>
            <w:hyperlink r:id="rId43">
              <w:r>
                <w:rPr>
                  <w:rFonts w:ascii="Arial" w:cs="Arial" w:eastAsia="Arial" w:hAnsi="Arial"/>
                  <w:sz w:val="18"/>
                  <w:szCs w:val="18"/>
                  <w:color w:val="0000EE"/>
                  <w:w w:val="87"/>
                </w:rPr>
                <w:t>the year ended December 31, 2011 (Commission file No.: 0-22684) and the same is incorporated</w:t>
              </w:r>
            </w:hyperlink>
          </w:p>
        </w:tc>
        <w:tc>
          <w:tcPr>
            <w:tcW w:w="60" w:type="dxa"/>
            <w:vAlign w:val="bottom"/>
            <w:tcBorders>
              <w:bottom w:val="single" w:sz="8" w:color="0000EE"/>
            </w:tcBorders>
            <w:gridSpan w:val="3"/>
          </w:tcPr>
          <w:p>
            <w:pPr>
              <w:spacing w:after="0"/>
              <w:rPr>
                <w:sz w:val="14"/>
                <w:szCs w:val="14"/>
                <w:color w:val="auto"/>
              </w:rPr>
            </w:pPr>
          </w:p>
        </w:tc>
        <w:tc>
          <w:tcPr>
            <w:tcW w:w="120" w:type="dxa"/>
            <w:vAlign w:val="bottom"/>
            <w:tcBorders>
              <w:bottom w:val="single" w:sz="8" w:color="0000EE"/>
            </w:tcBorders>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9"/>
        </w:trPr>
        <w:tc>
          <w:tcPr>
            <w:tcW w:w="1880" w:type="dxa"/>
            <w:vAlign w:val="bottom"/>
          </w:tcPr>
          <w:p>
            <w:pPr>
              <w:spacing w:after="0"/>
              <w:rPr>
                <w:sz w:val="14"/>
                <w:szCs w:val="14"/>
                <w:color w:val="auto"/>
              </w:rPr>
            </w:pPr>
          </w:p>
        </w:tc>
        <w:tc>
          <w:tcPr>
            <w:tcW w:w="6960" w:type="dxa"/>
            <w:vAlign w:val="bottom"/>
            <w:gridSpan w:val="20"/>
          </w:tcPr>
          <w:p>
            <w:pPr>
              <w:spacing w:after="0" w:line="169" w:lineRule="exact"/>
              <w:rPr>
                <w:rFonts w:ascii="Arial" w:cs="Arial" w:eastAsia="Arial" w:hAnsi="Arial"/>
                <w:sz w:val="18"/>
                <w:szCs w:val="18"/>
                <w:color w:val="0000EE"/>
              </w:rPr>
            </w:pPr>
            <w:hyperlink r:id="rId43">
              <w:r>
                <w:rPr>
                  <w:rFonts w:ascii="Arial" w:cs="Arial" w:eastAsia="Arial" w:hAnsi="Arial"/>
                  <w:sz w:val="18"/>
                  <w:szCs w:val="18"/>
                  <w:color w:val="0000EE"/>
                </w:rPr>
                <w:t>herein by reference.</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0"/>
        </w:trPr>
        <w:tc>
          <w:tcPr>
            <w:tcW w:w="18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8"/>
        </w:trPr>
        <w:tc>
          <w:tcPr>
            <w:tcW w:w="1880" w:type="dxa"/>
            <w:vAlign w:val="bottom"/>
          </w:tcPr>
          <w:p>
            <w:pPr>
              <w:ind w:left="880"/>
              <w:spacing w:after="0"/>
              <w:rPr>
                <w:sz w:val="20"/>
                <w:szCs w:val="20"/>
                <w:color w:val="auto"/>
              </w:rPr>
            </w:pPr>
            <w:r>
              <w:rPr>
                <w:rFonts w:ascii="Arial" w:cs="Arial" w:eastAsia="Arial" w:hAnsi="Arial"/>
                <w:sz w:val="18"/>
                <w:szCs w:val="18"/>
                <w:color w:val="auto"/>
              </w:rPr>
              <w:t>(e)(2)</w:t>
            </w:r>
          </w:p>
        </w:tc>
        <w:tc>
          <w:tcPr>
            <w:tcW w:w="7040" w:type="dxa"/>
            <w:vAlign w:val="bottom"/>
            <w:gridSpan w:val="23"/>
          </w:tcPr>
          <w:p>
            <w:pPr>
              <w:spacing w:after="0"/>
              <w:rPr>
                <w:rFonts w:ascii="Arial" w:cs="Arial" w:eastAsia="Arial" w:hAnsi="Arial"/>
                <w:sz w:val="18"/>
                <w:szCs w:val="18"/>
                <w:color w:val="0000EE"/>
                <w:w w:val="94"/>
              </w:rPr>
            </w:pPr>
            <w:hyperlink r:id="rId44">
              <w:r>
                <w:rPr>
                  <w:rFonts w:ascii="Arial" w:cs="Arial" w:eastAsia="Arial" w:hAnsi="Arial"/>
                  <w:sz w:val="18"/>
                  <w:szCs w:val="18"/>
                  <w:color w:val="0000EE"/>
                  <w:w w:val="94"/>
                </w:rPr>
                <w:t>Credit Agreement dated November 1, 2018 was filed as Exhibit 10(i)(2) to a Form 8-K Current</w:t>
              </w:r>
            </w:hyperlink>
          </w:p>
        </w:tc>
      </w:tr>
      <w:tr>
        <w:trPr>
          <w:trHeight w:val="224"/>
        </w:trPr>
        <w:tc>
          <w:tcPr>
            <w:tcW w:w="1880" w:type="dxa"/>
            <w:vAlign w:val="bottom"/>
          </w:tcPr>
          <w:p>
            <w:pPr>
              <w:spacing w:after="0"/>
              <w:rPr>
                <w:sz w:val="19"/>
                <w:szCs w:val="19"/>
                <w:color w:val="auto"/>
              </w:rPr>
            </w:pPr>
          </w:p>
        </w:tc>
        <w:tc>
          <w:tcPr>
            <w:tcW w:w="6840" w:type="dxa"/>
            <w:vAlign w:val="bottom"/>
            <w:tcBorders>
              <w:top w:val="single" w:sz="8" w:color="0000EE"/>
            </w:tcBorders>
            <w:gridSpan w:val="18"/>
          </w:tcPr>
          <w:p>
            <w:pPr>
              <w:spacing w:after="0"/>
              <w:rPr>
                <w:rFonts w:ascii="Arial" w:cs="Arial" w:eastAsia="Arial" w:hAnsi="Arial"/>
                <w:sz w:val="18"/>
                <w:szCs w:val="18"/>
                <w:u w:val="single" w:color="auto"/>
                <w:color w:val="0000EE"/>
              </w:rPr>
            </w:pPr>
            <w:hyperlink r:id="rId44">
              <w:r>
                <w:rPr>
                  <w:rFonts w:ascii="Arial" w:cs="Arial" w:eastAsia="Arial" w:hAnsi="Arial"/>
                  <w:sz w:val="18"/>
                  <w:szCs w:val="18"/>
                  <w:u w:val="single" w:color="auto"/>
                  <w:color w:val="0000EE"/>
                </w:rPr>
                <w:t>Report dated November 2, 2018 and the same is incorporated herein by reference.</w:t>
              </w:r>
            </w:hyperlink>
          </w:p>
        </w:tc>
        <w:tc>
          <w:tcPr>
            <w:tcW w:w="140" w:type="dxa"/>
            <w:vAlign w:val="bottom"/>
            <w:gridSpan w:val="3"/>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323"/>
        </w:trPr>
        <w:tc>
          <w:tcPr>
            <w:tcW w:w="1880" w:type="dxa"/>
            <w:vAlign w:val="bottom"/>
          </w:tcPr>
          <w:p>
            <w:pPr>
              <w:ind w:left="880"/>
              <w:spacing w:after="0"/>
              <w:rPr>
                <w:sz w:val="20"/>
                <w:szCs w:val="20"/>
                <w:color w:val="auto"/>
              </w:rPr>
            </w:pPr>
            <w:r>
              <w:rPr>
                <w:rFonts w:ascii="Arial" w:cs="Arial" w:eastAsia="Arial" w:hAnsi="Arial"/>
                <w:sz w:val="18"/>
                <w:szCs w:val="18"/>
                <w:color w:val="auto"/>
              </w:rPr>
              <w:t>(f)(1)</w:t>
            </w:r>
          </w:p>
        </w:tc>
        <w:tc>
          <w:tcPr>
            <w:tcW w:w="7040" w:type="dxa"/>
            <w:vAlign w:val="bottom"/>
            <w:gridSpan w:val="23"/>
          </w:tcPr>
          <w:p>
            <w:pPr>
              <w:spacing w:after="0"/>
              <w:rPr>
                <w:rFonts w:ascii="Arial" w:cs="Arial" w:eastAsia="Arial" w:hAnsi="Arial"/>
                <w:sz w:val="18"/>
                <w:szCs w:val="18"/>
                <w:color w:val="0000EE"/>
                <w:w w:val="94"/>
              </w:rPr>
            </w:pPr>
            <w:hyperlink r:id="rId45">
              <w:r>
                <w:rPr>
                  <w:rFonts w:ascii="Arial" w:cs="Arial" w:eastAsia="Arial" w:hAnsi="Arial"/>
                  <w:sz w:val="18"/>
                  <w:szCs w:val="18"/>
                  <w:color w:val="0000EE"/>
                  <w:w w:val="94"/>
                </w:rPr>
                <w:t>Note Purchase Agreement dated December 17, 2012 was filed as Exhibit 10(k) to a Form 8-K</w:t>
              </w:r>
            </w:hyperlink>
          </w:p>
        </w:tc>
      </w:tr>
      <w:tr>
        <w:trPr>
          <w:trHeight w:val="169"/>
        </w:trPr>
        <w:tc>
          <w:tcPr>
            <w:tcW w:w="1880" w:type="dxa"/>
            <w:vAlign w:val="bottom"/>
          </w:tcPr>
          <w:p>
            <w:pPr>
              <w:spacing w:after="0"/>
              <w:rPr>
                <w:sz w:val="14"/>
                <w:szCs w:val="14"/>
                <w:color w:val="auto"/>
              </w:rPr>
            </w:pPr>
          </w:p>
        </w:tc>
        <w:tc>
          <w:tcPr>
            <w:tcW w:w="6760" w:type="dxa"/>
            <w:vAlign w:val="bottom"/>
            <w:tcBorders>
              <w:top w:val="single" w:sz="8" w:color="0000EE"/>
            </w:tcBorders>
            <w:gridSpan w:val="14"/>
          </w:tcPr>
          <w:p>
            <w:pPr>
              <w:spacing w:after="0" w:line="169" w:lineRule="exact"/>
              <w:rPr>
                <w:rFonts w:ascii="Arial" w:cs="Arial" w:eastAsia="Arial" w:hAnsi="Arial"/>
                <w:sz w:val="18"/>
                <w:szCs w:val="18"/>
                <w:color w:val="0000EE"/>
                <w:w w:val="93"/>
              </w:rPr>
            </w:pPr>
            <w:hyperlink r:id="rId45">
              <w:r>
                <w:rPr>
                  <w:rFonts w:ascii="Arial" w:cs="Arial" w:eastAsia="Arial" w:hAnsi="Arial"/>
                  <w:sz w:val="18"/>
                  <w:szCs w:val="18"/>
                  <w:color w:val="0000EE"/>
                  <w:w w:val="93"/>
                </w:rPr>
                <w:t>Current Report dated December 17, 2012 (Commission file No.: 0-22684) and the same is</w:t>
              </w:r>
            </w:hyperlink>
          </w:p>
        </w:tc>
        <w:tc>
          <w:tcPr>
            <w:tcW w:w="220" w:type="dxa"/>
            <w:vAlign w:val="bottom"/>
            <w:gridSpan w:val="7"/>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9"/>
        </w:trPr>
        <w:tc>
          <w:tcPr>
            <w:tcW w:w="1880" w:type="dxa"/>
            <w:vAlign w:val="bottom"/>
          </w:tcPr>
          <w:p>
            <w:pPr>
              <w:spacing w:after="0"/>
              <w:rPr>
                <w:sz w:val="14"/>
                <w:szCs w:val="14"/>
                <w:color w:val="auto"/>
              </w:rPr>
            </w:pPr>
          </w:p>
        </w:tc>
        <w:tc>
          <w:tcPr>
            <w:tcW w:w="6480" w:type="dxa"/>
            <w:vAlign w:val="bottom"/>
            <w:tcBorders>
              <w:top w:val="single" w:sz="8" w:color="0000EE"/>
            </w:tcBorders>
            <w:gridSpan w:val="8"/>
          </w:tcPr>
          <w:p>
            <w:pPr>
              <w:spacing w:after="0" w:line="169" w:lineRule="exact"/>
              <w:rPr>
                <w:rFonts w:ascii="Arial" w:cs="Arial" w:eastAsia="Arial" w:hAnsi="Arial"/>
                <w:sz w:val="18"/>
                <w:szCs w:val="18"/>
                <w:color w:val="0000EE"/>
              </w:rPr>
            </w:pPr>
            <w:hyperlink r:id="rId45">
              <w:r>
                <w:rPr>
                  <w:rFonts w:ascii="Arial" w:cs="Arial" w:eastAsia="Arial" w:hAnsi="Arial"/>
                  <w:sz w:val="18"/>
                  <w:szCs w:val="18"/>
                  <w:color w:val="0000EE"/>
                </w:rPr>
                <w:t>incorporated herein by reference.</w:t>
              </w:r>
            </w:hyperlink>
          </w:p>
        </w:tc>
        <w:tc>
          <w:tcPr>
            <w:tcW w:w="12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gridSpan w:val="8"/>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0"/>
        </w:trPr>
        <w:tc>
          <w:tcPr>
            <w:tcW w:w="18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980" w:type="dxa"/>
            <w:vAlign w:val="bottom"/>
            <w:gridSpan w:val="3"/>
            <w:shd w:val="clear" w:color="auto" w:fill="0000EE"/>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25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8"/>
        </w:trPr>
        <w:tc>
          <w:tcPr>
            <w:tcW w:w="1880" w:type="dxa"/>
            <w:vAlign w:val="bottom"/>
          </w:tcPr>
          <w:p>
            <w:pPr>
              <w:ind w:left="880"/>
              <w:spacing w:after="0"/>
              <w:rPr>
                <w:sz w:val="20"/>
                <w:szCs w:val="20"/>
                <w:color w:val="auto"/>
              </w:rPr>
            </w:pPr>
            <w:r>
              <w:rPr>
                <w:rFonts w:ascii="Arial" w:cs="Arial" w:eastAsia="Arial" w:hAnsi="Arial"/>
                <w:sz w:val="18"/>
                <w:szCs w:val="18"/>
                <w:color w:val="auto"/>
              </w:rPr>
              <w:t>(g)(2)</w:t>
            </w:r>
          </w:p>
        </w:tc>
        <w:tc>
          <w:tcPr>
            <w:tcW w:w="7040" w:type="dxa"/>
            <w:vAlign w:val="bottom"/>
            <w:gridSpan w:val="23"/>
          </w:tcPr>
          <w:p>
            <w:pPr>
              <w:spacing w:after="0"/>
              <w:rPr>
                <w:rFonts w:ascii="Arial" w:cs="Arial" w:eastAsia="Arial" w:hAnsi="Arial"/>
                <w:sz w:val="18"/>
                <w:szCs w:val="18"/>
                <w:color w:val="0000EE"/>
                <w:w w:val="92"/>
              </w:rPr>
            </w:pPr>
            <w:hyperlink r:id="rId46">
              <w:r>
                <w:rPr>
                  <w:rFonts w:ascii="Arial" w:cs="Arial" w:eastAsia="Arial" w:hAnsi="Arial"/>
                  <w:sz w:val="18"/>
                  <w:szCs w:val="18"/>
                  <w:color w:val="0000EE"/>
                  <w:w w:val="92"/>
                </w:rPr>
                <w:t>Note Purchase Agreements for Series C and D Senior Notes dated June 14, 2018, was filed as</w:t>
              </w:r>
            </w:hyperlink>
          </w:p>
        </w:tc>
      </w:tr>
      <w:tr>
        <w:trPr>
          <w:trHeight w:val="169"/>
        </w:trPr>
        <w:tc>
          <w:tcPr>
            <w:tcW w:w="1880" w:type="dxa"/>
            <w:vAlign w:val="bottom"/>
          </w:tcPr>
          <w:p>
            <w:pPr>
              <w:spacing w:after="0"/>
              <w:rPr>
                <w:sz w:val="14"/>
                <w:szCs w:val="14"/>
                <w:color w:val="auto"/>
              </w:rPr>
            </w:pPr>
          </w:p>
        </w:tc>
        <w:tc>
          <w:tcPr>
            <w:tcW w:w="6740" w:type="dxa"/>
            <w:vAlign w:val="bottom"/>
            <w:tcBorders>
              <w:top w:val="single" w:sz="8" w:color="0000EE"/>
            </w:tcBorders>
            <w:gridSpan w:val="13"/>
          </w:tcPr>
          <w:p>
            <w:pPr>
              <w:spacing w:after="0" w:line="169" w:lineRule="exact"/>
              <w:rPr>
                <w:rFonts w:ascii="Arial" w:cs="Arial" w:eastAsia="Arial" w:hAnsi="Arial"/>
                <w:sz w:val="18"/>
                <w:szCs w:val="18"/>
                <w:color w:val="0000EE"/>
                <w:w w:val="92"/>
              </w:rPr>
            </w:pPr>
            <w:hyperlink r:id="rId46">
              <w:r>
                <w:rPr>
                  <w:rFonts w:ascii="Arial" w:cs="Arial" w:eastAsia="Arial" w:hAnsi="Arial"/>
                  <w:sz w:val="18"/>
                  <w:szCs w:val="18"/>
                  <w:color w:val="0000EE"/>
                  <w:w w:val="92"/>
                </w:rPr>
                <w:t>Exhibit 10(k)(2) to Registrant’s Form 10-K, Annual Report for the year ended December 29,</w:t>
              </w:r>
            </w:hyperlink>
          </w:p>
        </w:tc>
        <w:tc>
          <w:tcPr>
            <w:tcW w:w="240" w:type="dxa"/>
            <w:vAlign w:val="bottom"/>
            <w:gridSpan w:val="8"/>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24"/>
        </w:trPr>
        <w:tc>
          <w:tcPr>
            <w:tcW w:w="1880" w:type="dxa"/>
            <w:vAlign w:val="bottom"/>
          </w:tcPr>
          <w:p>
            <w:pPr>
              <w:spacing w:after="0"/>
              <w:rPr>
                <w:sz w:val="19"/>
                <w:szCs w:val="19"/>
                <w:color w:val="auto"/>
              </w:rPr>
            </w:pPr>
          </w:p>
        </w:tc>
        <w:tc>
          <w:tcPr>
            <w:tcW w:w="6660" w:type="dxa"/>
            <w:vAlign w:val="bottom"/>
            <w:tcBorders>
              <w:top w:val="single" w:sz="8" w:color="0000EE"/>
            </w:tcBorders>
            <w:gridSpan w:val="12"/>
          </w:tcPr>
          <w:p>
            <w:pPr>
              <w:spacing w:after="0"/>
              <w:rPr>
                <w:rFonts w:ascii="Arial" w:cs="Arial" w:eastAsia="Arial" w:hAnsi="Arial"/>
                <w:sz w:val="18"/>
                <w:szCs w:val="18"/>
                <w:u w:val="single" w:color="auto"/>
                <w:color w:val="0000EE"/>
                <w:w w:val="95"/>
              </w:rPr>
            </w:pPr>
            <w:hyperlink r:id="rId46">
              <w:r>
                <w:rPr>
                  <w:rFonts w:ascii="Arial" w:cs="Arial" w:eastAsia="Arial" w:hAnsi="Arial"/>
                  <w:sz w:val="18"/>
                  <w:szCs w:val="18"/>
                  <w:u w:val="single" w:color="auto"/>
                  <w:color w:val="0000EE"/>
                  <w:w w:val="95"/>
                </w:rPr>
                <w:t>2018 (Commission file No.: 0-22684) and the same is incorporated herein by reference.</w:t>
              </w:r>
            </w:hyperlink>
          </w:p>
        </w:tc>
        <w:tc>
          <w:tcPr>
            <w:tcW w:w="320" w:type="dxa"/>
            <w:vAlign w:val="bottom"/>
            <w:gridSpan w:val="9"/>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323"/>
        </w:trPr>
        <w:tc>
          <w:tcPr>
            <w:tcW w:w="1880" w:type="dxa"/>
            <w:vAlign w:val="bottom"/>
          </w:tcPr>
          <w:p>
            <w:pPr>
              <w:ind w:left="880"/>
              <w:spacing w:after="0"/>
              <w:rPr>
                <w:sz w:val="20"/>
                <w:szCs w:val="20"/>
                <w:color w:val="auto"/>
              </w:rPr>
            </w:pPr>
            <w:r>
              <w:rPr>
                <w:rFonts w:ascii="Arial" w:cs="Arial" w:eastAsia="Arial" w:hAnsi="Arial"/>
                <w:sz w:val="18"/>
                <w:szCs w:val="18"/>
                <w:color w:val="auto"/>
              </w:rPr>
              <w:t>*(h)</w:t>
            </w:r>
          </w:p>
        </w:tc>
        <w:tc>
          <w:tcPr>
            <w:tcW w:w="6980" w:type="dxa"/>
            <w:vAlign w:val="bottom"/>
            <w:tcBorders>
              <w:bottom w:val="single" w:sz="8" w:color="0000EE"/>
            </w:tcBorders>
            <w:gridSpan w:val="21"/>
          </w:tcPr>
          <w:p>
            <w:pPr>
              <w:spacing w:after="0"/>
              <w:rPr>
                <w:rFonts w:ascii="Arial" w:cs="Arial" w:eastAsia="Arial" w:hAnsi="Arial"/>
                <w:sz w:val="18"/>
                <w:szCs w:val="18"/>
                <w:color w:val="0000EE"/>
                <w:w w:val="90"/>
              </w:rPr>
            </w:pPr>
            <w:hyperlink r:id="rId47">
              <w:r>
                <w:rPr>
                  <w:rFonts w:ascii="Arial" w:cs="Arial" w:eastAsia="Arial" w:hAnsi="Arial"/>
                  <w:sz w:val="18"/>
                  <w:szCs w:val="18"/>
                  <w:color w:val="0000EE"/>
                  <w:w w:val="90"/>
                </w:rPr>
                <w:t>Universal Forest Products, Inc. Employee Stock Purchase Plan is incorporated by reference from</w:t>
              </w:r>
            </w:hyperlink>
          </w:p>
        </w:tc>
        <w:tc>
          <w:tcPr>
            <w:tcW w:w="60" w:type="dxa"/>
            <w:vAlign w:val="bottom"/>
            <w:gridSpan w:val="2"/>
          </w:tcPr>
          <w:p>
            <w:pPr>
              <w:spacing w:after="0"/>
              <w:rPr>
                <w:sz w:val="24"/>
                <w:szCs w:val="24"/>
                <w:color w:val="auto"/>
              </w:rPr>
            </w:pPr>
          </w:p>
        </w:tc>
      </w:tr>
      <w:tr>
        <w:trPr>
          <w:trHeight w:val="169"/>
        </w:trPr>
        <w:tc>
          <w:tcPr>
            <w:tcW w:w="1880" w:type="dxa"/>
            <w:vAlign w:val="bottom"/>
          </w:tcPr>
          <w:p>
            <w:pPr>
              <w:spacing w:after="0"/>
              <w:rPr>
                <w:sz w:val="14"/>
                <w:szCs w:val="14"/>
                <w:color w:val="auto"/>
              </w:rPr>
            </w:pPr>
          </w:p>
        </w:tc>
        <w:tc>
          <w:tcPr>
            <w:tcW w:w="7040" w:type="dxa"/>
            <w:vAlign w:val="bottom"/>
            <w:gridSpan w:val="23"/>
          </w:tcPr>
          <w:p>
            <w:pPr>
              <w:spacing w:after="0" w:line="169" w:lineRule="exact"/>
              <w:rPr>
                <w:rFonts w:ascii="Arial" w:cs="Arial" w:eastAsia="Arial" w:hAnsi="Arial"/>
                <w:sz w:val="18"/>
                <w:szCs w:val="18"/>
                <w:color w:val="0000EE"/>
                <w:w w:val="91"/>
              </w:rPr>
            </w:pPr>
            <w:hyperlink r:id="rId47">
              <w:r>
                <w:rPr>
                  <w:rFonts w:ascii="Arial" w:cs="Arial" w:eastAsia="Arial" w:hAnsi="Arial"/>
                  <w:sz w:val="18"/>
                  <w:szCs w:val="18"/>
                  <w:color w:val="0000EE"/>
                  <w:w w:val="91"/>
                </w:rPr>
                <w:t>Appendix A to the Company’s proxy statement dated and filed with the Commission on March 9,</w:t>
              </w:r>
            </w:hyperlink>
          </w:p>
        </w:tc>
      </w:tr>
      <w:tr>
        <w:trPr>
          <w:trHeight w:val="169"/>
        </w:trPr>
        <w:tc>
          <w:tcPr>
            <w:tcW w:w="1880" w:type="dxa"/>
            <w:vAlign w:val="bottom"/>
          </w:tcPr>
          <w:p>
            <w:pPr>
              <w:spacing w:after="0"/>
              <w:rPr>
                <w:sz w:val="14"/>
                <w:szCs w:val="14"/>
                <w:color w:val="auto"/>
              </w:rPr>
            </w:pPr>
          </w:p>
        </w:tc>
        <w:tc>
          <w:tcPr>
            <w:tcW w:w="400" w:type="dxa"/>
            <w:vAlign w:val="bottom"/>
            <w:tcBorders>
              <w:top w:val="single" w:sz="8" w:color="0000EE"/>
              <w:bottom w:val="single" w:sz="8" w:color="0000EE"/>
            </w:tcBorders>
          </w:tcPr>
          <w:p>
            <w:pPr>
              <w:spacing w:after="0" w:line="169" w:lineRule="exact"/>
              <w:rPr>
                <w:rFonts w:ascii="Arial" w:cs="Arial" w:eastAsia="Arial" w:hAnsi="Arial"/>
                <w:sz w:val="18"/>
                <w:szCs w:val="18"/>
                <w:color w:val="0000EE"/>
                <w:w w:val="84"/>
              </w:rPr>
            </w:pPr>
            <w:hyperlink r:id="rId47">
              <w:r>
                <w:rPr>
                  <w:rFonts w:ascii="Arial" w:cs="Arial" w:eastAsia="Arial" w:hAnsi="Arial"/>
                  <w:sz w:val="18"/>
                  <w:szCs w:val="18"/>
                  <w:color w:val="0000EE"/>
                  <w:w w:val="84"/>
                </w:rPr>
                <w:t>2018.</w:t>
              </w:r>
            </w:hyperlink>
          </w:p>
        </w:tc>
        <w:tc>
          <w:tcPr>
            <w:tcW w:w="300" w:type="dxa"/>
            <w:vAlign w:val="bottom"/>
            <w:tcBorders>
              <w:top w:val="single" w:sz="8" w:color="0000EE"/>
            </w:tcBorders>
          </w:tcPr>
          <w:p>
            <w:pPr>
              <w:spacing w:after="0"/>
              <w:rPr>
                <w:sz w:val="14"/>
                <w:szCs w:val="14"/>
                <w:color w:val="auto"/>
              </w:rPr>
            </w:pPr>
          </w:p>
        </w:tc>
        <w:tc>
          <w:tcPr>
            <w:tcW w:w="720" w:type="dxa"/>
            <w:vAlign w:val="bottom"/>
            <w:tcBorders>
              <w:top w:val="single" w:sz="8" w:color="0000EE"/>
            </w:tcBorders>
          </w:tcPr>
          <w:p>
            <w:pPr>
              <w:spacing w:after="0"/>
              <w:rPr>
                <w:sz w:val="14"/>
                <w:szCs w:val="14"/>
                <w:color w:val="auto"/>
              </w:rPr>
            </w:pPr>
          </w:p>
        </w:tc>
        <w:tc>
          <w:tcPr>
            <w:tcW w:w="960" w:type="dxa"/>
            <w:vAlign w:val="bottom"/>
            <w:tcBorders>
              <w:top w:val="single" w:sz="8" w:color="0000EE"/>
            </w:tcBorders>
          </w:tcPr>
          <w:p>
            <w:pPr>
              <w:spacing w:after="0"/>
              <w:rPr>
                <w:sz w:val="14"/>
                <w:szCs w:val="14"/>
                <w:color w:val="auto"/>
              </w:rPr>
            </w:pPr>
          </w:p>
        </w:tc>
        <w:tc>
          <w:tcPr>
            <w:tcW w:w="580" w:type="dxa"/>
            <w:vAlign w:val="bottom"/>
            <w:tcBorders>
              <w:top w:val="single" w:sz="8" w:color="0000EE"/>
            </w:tcBorders>
          </w:tcPr>
          <w:p>
            <w:pPr>
              <w:spacing w:after="0"/>
              <w:rPr>
                <w:sz w:val="14"/>
                <w:szCs w:val="14"/>
                <w:color w:val="auto"/>
              </w:rPr>
            </w:pPr>
          </w:p>
        </w:tc>
        <w:tc>
          <w:tcPr>
            <w:tcW w:w="1120" w:type="dxa"/>
            <w:vAlign w:val="bottom"/>
            <w:tcBorders>
              <w:top w:val="single" w:sz="8" w:color="0000EE"/>
            </w:tcBorders>
          </w:tcPr>
          <w:p>
            <w:pPr>
              <w:spacing w:after="0"/>
              <w:rPr>
                <w:sz w:val="14"/>
                <w:szCs w:val="14"/>
                <w:color w:val="auto"/>
              </w:rPr>
            </w:pPr>
          </w:p>
        </w:tc>
        <w:tc>
          <w:tcPr>
            <w:tcW w:w="238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0" w:type="dxa"/>
            <w:vAlign w:val="bottom"/>
          </w:tcPr>
          <w:p>
            <w:pPr>
              <w:spacing w:after="0"/>
              <w:rPr>
                <w:sz w:val="14"/>
                <w:szCs w:val="14"/>
                <w:color w:val="auto"/>
              </w:rPr>
            </w:pPr>
          </w:p>
        </w:tc>
      </w:tr>
      <w:tr>
        <w:trPr>
          <w:trHeight w:val="358"/>
        </w:trPr>
        <w:tc>
          <w:tcPr>
            <w:tcW w:w="1880" w:type="dxa"/>
            <w:vAlign w:val="bottom"/>
          </w:tcPr>
          <w:p>
            <w:pPr>
              <w:ind w:left="880"/>
              <w:spacing w:after="0"/>
              <w:rPr>
                <w:sz w:val="20"/>
                <w:szCs w:val="20"/>
                <w:color w:val="auto"/>
              </w:rPr>
            </w:pPr>
            <w:r>
              <w:rPr>
                <w:rFonts w:ascii="Arial" w:cs="Arial" w:eastAsia="Arial" w:hAnsi="Arial"/>
                <w:sz w:val="18"/>
                <w:szCs w:val="18"/>
                <w:color w:val="auto"/>
              </w:rPr>
              <w:t>*(i)</w:t>
            </w:r>
          </w:p>
        </w:tc>
        <w:tc>
          <w:tcPr>
            <w:tcW w:w="7040" w:type="dxa"/>
            <w:vAlign w:val="bottom"/>
            <w:gridSpan w:val="23"/>
          </w:tcPr>
          <w:p>
            <w:pPr>
              <w:spacing w:after="0"/>
              <w:rPr>
                <w:rFonts w:ascii="Arial" w:cs="Arial" w:eastAsia="Arial" w:hAnsi="Arial"/>
                <w:sz w:val="18"/>
                <w:szCs w:val="18"/>
                <w:color w:val="0000EE"/>
                <w:w w:val="97"/>
              </w:rPr>
            </w:pPr>
            <w:hyperlink r:id="rId48">
              <w:r>
                <w:rPr>
                  <w:rFonts w:ascii="Arial" w:cs="Arial" w:eastAsia="Arial" w:hAnsi="Arial"/>
                  <w:sz w:val="18"/>
                  <w:szCs w:val="18"/>
                  <w:color w:val="0000EE"/>
                  <w:w w:val="97"/>
                </w:rPr>
                <w:t>Universal Forest Products, Inc. Director Retainer Stock Plan was filed as Exhibit 10(m) to a</w:t>
              </w:r>
            </w:hyperlink>
          </w:p>
        </w:tc>
      </w:tr>
      <w:tr>
        <w:trPr>
          <w:trHeight w:val="169"/>
        </w:trPr>
        <w:tc>
          <w:tcPr>
            <w:tcW w:w="1880" w:type="dxa"/>
            <w:vAlign w:val="bottom"/>
          </w:tcPr>
          <w:p>
            <w:pPr>
              <w:spacing w:after="0"/>
              <w:rPr>
                <w:sz w:val="14"/>
                <w:szCs w:val="14"/>
                <w:color w:val="auto"/>
              </w:rPr>
            </w:pPr>
          </w:p>
        </w:tc>
        <w:tc>
          <w:tcPr>
            <w:tcW w:w="6600" w:type="dxa"/>
            <w:vAlign w:val="bottom"/>
            <w:tcBorders>
              <w:top w:val="single" w:sz="8" w:color="0000EE"/>
              <w:bottom w:val="single" w:sz="8" w:color="0000EE"/>
            </w:tcBorders>
            <w:gridSpan w:val="10"/>
          </w:tcPr>
          <w:p>
            <w:pPr>
              <w:spacing w:after="0" w:line="169" w:lineRule="exact"/>
              <w:rPr>
                <w:rFonts w:ascii="Arial" w:cs="Arial" w:eastAsia="Arial" w:hAnsi="Arial"/>
                <w:sz w:val="18"/>
                <w:szCs w:val="18"/>
                <w:color w:val="0000EE"/>
                <w:w w:val="91"/>
              </w:rPr>
            </w:pPr>
            <w:hyperlink r:id="rId48">
              <w:r>
                <w:rPr>
                  <w:rFonts w:ascii="Arial" w:cs="Arial" w:eastAsia="Arial" w:hAnsi="Arial"/>
                  <w:sz w:val="18"/>
                  <w:szCs w:val="18"/>
                  <w:color w:val="0000EE"/>
                  <w:w w:val="91"/>
                </w:rPr>
                <w:t>Form 10-K, Annual Report for the year ended December 31, 2016 (Commission file No.: 0-</w:t>
              </w:r>
            </w:hyperlink>
          </w:p>
        </w:tc>
        <w:tc>
          <w:tcPr>
            <w:tcW w:w="20" w:type="dxa"/>
            <w:vAlign w:val="bottom"/>
            <w:tcBorders>
              <w:bottom w:val="single" w:sz="8" w:color="0000EE"/>
            </w:tcBorders>
          </w:tcPr>
          <w:p>
            <w:pPr>
              <w:spacing w:after="0"/>
              <w:rPr>
                <w:sz w:val="14"/>
                <w:szCs w:val="14"/>
                <w:color w:val="auto"/>
              </w:rPr>
            </w:pPr>
          </w:p>
        </w:tc>
        <w:tc>
          <w:tcPr>
            <w:tcW w:w="420" w:type="dxa"/>
            <w:vAlign w:val="bottom"/>
            <w:gridSpan w:val="12"/>
          </w:tcPr>
          <w:p>
            <w:pPr>
              <w:spacing w:after="0"/>
              <w:rPr>
                <w:sz w:val="14"/>
                <w:szCs w:val="14"/>
                <w:color w:val="auto"/>
              </w:rPr>
            </w:pPr>
          </w:p>
        </w:tc>
      </w:tr>
      <w:tr>
        <w:trPr>
          <w:trHeight w:val="169"/>
        </w:trPr>
        <w:tc>
          <w:tcPr>
            <w:tcW w:w="1880" w:type="dxa"/>
            <w:vAlign w:val="bottom"/>
          </w:tcPr>
          <w:p>
            <w:pPr>
              <w:spacing w:after="0"/>
              <w:rPr>
                <w:sz w:val="14"/>
                <w:szCs w:val="14"/>
                <w:color w:val="auto"/>
              </w:rPr>
            </w:pPr>
          </w:p>
        </w:tc>
        <w:tc>
          <w:tcPr>
            <w:tcW w:w="6620" w:type="dxa"/>
            <w:vAlign w:val="bottom"/>
            <w:gridSpan w:val="11"/>
          </w:tcPr>
          <w:p>
            <w:pPr>
              <w:spacing w:after="0" w:line="169" w:lineRule="exact"/>
              <w:rPr>
                <w:rFonts w:ascii="Arial" w:cs="Arial" w:eastAsia="Arial" w:hAnsi="Arial"/>
                <w:sz w:val="18"/>
                <w:szCs w:val="18"/>
                <w:color w:val="0000EE"/>
              </w:rPr>
            </w:pPr>
            <w:hyperlink r:id="rId48">
              <w:r>
                <w:rPr>
                  <w:rFonts w:ascii="Arial" w:cs="Arial" w:eastAsia="Arial" w:hAnsi="Arial"/>
                  <w:sz w:val="18"/>
                  <w:szCs w:val="18"/>
                  <w:color w:val="0000EE"/>
                </w:rPr>
                <w:t>22684) and the same is incorporated herein by reference.</w:t>
              </w:r>
            </w:hyperlink>
          </w:p>
        </w:tc>
        <w:tc>
          <w:tcPr>
            <w:tcW w:w="420" w:type="dxa"/>
            <w:vAlign w:val="bottom"/>
            <w:gridSpan w:val="12"/>
          </w:tcPr>
          <w:p>
            <w:pPr>
              <w:spacing w:after="0"/>
              <w:rPr>
                <w:sz w:val="14"/>
                <w:szCs w:val="14"/>
                <w:color w:val="auto"/>
              </w:rPr>
            </w:pPr>
          </w:p>
        </w:tc>
      </w:tr>
      <w:tr>
        <w:trPr>
          <w:trHeight w:val="655"/>
        </w:trPr>
        <w:tc>
          <w:tcPr>
            <w:tcW w:w="1880" w:type="dxa"/>
            <w:vAlign w:val="bottom"/>
          </w:tcPr>
          <w:p>
            <w:pPr>
              <w:spacing w:after="0"/>
              <w:rPr>
                <w:sz w:val="24"/>
                <w:szCs w:val="24"/>
                <w:color w:val="auto"/>
              </w:rPr>
            </w:pPr>
          </w:p>
        </w:tc>
        <w:tc>
          <w:tcPr>
            <w:tcW w:w="2960" w:type="dxa"/>
            <w:vAlign w:val="bottom"/>
            <w:tcBorders>
              <w:top w:val="single" w:sz="8" w:color="0000EE"/>
            </w:tcBorders>
            <w:gridSpan w:val="5"/>
          </w:tcPr>
          <w:p>
            <w:pPr>
              <w:ind w:left="2500"/>
              <w:spacing w:after="0"/>
              <w:rPr>
                <w:sz w:val="20"/>
                <w:szCs w:val="20"/>
                <w:color w:val="auto"/>
              </w:rPr>
            </w:pPr>
            <w:r>
              <w:rPr>
                <w:rFonts w:ascii="Arial" w:cs="Arial" w:eastAsia="Arial" w:hAnsi="Arial"/>
                <w:sz w:val="18"/>
                <w:szCs w:val="18"/>
                <w:color w:val="auto"/>
              </w:rPr>
              <w:t>16</w:t>
            </w:r>
          </w:p>
        </w:tc>
        <w:tc>
          <w:tcPr>
            <w:tcW w:w="1120" w:type="dxa"/>
            <w:vAlign w:val="bottom"/>
            <w:tcBorders>
              <w:top w:val="single" w:sz="8" w:color="0000EE"/>
            </w:tcBorders>
          </w:tcPr>
          <w:p>
            <w:pPr>
              <w:spacing w:after="0"/>
              <w:rPr>
                <w:sz w:val="24"/>
                <w:szCs w:val="24"/>
                <w:color w:val="auto"/>
              </w:rPr>
            </w:pPr>
          </w:p>
        </w:tc>
        <w:tc>
          <w:tcPr>
            <w:tcW w:w="2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561"/>
        </w:trPr>
        <w:tc>
          <w:tcPr>
            <w:tcW w:w="18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17" w:name="page18"/>
    <w:bookmarkEnd w:id="17"/>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520" w:type="dxa"/>
            <w:vAlign w:val="bottom"/>
          </w:tcPr>
          <w:p>
            <w:pPr>
              <w:spacing w:after="0"/>
              <w:rPr>
                <w:sz w:val="17"/>
                <w:szCs w:val="17"/>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*(j)</w:t>
            </w:r>
          </w:p>
        </w:tc>
        <w:tc>
          <w:tcPr>
            <w:tcW w:w="280" w:type="dxa"/>
            <w:vAlign w:val="bottom"/>
          </w:tcPr>
          <w:p>
            <w:pPr>
              <w:spacing w:after="0"/>
              <w:rPr>
                <w:sz w:val="17"/>
                <w:szCs w:val="17"/>
                <w:color w:val="auto"/>
              </w:rPr>
            </w:pPr>
          </w:p>
        </w:tc>
        <w:tc>
          <w:tcPr>
            <w:tcW w:w="6460" w:type="dxa"/>
            <w:vAlign w:val="bottom"/>
            <w:gridSpan w:val="13"/>
          </w:tcPr>
          <w:p>
            <w:pPr>
              <w:spacing w:after="0"/>
              <w:rPr>
                <w:rFonts w:ascii="Arial" w:cs="Arial" w:eastAsia="Arial" w:hAnsi="Arial"/>
                <w:sz w:val="18"/>
                <w:szCs w:val="18"/>
                <w:color w:val="0000EE"/>
                <w:w w:val="91"/>
              </w:rPr>
            </w:pPr>
            <w:hyperlink r:id="rId49">
              <w:r>
                <w:rPr>
                  <w:rFonts w:ascii="Arial" w:cs="Arial" w:eastAsia="Arial" w:hAnsi="Arial"/>
                  <w:sz w:val="18"/>
                  <w:szCs w:val="18"/>
                  <w:color w:val="0000EE"/>
                  <w:w w:val="91"/>
                </w:rPr>
                <w:t>Universal Forest Products, Inc. Amended and Restated Long Term Stock Incentive Plan</w:t>
              </w:r>
            </w:hyperlink>
          </w:p>
        </w:tc>
      </w:tr>
      <w:tr>
        <w:trPr>
          <w:trHeight w:val="169"/>
        </w:trPr>
        <w:tc>
          <w:tcPr>
            <w:tcW w:w="1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320" w:type="dxa"/>
            <w:vAlign w:val="bottom"/>
            <w:tcBorders>
              <w:top w:val="single" w:sz="8" w:color="0000EE"/>
            </w:tcBorders>
            <w:gridSpan w:val="10"/>
          </w:tcPr>
          <w:p>
            <w:pPr>
              <w:spacing w:after="0" w:line="169" w:lineRule="exact"/>
              <w:rPr>
                <w:rFonts w:ascii="Arial" w:cs="Arial" w:eastAsia="Arial" w:hAnsi="Arial"/>
                <w:sz w:val="18"/>
                <w:szCs w:val="18"/>
                <w:color w:val="0000EE"/>
                <w:w w:val="91"/>
              </w:rPr>
            </w:pPr>
            <w:hyperlink r:id="rId49">
              <w:r>
                <w:rPr>
                  <w:rFonts w:ascii="Arial" w:cs="Arial" w:eastAsia="Arial" w:hAnsi="Arial"/>
                  <w:sz w:val="18"/>
                  <w:szCs w:val="18"/>
                  <w:color w:val="0000EE"/>
                  <w:w w:val="91"/>
                </w:rPr>
                <w:t>is incorporated by reference from Appendix B to the Company’s proxy statement dated</w:t>
              </w:r>
            </w:hyperlink>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1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80" w:type="dxa"/>
            <w:vAlign w:val="bottom"/>
            <w:tcBorders>
              <w:top w:val="single" w:sz="8" w:color="0000EE"/>
            </w:tcBorders>
            <w:gridSpan w:val="9"/>
          </w:tcPr>
          <w:p>
            <w:pPr>
              <w:spacing w:after="0" w:line="169" w:lineRule="exact"/>
              <w:rPr>
                <w:rFonts w:ascii="Arial" w:cs="Arial" w:eastAsia="Arial" w:hAnsi="Arial"/>
                <w:sz w:val="18"/>
                <w:szCs w:val="18"/>
                <w:color w:val="0000EE"/>
              </w:rPr>
            </w:pPr>
            <w:hyperlink r:id="rId49">
              <w:r>
                <w:rPr>
                  <w:rFonts w:ascii="Arial" w:cs="Arial" w:eastAsia="Arial" w:hAnsi="Arial"/>
                  <w:sz w:val="18"/>
                  <w:szCs w:val="18"/>
                  <w:color w:val="0000EE"/>
                </w:rPr>
                <w:t>and filed with the Commission on March 9, 2018.</w:t>
              </w:r>
            </w:hyperlink>
          </w:p>
        </w:tc>
        <w:tc>
          <w:tcPr>
            <w:tcW w:w="1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9"/>
        </w:trPr>
        <w:tc>
          <w:tcPr>
            <w:tcW w:w="152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(k)</w:t>
            </w:r>
          </w:p>
        </w:tc>
        <w:tc>
          <w:tcPr>
            <w:tcW w:w="280" w:type="dxa"/>
            <w:vAlign w:val="bottom"/>
          </w:tcPr>
          <w:p>
            <w:pPr>
              <w:spacing w:after="0"/>
              <w:rPr>
                <w:sz w:val="24"/>
                <w:szCs w:val="24"/>
                <w:color w:val="auto"/>
              </w:rPr>
            </w:pPr>
          </w:p>
        </w:tc>
        <w:tc>
          <w:tcPr>
            <w:tcW w:w="6460" w:type="dxa"/>
            <w:vAlign w:val="bottom"/>
            <w:gridSpan w:val="13"/>
          </w:tcPr>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Note Purchase Agreement for Series E, F, and G dated August 11, 2020.</w:t>
              </w:r>
            </w:hyperlink>
          </w:p>
        </w:tc>
      </w:tr>
      <w:tr>
        <w:trPr>
          <w:trHeight w:val="337"/>
        </w:trPr>
        <w:tc>
          <w:tcPr>
            <w:tcW w:w="1520" w:type="dxa"/>
            <w:vAlign w:val="bottom"/>
          </w:tcPr>
          <w:p>
            <w:pPr>
              <w:jc w:val="right"/>
              <w:ind w:right="1250"/>
              <w:spacing w:after="0"/>
              <w:rPr>
                <w:sz w:val="20"/>
                <w:szCs w:val="20"/>
                <w:color w:val="auto"/>
              </w:rPr>
            </w:pPr>
            <w:r>
              <w:rPr>
                <w:rFonts w:ascii="Arial" w:cs="Arial" w:eastAsia="Arial" w:hAnsi="Arial"/>
                <w:sz w:val="18"/>
                <w:szCs w:val="18"/>
                <w:color w:val="auto"/>
                <w:w w:val="79"/>
              </w:rPr>
              <w:t>13</w:t>
            </w:r>
          </w:p>
        </w:tc>
        <w:tc>
          <w:tcPr>
            <w:tcW w:w="660" w:type="dxa"/>
            <w:vAlign w:val="bottom"/>
          </w:tcPr>
          <w:p>
            <w:pPr>
              <w:spacing w:after="0"/>
              <w:rPr>
                <w:rFonts w:ascii="Arial" w:cs="Arial" w:eastAsia="Arial" w:hAnsi="Arial"/>
                <w:sz w:val="18"/>
                <w:szCs w:val="18"/>
                <w:color w:val="0000EE"/>
                <w:w w:val="91"/>
              </w:rPr>
            </w:pPr>
            <w:hyperlink w:anchor="page70">
              <w:r>
                <w:rPr>
                  <w:rFonts w:ascii="Arial" w:cs="Arial" w:eastAsia="Arial" w:hAnsi="Arial"/>
                  <w:sz w:val="18"/>
                  <w:szCs w:val="18"/>
                  <w:color w:val="0000EE"/>
                  <w:w w:val="91"/>
                </w:rPr>
                <w:t>Selected</w:t>
              </w:r>
            </w:hyperlink>
          </w:p>
        </w:tc>
        <w:tc>
          <w:tcPr>
            <w:tcW w:w="6740" w:type="dxa"/>
            <w:vAlign w:val="bottom"/>
            <w:gridSpan w:val="14"/>
          </w:tcPr>
          <w:p>
            <w:pPr>
              <w:ind w:left="40"/>
              <w:spacing w:after="0"/>
              <w:rPr>
                <w:rFonts w:ascii="Arial" w:cs="Arial" w:eastAsia="Arial" w:hAnsi="Arial"/>
                <w:sz w:val="18"/>
                <w:szCs w:val="18"/>
                <w:color w:val="0000EE"/>
              </w:rPr>
            </w:pPr>
            <w:hyperlink w:anchor="page70">
              <w:r>
                <w:rPr>
                  <w:rFonts w:ascii="Arial" w:cs="Arial" w:eastAsia="Arial" w:hAnsi="Arial"/>
                  <w:sz w:val="18"/>
                  <w:szCs w:val="18"/>
                  <w:color w:val="0000EE"/>
                </w:rPr>
                <w:t>portions of the Company’s Annual Report to Shareholders for the fiscal year ended</w:t>
              </w:r>
            </w:hyperlink>
          </w:p>
        </w:tc>
      </w:tr>
      <w:tr>
        <w:trPr>
          <w:trHeight w:val="169"/>
        </w:trPr>
        <w:tc>
          <w:tcPr>
            <w:tcW w:w="1520" w:type="dxa"/>
            <w:vAlign w:val="bottom"/>
          </w:tcPr>
          <w:p>
            <w:pPr>
              <w:spacing w:after="0"/>
              <w:rPr>
                <w:sz w:val="14"/>
                <w:szCs w:val="14"/>
                <w:color w:val="auto"/>
              </w:rPr>
            </w:pPr>
          </w:p>
        </w:tc>
        <w:tc>
          <w:tcPr>
            <w:tcW w:w="1460" w:type="dxa"/>
            <w:vAlign w:val="bottom"/>
            <w:tcBorders>
              <w:top w:val="single" w:sz="8" w:color="0000EE"/>
              <w:bottom w:val="single" w:sz="8" w:color="0000EE"/>
            </w:tcBorders>
            <w:gridSpan w:val="3"/>
          </w:tcPr>
          <w:p>
            <w:pPr>
              <w:spacing w:after="0" w:line="169" w:lineRule="exact"/>
              <w:rPr>
                <w:rFonts w:ascii="Arial" w:cs="Arial" w:eastAsia="Arial" w:hAnsi="Arial"/>
                <w:sz w:val="18"/>
                <w:szCs w:val="18"/>
                <w:color w:val="0000EE"/>
                <w:w w:val="88"/>
              </w:rPr>
            </w:pPr>
            <w:hyperlink w:anchor="page70">
              <w:r>
                <w:rPr>
                  <w:rFonts w:ascii="Arial" w:cs="Arial" w:eastAsia="Arial" w:hAnsi="Arial"/>
                  <w:sz w:val="18"/>
                  <w:szCs w:val="18"/>
                  <w:color w:val="0000EE"/>
                  <w:w w:val="88"/>
                </w:rPr>
                <w:t>December 26, 2020.</w:t>
              </w:r>
            </w:hyperlink>
          </w:p>
        </w:tc>
        <w:tc>
          <w:tcPr>
            <w:tcW w:w="5920" w:type="dxa"/>
            <w:vAlign w:val="bottom"/>
            <w:tcBorders>
              <w:top w:val="single" w:sz="8" w:color="0000EE"/>
            </w:tcBorders>
            <w:gridSpan w:val="11"/>
          </w:tcPr>
          <w:p>
            <w:pPr>
              <w:spacing w:after="0"/>
              <w:rPr>
                <w:sz w:val="14"/>
                <w:szCs w:val="14"/>
                <w:color w:val="auto"/>
              </w:rPr>
            </w:pPr>
          </w:p>
        </w:tc>
        <w:tc>
          <w:tcPr>
            <w:tcW w:w="20" w:type="dxa"/>
            <w:vAlign w:val="bottom"/>
          </w:tcPr>
          <w:p>
            <w:pPr>
              <w:spacing w:after="0"/>
              <w:rPr>
                <w:sz w:val="14"/>
                <w:szCs w:val="14"/>
                <w:color w:val="auto"/>
              </w:rPr>
            </w:pPr>
          </w:p>
        </w:tc>
      </w:tr>
      <w:tr>
        <w:trPr>
          <w:trHeight w:val="399"/>
        </w:trPr>
        <w:tc>
          <w:tcPr>
            <w:tcW w:w="1520" w:type="dxa"/>
            <w:vAlign w:val="bottom"/>
          </w:tcPr>
          <w:p>
            <w:pPr>
              <w:jc w:val="right"/>
              <w:ind w:right="1250"/>
              <w:spacing w:after="0"/>
              <w:rPr>
                <w:sz w:val="20"/>
                <w:szCs w:val="20"/>
                <w:color w:val="auto"/>
              </w:rPr>
            </w:pPr>
            <w:r>
              <w:rPr>
                <w:rFonts w:ascii="Arial" w:cs="Arial" w:eastAsia="Arial" w:hAnsi="Arial"/>
                <w:sz w:val="18"/>
                <w:szCs w:val="18"/>
                <w:color w:val="auto"/>
                <w:w w:val="79"/>
              </w:rPr>
              <w:t>14</w:t>
            </w:r>
          </w:p>
        </w:tc>
        <w:tc>
          <w:tcPr>
            <w:tcW w:w="7400" w:type="dxa"/>
            <w:vAlign w:val="bottom"/>
            <w:gridSpan w:val="15"/>
          </w:tcPr>
          <w:p>
            <w:pPr>
              <w:spacing w:after="0"/>
              <w:rPr>
                <w:sz w:val="20"/>
                <w:szCs w:val="20"/>
                <w:color w:val="auto"/>
              </w:rPr>
            </w:pPr>
            <w:r>
              <w:rPr>
                <w:rFonts w:ascii="Arial" w:cs="Arial" w:eastAsia="Arial" w:hAnsi="Arial"/>
                <w:sz w:val="18"/>
                <w:szCs w:val="18"/>
                <w:color w:val="auto"/>
              </w:rPr>
              <w:t>Code of Ethics for Senior Financial Officers.</w:t>
            </w:r>
          </w:p>
        </w:tc>
      </w:tr>
      <w:tr>
        <w:trPr>
          <w:trHeight w:val="337"/>
        </w:trPr>
        <w:tc>
          <w:tcPr>
            <w:tcW w:w="152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(a)</w:t>
            </w:r>
          </w:p>
        </w:tc>
        <w:tc>
          <w:tcPr>
            <w:tcW w:w="280" w:type="dxa"/>
            <w:vAlign w:val="bottom"/>
          </w:tcPr>
          <w:p>
            <w:pPr>
              <w:spacing w:after="0"/>
              <w:rPr>
                <w:sz w:val="24"/>
                <w:szCs w:val="24"/>
                <w:color w:val="auto"/>
              </w:rPr>
            </w:pPr>
          </w:p>
        </w:tc>
        <w:tc>
          <w:tcPr>
            <w:tcW w:w="6460" w:type="dxa"/>
            <w:vAlign w:val="bottom"/>
            <w:gridSpan w:val="13"/>
          </w:tcPr>
          <w:p>
            <w:pPr>
              <w:spacing w:after="0"/>
              <w:rPr>
                <w:rFonts w:ascii="Arial" w:cs="Arial" w:eastAsia="Arial" w:hAnsi="Arial"/>
                <w:sz w:val="18"/>
                <w:szCs w:val="18"/>
                <w:color w:val="0000EE"/>
                <w:w w:val="97"/>
              </w:rPr>
            </w:pPr>
            <w:hyperlink r:id="rId50">
              <w:r>
                <w:rPr>
                  <w:rFonts w:ascii="Arial" w:cs="Arial" w:eastAsia="Arial" w:hAnsi="Arial"/>
                  <w:sz w:val="18"/>
                  <w:szCs w:val="18"/>
                  <w:color w:val="0000EE"/>
                  <w:w w:val="97"/>
                </w:rPr>
                <w:t>Code of Ethics for Chief Financial Officer was filed as Exhibit 14(a) to a Form 10-K,</w:t>
              </w:r>
            </w:hyperlink>
          </w:p>
        </w:tc>
      </w:tr>
      <w:tr>
        <w:trPr>
          <w:trHeight w:val="169"/>
        </w:trPr>
        <w:tc>
          <w:tcPr>
            <w:tcW w:w="1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140" w:type="dxa"/>
            <w:vAlign w:val="bottom"/>
            <w:tcBorders>
              <w:top w:val="single" w:sz="8" w:color="0000EE"/>
            </w:tcBorders>
            <w:gridSpan w:val="7"/>
          </w:tcPr>
          <w:p>
            <w:pPr>
              <w:spacing w:after="0" w:line="169" w:lineRule="exact"/>
              <w:rPr>
                <w:rFonts w:ascii="Arial" w:cs="Arial" w:eastAsia="Arial" w:hAnsi="Arial"/>
                <w:sz w:val="18"/>
                <w:szCs w:val="18"/>
                <w:color w:val="0000EE"/>
                <w:w w:val="91"/>
              </w:rPr>
            </w:pPr>
            <w:hyperlink r:id="rId50">
              <w:r>
                <w:rPr>
                  <w:rFonts w:ascii="Arial" w:cs="Arial" w:eastAsia="Arial" w:hAnsi="Arial"/>
                  <w:sz w:val="18"/>
                  <w:szCs w:val="18"/>
                  <w:color w:val="0000EE"/>
                  <w:w w:val="91"/>
                </w:rPr>
                <w:t>Annual Report for the year ended December 25, 2010 and the same is incorporated</w:t>
              </w:r>
            </w:hyperlink>
          </w:p>
        </w:tc>
        <w:tc>
          <w:tcPr>
            <w:tcW w:w="20" w:type="dxa"/>
            <w:vAlign w:val="bottom"/>
          </w:tcPr>
          <w:p>
            <w:pPr>
              <w:spacing w:after="0"/>
              <w:rPr>
                <w:sz w:val="14"/>
                <w:szCs w:val="14"/>
                <w:color w:val="auto"/>
              </w:rPr>
            </w:pPr>
          </w:p>
        </w:tc>
        <w:tc>
          <w:tcPr>
            <w:tcW w:w="2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69"/>
        </w:trPr>
        <w:tc>
          <w:tcPr>
            <w:tcW w:w="1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tcBorders>
              <w:top w:val="single" w:sz="8" w:color="0000EE"/>
              <w:bottom w:val="single" w:sz="8" w:color="0000EE"/>
            </w:tcBorders>
            <w:gridSpan w:val="2"/>
          </w:tcPr>
          <w:p>
            <w:pPr>
              <w:spacing w:after="0" w:line="169" w:lineRule="exact"/>
              <w:rPr>
                <w:rFonts w:ascii="Arial" w:cs="Arial" w:eastAsia="Arial" w:hAnsi="Arial"/>
                <w:sz w:val="18"/>
                <w:szCs w:val="18"/>
                <w:color w:val="0000EE"/>
                <w:w w:val="88"/>
              </w:rPr>
            </w:pPr>
            <w:hyperlink r:id="rId50">
              <w:r>
                <w:rPr>
                  <w:rFonts w:ascii="Arial" w:cs="Arial" w:eastAsia="Arial" w:hAnsi="Arial"/>
                  <w:sz w:val="18"/>
                  <w:szCs w:val="18"/>
                  <w:color w:val="0000EE"/>
                  <w:w w:val="88"/>
                </w:rPr>
                <w:t>herein by reference.</w:t>
              </w:r>
            </w:hyperlink>
          </w:p>
        </w:tc>
        <w:tc>
          <w:tcPr>
            <w:tcW w:w="4540" w:type="dxa"/>
            <w:vAlign w:val="bottom"/>
            <w:tcBorders>
              <w:top w:val="single" w:sz="8" w:color="0000EE"/>
            </w:tcBorders>
            <w:gridSpan w:val="4"/>
          </w:tcPr>
          <w:p>
            <w:pPr>
              <w:spacing w:after="0"/>
              <w:rPr>
                <w:sz w:val="14"/>
                <w:szCs w:val="14"/>
                <w:color w:val="auto"/>
              </w:rPr>
            </w:pPr>
          </w:p>
        </w:tc>
        <w:tc>
          <w:tcPr>
            <w:tcW w:w="180" w:type="dxa"/>
            <w:vAlign w:val="bottom"/>
            <w:gridSpan w:val="2"/>
          </w:tcPr>
          <w:p>
            <w:pPr>
              <w:spacing w:after="0"/>
              <w:rPr>
                <w:sz w:val="14"/>
                <w:szCs w:val="14"/>
                <w:color w:val="auto"/>
              </w:rPr>
            </w:pPr>
          </w:p>
        </w:tc>
        <w:tc>
          <w:tcPr>
            <w:tcW w:w="2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r>
      <w:tr>
        <w:trPr>
          <w:trHeight w:val="398"/>
        </w:trPr>
        <w:tc>
          <w:tcPr>
            <w:tcW w:w="1520" w:type="dxa"/>
            <w:vAlign w:val="bottom"/>
          </w:tcPr>
          <w:p>
            <w:pPr>
              <w:jc w:val="right"/>
              <w:ind w:right="1250"/>
              <w:spacing w:after="0"/>
              <w:rPr>
                <w:sz w:val="20"/>
                <w:szCs w:val="20"/>
                <w:color w:val="auto"/>
              </w:rPr>
            </w:pPr>
            <w:r>
              <w:rPr>
                <w:rFonts w:ascii="Arial" w:cs="Arial" w:eastAsia="Arial" w:hAnsi="Arial"/>
                <w:sz w:val="18"/>
                <w:szCs w:val="18"/>
                <w:color w:val="auto"/>
                <w:w w:val="79"/>
              </w:rPr>
              <w:t>21</w:t>
            </w:r>
          </w:p>
        </w:tc>
        <w:tc>
          <w:tcPr>
            <w:tcW w:w="7400" w:type="dxa"/>
            <w:vAlign w:val="bottom"/>
            <w:gridSpan w:val="15"/>
          </w:tcPr>
          <w:p>
            <w:pPr>
              <w:spacing w:after="0"/>
              <w:rPr>
                <w:rFonts w:ascii="Arial" w:cs="Arial" w:eastAsia="Arial" w:hAnsi="Arial"/>
                <w:sz w:val="18"/>
                <w:szCs w:val="18"/>
                <w:u w:val="single" w:color="auto"/>
                <w:color w:val="0000EE"/>
              </w:rPr>
            </w:pPr>
            <w:hyperlink w:anchor="page130">
              <w:r>
                <w:rPr>
                  <w:rFonts w:ascii="Arial" w:cs="Arial" w:eastAsia="Arial" w:hAnsi="Arial"/>
                  <w:sz w:val="18"/>
                  <w:szCs w:val="18"/>
                  <w:u w:val="single" w:color="auto"/>
                  <w:color w:val="0000EE"/>
                </w:rPr>
                <w:t>Subsidiaries of the Registrant.</w:t>
              </w:r>
            </w:hyperlink>
          </w:p>
        </w:tc>
      </w:tr>
      <w:tr>
        <w:trPr>
          <w:trHeight w:val="378"/>
        </w:trPr>
        <w:tc>
          <w:tcPr>
            <w:tcW w:w="1520" w:type="dxa"/>
            <w:vAlign w:val="bottom"/>
          </w:tcPr>
          <w:p>
            <w:pPr>
              <w:jc w:val="right"/>
              <w:ind w:right="1250"/>
              <w:spacing w:after="0"/>
              <w:rPr>
                <w:sz w:val="20"/>
                <w:szCs w:val="20"/>
                <w:color w:val="auto"/>
              </w:rPr>
            </w:pPr>
            <w:r>
              <w:rPr>
                <w:rFonts w:ascii="Arial" w:cs="Arial" w:eastAsia="Arial" w:hAnsi="Arial"/>
                <w:sz w:val="18"/>
                <w:szCs w:val="18"/>
                <w:color w:val="auto"/>
                <w:w w:val="79"/>
              </w:rPr>
              <w:t>23</w:t>
            </w:r>
          </w:p>
        </w:tc>
        <w:tc>
          <w:tcPr>
            <w:tcW w:w="7400" w:type="dxa"/>
            <w:vAlign w:val="bottom"/>
            <w:gridSpan w:val="15"/>
          </w:tcPr>
          <w:p>
            <w:pPr>
              <w:spacing w:after="0"/>
              <w:rPr>
                <w:rFonts w:ascii="Arial" w:cs="Arial" w:eastAsia="Arial" w:hAnsi="Arial"/>
                <w:sz w:val="18"/>
                <w:szCs w:val="18"/>
                <w:color w:val="0000EE"/>
              </w:rPr>
            </w:pPr>
            <w:hyperlink w:anchor="page132">
              <w:r>
                <w:rPr>
                  <w:rFonts w:ascii="Arial" w:cs="Arial" w:eastAsia="Arial" w:hAnsi="Arial"/>
                  <w:sz w:val="18"/>
                  <w:szCs w:val="18"/>
                  <w:u w:val="single" w:color="auto"/>
                  <w:color w:val="0000EE"/>
                </w:rPr>
                <w:t>Consent of Deloitte &amp; Touche LLP</w:t>
              </w:r>
              <w:r>
                <w:rPr>
                  <w:rFonts w:ascii="Arial" w:cs="Arial" w:eastAsia="Arial" w:hAnsi="Arial"/>
                  <w:sz w:val="18"/>
                  <w:szCs w:val="18"/>
                  <w:color w:val="0000EE"/>
                </w:rPr>
                <w:t>.</w:t>
              </w:r>
            </w:hyperlink>
          </w:p>
        </w:tc>
      </w:tr>
      <w:tr>
        <w:trPr>
          <w:trHeight w:val="378"/>
        </w:trPr>
        <w:tc>
          <w:tcPr>
            <w:tcW w:w="1520" w:type="dxa"/>
            <w:vAlign w:val="bottom"/>
          </w:tcPr>
          <w:p>
            <w:pPr>
              <w:jc w:val="right"/>
              <w:ind w:right="1250"/>
              <w:spacing w:after="0"/>
              <w:rPr>
                <w:sz w:val="20"/>
                <w:szCs w:val="20"/>
                <w:color w:val="auto"/>
              </w:rPr>
            </w:pPr>
            <w:r>
              <w:rPr>
                <w:rFonts w:ascii="Arial" w:cs="Arial" w:eastAsia="Arial" w:hAnsi="Arial"/>
                <w:sz w:val="18"/>
                <w:szCs w:val="18"/>
                <w:color w:val="auto"/>
                <w:w w:val="79"/>
              </w:rPr>
              <w:t>31</w:t>
            </w:r>
          </w:p>
        </w:tc>
        <w:tc>
          <w:tcPr>
            <w:tcW w:w="7400" w:type="dxa"/>
            <w:vAlign w:val="bottom"/>
            <w:gridSpan w:val="15"/>
          </w:tcPr>
          <w:p>
            <w:pPr>
              <w:spacing w:after="0"/>
              <w:rPr>
                <w:sz w:val="20"/>
                <w:szCs w:val="20"/>
                <w:color w:val="auto"/>
              </w:rPr>
            </w:pPr>
            <w:r>
              <w:rPr>
                <w:rFonts w:ascii="Arial" w:cs="Arial" w:eastAsia="Arial" w:hAnsi="Arial"/>
                <w:sz w:val="18"/>
                <w:szCs w:val="18"/>
                <w:color w:val="auto"/>
              </w:rPr>
              <w:t>Certifications.</w:t>
            </w:r>
          </w:p>
        </w:tc>
      </w:tr>
      <w:tr>
        <w:trPr>
          <w:trHeight w:val="338"/>
        </w:trPr>
        <w:tc>
          <w:tcPr>
            <w:tcW w:w="152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(a)</w:t>
            </w:r>
          </w:p>
        </w:tc>
        <w:tc>
          <w:tcPr>
            <w:tcW w:w="280" w:type="dxa"/>
            <w:vAlign w:val="bottom"/>
          </w:tcPr>
          <w:p>
            <w:pPr>
              <w:spacing w:after="0"/>
              <w:rPr>
                <w:sz w:val="24"/>
                <w:szCs w:val="24"/>
                <w:color w:val="auto"/>
              </w:rPr>
            </w:pPr>
          </w:p>
        </w:tc>
        <w:tc>
          <w:tcPr>
            <w:tcW w:w="6460" w:type="dxa"/>
            <w:vAlign w:val="bottom"/>
            <w:gridSpan w:val="13"/>
          </w:tcPr>
          <w:p>
            <w:pPr>
              <w:spacing w:after="0"/>
              <w:rPr>
                <w:rFonts w:ascii="Arial" w:cs="Arial" w:eastAsia="Arial" w:hAnsi="Arial"/>
                <w:sz w:val="18"/>
                <w:szCs w:val="18"/>
                <w:color w:val="0000EE"/>
                <w:w w:val="96"/>
              </w:rPr>
            </w:pPr>
            <w:hyperlink w:anchor="page133">
              <w:r>
                <w:rPr>
                  <w:rFonts w:ascii="Arial" w:cs="Arial" w:eastAsia="Arial" w:hAnsi="Arial"/>
                  <w:sz w:val="18"/>
                  <w:szCs w:val="18"/>
                  <w:color w:val="0000EE"/>
                  <w:w w:val="96"/>
                </w:rPr>
                <w:t>Certificate of the Chief Executive Officer of UFP Industries, Inc., pursuant to Section</w:t>
              </w:r>
            </w:hyperlink>
          </w:p>
        </w:tc>
      </w:tr>
      <w:tr>
        <w:trPr>
          <w:trHeight w:val="169"/>
        </w:trPr>
        <w:tc>
          <w:tcPr>
            <w:tcW w:w="1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160" w:type="dxa"/>
            <w:vAlign w:val="bottom"/>
            <w:tcBorders>
              <w:top w:val="single" w:sz="8" w:color="0000EE"/>
              <w:bottom w:val="single" w:sz="8" w:color="0000EE"/>
            </w:tcBorders>
            <w:gridSpan w:val="5"/>
          </w:tcPr>
          <w:p>
            <w:pPr>
              <w:spacing w:after="0" w:line="169" w:lineRule="exact"/>
              <w:rPr>
                <w:rFonts w:ascii="Arial" w:cs="Arial" w:eastAsia="Arial" w:hAnsi="Arial"/>
                <w:sz w:val="18"/>
                <w:szCs w:val="18"/>
                <w:color w:val="0000EE"/>
                <w:w w:val="90"/>
              </w:rPr>
            </w:pPr>
            <w:hyperlink w:anchor="page133">
              <w:r>
                <w:rPr>
                  <w:rFonts w:ascii="Arial" w:cs="Arial" w:eastAsia="Arial" w:hAnsi="Arial"/>
                  <w:sz w:val="18"/>
                  <w:szCs w:val="18"/>
                  <w:color w:val="0000EE"/>
                  <w:w w:val="90"/>
                </w:rPr>
                <w:t>302 of the Sarbanes-Oxley Act of 2002 (18 U.S.C. 1350).</w:t>
              </w:r>
            </w:hyperlink>
          </w:p>
        </w:tc>
        <w:tc>
          <w:tcPr>
            <w:tcW w:w="2000" w:type="dxa"/>
            <w:vAlign w:val="bottom"/>
            <w:tcBorders>
              <w:top w:val="single" w:sz="8" w:color="0000EE"/>
            </w:tcBorders>
            <w:gridSpan w:val="3"/>
          </w:tcPr>
          <w:p>
            <w:pPr>
              <w:spacing w:after="0"/>
              <w:rPr>
                <w:sz w:val="14"/>
                <w:szCs w:val="14"/>
                <w:color w:val="auto"/>
              </w:rPr>
            </w:pPr>
          </w:p>
        </w:tc>
        <w:tc>
          <w:tcPr>
            <w:tcW w:w="2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r>
      <w:tr>
        <w:trPr>
          <w:trHeight w:val="358"/>
        </w:trPr>
        <w:tc>
          <w:tcPr>
            <w:tcW w:w="152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(b)</w:t>
            </w:r>
          </w:p>
        </w:tc>
        <w:tc>
          <w:tcPr>
            <w:tcW w:w="280" w:type="dxa"/>
            <w:vAlign w:val="bottom"/>
          </w:tcPr>
          <w:p>
            <w:pPr>
              <w:spacing w:after="0"/>
              <w:rPr>
                <w:sz w:val="24"/>
                <w:szCs w:val="24"/>
                <w:color w:val="auto"/>
              </w:rPr>
            </w:pPr>
          </w:p>
        </w:tc>
        <w:tc>
          <w:tcPr>
            <w:tcW w:w="6460" w:type="dxa"/>
            <w:vAlign w:val="bottom"/>
            <w:gridSpan w:val="13"/>
          </w:tcPr>
          <w:p>
            <w:pPr>
              <w:spacing w:after="0"/>
              <w:rPr>
                <w:rFonts w:ascii="Arial" w:cs="Arial" w:eastAsia="Arial" w:hAnsi="Arial"/>
                <w:sz w:val="18"/>
                <w:szCs w:val="18"/>
                <w:color w:val="0000EE"/>
                <w:w w:val="92"/>
              </w:rPr>
            </w:pPr>
            <w:hyperlink w:anchor="page134">
              <w:r>
                <w:rPr>
                  <w:rFonts w:ascii="Arial" w:cs="Arial" w:eastAsia="Arial" w:hAnsi="Arial"/>
                  <w:sz w:val="18"/>
                  <w:szCs w:val="18"/>
                  <w:color w:val="0000EE"/>
                  <w:w w:val="92"/>
                </w:rPr>
                <w:t>Certificate of the Chief Financial Officer of UFP Industries, Inc., pursuant to Section 302</w:t>
              </w:r>
            </w:hyperlink>
          </w:p>
        </w:tc>
      </w:tr>
      <w:tr>
        <w:trPr>
          <w:trHeight w:val="169"/>
        </w:trPr>
        <w:tc>
          <w:tcPr>
            <w:tcW w:w="1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40" w:type="dxa"/>
            <w:vAlign w:val="bottom"/>
            <w:tcBorders>
              <w:top w:val="single" w:sz="8" w:color="0000EE"/>
              <w:bottom w:val="single" w:sz="8" w:color="0000EE"/>
            </w:tcBorders>
            <w:gridSpan w:val="4"/>
          </w:tcPr>
          <w:p>
            <w:pPr>
              <w:spacing w:after="0" w:line="169" w:lineRule="exact"/>
              <w:rPr>
                <w:rFonts w:ascii="Arial" w:cs="Arial" w:eastAsia="Arial" w:hAnsi="Arial"/>
                <w:sz w:val="18"/>
                <w:szCs w:val="18"/>
                <w:color w:val="0000EE"/>
                <w:w w:val="90"/>
              </w:rPr>
            </w:pPr>
            <w:hyperlink w:anchor="page134">
              <w:r>
                <w:rPr>
                  <w:rFonts w:ascii="Arial" w:cs="Arial" w:eastAsia="Arial" w:hAnsi="Arial"/>
                  <w:sz w:val="18"/>
                  <w:szCs w:val="18"/>
                  <w:color w:val="0000EE"/>
                  <w:w w:val="90"/>
                </w:rPr>
                <w:t>of the Sarbanes-Oxley Act of 2002 (18 U.S.C. 1350).</w:t>
              </w:r>
            </w:hyperlink>
          </w:p>
        </w:tc>
        <w:tc>
          <w:tcPr>
            <w:tcW w:w="2580" w:type="dxa"/>
            <w:vAlign w:val="bottom"/>
            <w:tcBorders>
              <w:top w:val="single" w:sz="8" w:color="0000EE"/>
            </w:tcBorders>
            <w:gridSpan w:val="7"/>
          </w:tcPr>
          <w:p>
            <w:pPr>
              <w:spacing w:after="0"/>
              <w:rPr>
                <w:sz w:val="14"/>
                <w:szCs w:val="14"/>
                <w:color w:val="auto"/>
              </w:rPr>
            </w:pPr>
          </w:p>
        </w:tc>
        <w:tc>
          <w:tcPr>
            <w:tcW w:w="40" w:type="dxa"/>
            <w:vAlign w:val="bottom"/>
            <w:gridSpan w:val="2"/>
          </w:tcPr>
          <w:p>
            <w:pPr>
              <w:spacing w:after="0"/>
              <w:rPr>
                <w:sz w:val="14"/>
                <w:szCs w:val="14"/>
                <w:color w:val="auto"/>
              </w:rPr>
            </w:pPr>
          </w:p>
        </w:tc>
      </w:tr>
      <w:tr>
        <w:trPr>
          <w:trHeight w:val="399"/>
        </w:trPr>
        <w:tc>
          <w:tcPr>
            <w:tcW w:w="1520" w:type="dxa"/>
            <w:vAlign w:val="bottom"/>
          </w:tcPr>
          <w:p>
            <w:pPr>
              <w:jc w:val="right"/>
              <w:ind w:right="1250"/>
              <w:spacing w:after="0"/>
              <w:rPr>
                <w:sz w:val="20"/>
                <w:szCs w:val="20"/>
                <w:color w:val="auto"/>
              </w:rPr>
            </w:pPr>
            <w:r>
              <w:rPr>
                <w:rFonts w:ascii="Arial" w:cs="Arial" w:eastAsia="Arial" w:hAnsi="Arial"/>
                <w:sz w:val="18"/>
                <w:szCs w:val="18"/>
                <w:color w:val="auto"/>
                <w:w w:val="79"/>
              </w:rPr>
              <w:t>32</w:t>
            </w:r>
          </w:p>
        </w:tc>
        <w:tc>
          <w:tcPr>
            <w:tcW w:w="7400" w:type="dxa"/>
            <w:vAlign w:val="bottom"/>
            <w:gridSpan w:val="15"/>
          </w:tcPr>
          <w:p>
            <w:pPr>
              <w:spacing w:after="0"/>
              <w:rPr>
                <w:sz w:val="20"/>
                <w:szCs w:val="20"/>
                <w:color w:val="auto"/>
              </w:rPr>
            </w:pPr>
            <w:r>
              <w:rPr>
                <w:rFonts w:ascii="Arial" w:cs="Arial" w:eastAsia="Arial" w:hAnsi="Arial"/>
                <w:sz w:val="18"/>
                <w:szCs w:val="18"/>
                <w:color w:val="auto"/>
              </w:rPr>
              <w:t>Certifications.</w:t>
            </w:r>
          </w:p>
        </w:tc>
      </w:tr>
      <w:tr>
        <w:trPr>
          <w:trHeight w:val="337"/>
        </w:trPr>
        <w:tc>
          <w:tcPr>
            <w:tcW w:w="152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(a)</w:t>
            </w:r>
          </w:p>
        </w:tc>
        <w:tc>
          <w:tcPr>
            <w:tcW w:w="280" w:type="dxa"/>
            <w:vAlign w:val="bottom"/>
          </w:tcPr>
          <w:p>
            <w:pPr>
              <w:spacing w:after="0"/>
              <w:rPr>
                <w:sz w:val="24"/>
                <w:szCs w:val="24"/>
                <w:color w:val="auto"/>
              </w:rPr>
            </w:pPr>
          </w:p>
        </w:tc>
        <w:tc>
          <w:tcPr>
            <w:tcW w:w="6460" w:type="dxa"/>
            <w:vAlign w:val="bottom"/>
            <w:gridSpan w:val="13"/>
          </w:tcPr>
          <w:p>
            <w:pPr>
              <w:spacing w:after="0"/>
              <w:rPr>
                <w:rFonts w:ascii="Arial" w:cs="Arial" w:eastAsia="Arial" w:hAnsi="Arial"/>
                <w:sz w:val="18"/>
                <w:szCs w:val="18"/>
                <w:color w:val="0000EE"/>
                <w:w w:val="96"/>
              </w:rPr>
            </w:pPr>
            <w:hyperlink w:anchor="page135">
              <w:r>
                <w:rPr>
                  <w:rFonts w:ascii="Arial" w:cs="Arial" w:eastAsia="Arial" w:hAnsi="Arial"/>
                  <w:sz w:val="18"/>
                  <w:szCs w:val="18"/>
                  <w:color w:val="0000EE"/>
                  <w:w w:val="96"/>
                </w:rPr>
                <w:t>Certificate of the Chief Executive Officer of UFP Industries, Inc., pursuant to Section</w:t>
              </w:r>
            </w:hyperlink>
          </w:p>
        </w:tc>
      </w:tr>
      <w:tr>
        <w:trPr>
          <w:trHeight w:val="169"/>
        </w:trPr>
        <w:tc>
          <w:tcPr>
            <w:tcW w:w="1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160" w:type="dxa"/>
            <w:vAlign w:val="bottom"/>
            <w:tcBorders>
              <w:top w:val="single" w:sz="8" w:color="0000EE"/>
              <w:bottom w:val="single" w:sz="8" w:color="0000EE"/>
            </w:tcBorders>
            <w:gridSpan w:val="5"/>
          </w:tcPr>
          <w:p>
            <w:pPr>
              <w:spacing w:after="0" w:line="169" w:lineRule="exact"/>
              <w:rPr>
                <w:rFonts w:ascii="Arial" w:cs="Arial" w:eastAsia="Arial" w:hAnsi="Arial"/>
                <w:sz w:val="18"/>
                <w:szCs w:val="18"/>
                <w:color w:val="0000EE"/>
                <w:w w:val="90"/>
              </w:rPr>
            </w:pPr>
            <w:hyperlink w:anchor="page135">
              <w:r>
                <w:rPr>
                  <w:rFonts w:ascii="Arial" w:cs="Arial" w:eastAsia="Arial" w:hAnsi="Arial"/>
                  <w:sz w:val="18"/>
                  <w:szCs w:val="18"/>
                  <w:color w:val="0000EE"/>
                  <w:w w:val="90"/>
                </w:rPr>
                <w:t>906 of the Sarbanes-Oxley Act of 2002 (18 U.S.C. 1350).</w:t>
              </w:r>
            </w:hyperlink>
          </w:p>
        </w:tc>
        <w:tc>
          <w:tcPr>
            <w:tcW w:w="2000" w:type="dxa"/>
            <w:vAlign w:val="bottom"/>
            <w:tcBorders>
              <w:top w:val="single" w:sz="8" w:color="0000EE"/>
            </w:tcBorders>
            <w:gridSpan w:val="3"/>
          </w:tcPr>
          <w:p>
            <w:pPr>
              <w:spacing w:after="0"/>
              <w:rPr>
                <w:sz w:val="14"/>
                <w:szCs w:val="14"/>
                <w:color w:val="auto"/>
              </w:rPr>
            </w:pPr>
          </w:p>
        </w:tc>
        <w:tc>
          <w:tcPr>
            <w:tcW w:w="300" w:type="dxa"/>
            <w:vAlign w:val="bottom"/>
            <w:gridSpan w:val="5"/>
          </w:tcPr>
          <w:p>
            <w:pPr>
              <w:spacing w:after="0"/>
              <w:rPr>
                <w:sz w:val="14"/>
                <w:szCs w:val="14"/>
                <w:color w:val="auto"/>
              </w:rPr>
            </w:pPr>
          </w:p>
        </w:tc>
      </w:tr>
      <w:tr>
        <w:trPr>
          <w:trHeight w:val="358"/>
        </w:trPr>
        <w:tc>
          <w:tcPr>
            <w:tcW w:w="152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(b)</w:t>
            </w:r>
          </w:p>
        </w:tc>
        <w:tc>
          <w:tcPr>
            <w:tcW w:w="280" w:type="dxa"/>
            <w:vAlign w:val="bottom"/>
          </w:tcPr>
          <w:p>
            <w:pPr>
              <w:spacing w:after="0"/>
              <w:rPr>
                <w:sz w:val="24"/>
                <w:szCs w:val="24"/>
                <w:color w:val="auto"/>
              </w:rPr>
            </w:pPr>
          </w:p>
        </w:tc>
        <w:tc>
          <w:tcPr>
            <w:tcW w:w="6460" w:type="dxa"/>
            <w:vAlign w:val="bottom"/>
            <w:gridSpan w:val="13"/>
          </w:tcPr>
          <w:p>
            <w:pPr>
              <w:spacing w:after="0"/>
              <w:rPr>
                <w:rFonts w:ascii="Arial" w:cs="Arial" w:eastAsia="Arial" w:hAnsi="Arial"/>
                <w:sz w:val="18"/>
                <w:szCs w:val="18"/>
                <w:color w:val="0000EE"/>
                <w:w w:val="92"/>
              </w:rPr>
            </w:pPr>
            <w:hyperlink w:anchor="page136">
              <w:r>
                <w:rPr>
                  <w:rFonts w:ascii="Arial" w:cs="Arial" w:eastAsia="Arial" w:hAnsi="Arial"/>
                  <w:sz w:val="18"/>
                  <w:szCs w:val="18"/>
                  <w:color w:val="0000EE"/>
                  <w:w w:val="92"/>
                </w:rPr>
                <w:t>Certificate of the Chief Financial Officer of UFP Industries, Inc., pursuant to Section 906</w:t>
              </w:r>
            </w:hyperlink>
          </w:p>
        </w:tc>
      </w:tr>
      <w:tr>
        <w:trPr>
          <w:trHeight w:val="169"/>
        </w:trPr>
        <w:tc>
          <w:tcPr>
            <w:tcW w:w="1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40" w:type="dxa"/>
            <w:vAlign w:val="bottom"/>
            <w:tcBorders>
              <w:top w:val="single" w:sz="8" w:color="0000EE"/>
              <w:bottom w:val="single" w:sz="8" w:color="0000EE"/>
            </w:tcBorders>
            <w:gridSpan w:val="4"/>
          </w:tcPr>
          <w:p>
            <w:pPr>
              <w:spacing w:after="0" w:line="169" w:lineRule="exact"/>
              <w:rPr>
                <w:rFonts w:ascii="Arial" w:cs="Arial" w:eastAsia="Arial" w:hAnsi="Arial"/>
                <w:sz w:val="18"/>
                <w:szCs w:val="18"/>
                <w:color w:val="0000EE"/>
                <w:w w:val="90"/>
              </w:rPr>
            </w:pPr>
            <w:hyperlink w:anchor="page136">
              <w:r>
                <w:rPr>
                  <w:rFonts w:ascii="Arial" w:cs="Arial" w:eastAsia="Arial" w:hAnsi="Arial"/>
                  <w:sz w:val="18"/>
                  <w:szCs w:val="18"/>
                  <w:color w:val="0000EE"/>
                  <w:w w:val="90"/>
                </w:rPr>
                <w:t>of the Sarbanes-Oxley Act of 2002 (18 U.S.C. 1350).</w:t>
              </w:r>
            </w:hyperlink>
          </w:p>
        </w:tc>
        <w:tc>
          <w:tcPr>
            <w:tcW w:w="2580" w:type="dxa"/>
            <w:vAlign w:val="bottom"/>
            <w:tcBorders>
              <w:top w:val="single" w:sz="8" w:color="0000EE"/>
            </w:tcBorders>
            <w:gridSpan w:val="7"/>
          </w:tcPr>
          <w:p>
            <w:pPr>
              <w:spacing w:after="0"/>
              <w:rPr>
                <w:sz w:val="14"/>
                <w:szCs w:val="14"/>
                <w:color w:val="auto"/>
              </w:rPr>
            </w:pPr>
          </w:p>
        </w:tc>
        <w:tc>
          <w:tcPr>
            <w:tcW w:w="40" w:type="dxa"/>
            <w:vAlign w:val="bottom"/>
            <w:gridSpan w:val="2"/>
          </w:tcPr>
          <w:p>
            <w:pPr>
              <w:spacing w:after="0"/>
              <w:rPr>
                <w:sz w:val="14"/>
                <w:szCs w:val="14"/>
                <w:color w:val="auto"/>
              </w:rPr>
            </w:pPr>
          </w:p>
        </w:tc>
      </w:tr>
    </w:tbl>
    <w:p>
      <w:pPr>
        <w:spacing w:after="0" w:line="175" w:lineRule="exact"/>
        <w:rPr>
          <w:sz w:val="20"/>
          <w:szCs w:val="20"/>
          <w:color w:val="auto"/>
        </w:rPr>
      </w:pPr>
    </w:p>
    <w:p>
      <w:pPr>
        <w:ind w:left="1540" w:right="1599" w:hanging="1517"/>
        <w:spacing w:after="0" w:line="438" w:lineRule="auto"/>
        <w:tabs>
          <w:tab w:leader="none" w:pos="1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Interactive Data File in iXBRL (Inline eXtensible Business Reporting Language). (INS) XBRL Instance Document.</w:t>
      </w:r>
    </w:p>
    <w:p>
      <w:pPr>
        <w:ind w:left="1540"/>
        <w:spacing w:after="0"/>
        <w:rPr>
          <w:rFonts w:ascii="Arial" w:cs="Arial" w:eastAsia="Arial" w:hAnsi="Arial"/>
          <w:sz w:val="18"/>
          <w:szCs w:val="18"/>
          <w:color w:val="auto"/>
        </w:rPr>
      </w:pPr>
      <w:r>
        <w:rPr>
          <w:rFonts w:ascii="Arial" w:cs="Arial" w:eastAsia="Arial" w:hAnsi="Arial"/>
          <w:sz w:val="18"/>
          <w:szCs w:val="18"/>
          <w:color w:val="auto"/>
        </w:rPr>
        <w:t>(SCH) XBRL Schema Document.</w:t>
      </w:r>
    </w:p>
    <w:p>
      <w:pPr>
        <w:spacing w:after="0" w:line="171"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(CAL) XBRL Taxonomy Extension Calculation Linkbase Document.</w:t>
      </w:r>
    </w:p>
    <w:p>
      <w:pPr>
        <w:spacing w:after="0" w:line="171"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(LAB) XBRL Taxonomy Extension Label Linkbase Document.</w:t>
      </w:r>
    </w:p>
    <w:p>
      <w:pPr>
        <w:spacing w:after="0" w:line="171"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(PRE) XBRL Taxonomy Extension Presentation Linkbase Document.</w:t>
      </w:r>
    </w:p>
    <w:p>
      <w:pPr>
        <w:spacing w:after="0" w:line="171"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(DEF) XBRL Taxonomy Extension Definition Linkbase Document.</w:t>
      </w:r>
    </w:p>
    <w:p>
      <w:pPr>
        <w:spacing w:after="0" w:line="171" w:lineRule="exact"/>
        <w:rPr>
          <w:sz w:val="20"/>
          <w:szCs w:val="20"/>
          <w:color w:val="auto"/>
        </w:rPr>
      </w:pPr>
    </w:p>
    <w:p>
      <w:pPr>
        <w:ind w:left="1540" w:right="639" w:hanging="1517"/>
        <w:spacing w:after="0" w:line="246" w:lineRule="auto"/>
        <w:tabs>
          <w:tab w:leader="none" w:pos="1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Cover Page Interactive Data File (the cover page XBRL tags are embedded 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57150</wp:posOffset>
            </wp:positionV>
            <wp:extent cx="141414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1">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63" w:lineRule="exact"/>
        <w:rPr>
          <w:sz w:val="20"/>
          <w:szCs w:val="20"/>
          <w:color w:val="auto"/>
        </w:rPr>
      </w:pPr>
    </w:p>
    <w:p>
      <w:pPr>
        <w:ind w:left="380" w:hanging="330"/>
        <w:spacing w:after="0"/>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Indicates a compensatory arrangement.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284" w:right="1440"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and Exchange Act of 1934, the Registrant has duly caused this report to be signed on its behalf by the undersigned, thereunto duly authorized.</w:t>
      </w:r>
    </w:p>
    <w:p>
      <w:pPr>
        <w:spacing w:after="0" w:line="180" w:lineRule="exact"/>
        <w:rPr>
          <w:sz w:val="20"/>
          <w:szCs w:val="20"/>
          <w:color w:val="auto"/>
        </w:rPr>
      </w:pPr>
    </w:p>
    <w:p>
      <w:pPr>
        <w:ind w:left="60"/>
        <w:spacing w:after="0"/>
        <w:tabs>
          <w:tab w:leader="none" w:pos="4380" w:val="left"/>
        </w:tabs>
        <w:rPr>
          <w:sz w:val="20"/>
          <w:szCs w:val="20"/>
          <w:color w:val="auto"/>
        </w:rPr>
      </w:pPr>
      <w:r>
        <w:rPr>
          <w:rFonts w:ascii="Arial" w:cs="Arial" w:eastAsia="Arial" w:hAnsi="Arial"/>
          <w:sz w:val="18"/>
          <w:szCs w:val="18"/>
          <w:color w:val="auto"/>
        </w:rPr>
        <w:t>Dated: March 3, 2021</w:t>
      </w:r>
      <w:r>
        <w:rPr>
          <w:sz w:val="20"/>
          <w:szCs w:val="20"/>
          <w:color w:val="auto"/>
        </w:rPr>
        <w:tab/>
      </w:r>
      <w:r>
        <w:rPr>
          <w:rFonts w:ascii="Arial" w:cs="Arial" w:eastAsia="Arial" w:hAnsi="Arial"/>
          <w:sz w:val="17"/>
          <w:szCs w:val="17"/>
          <w:b w:val="1"/>
          <w:bCs w:val="1"/>
          <w:color w:val="auto"/>
        </w:rPr>
        <w:t>UFP INDUSTRIES, INC.</w:t>
      </w:r>
    </w:p>
    <w:p>
      <w:pPr>
        <w:spacing w:after="0" w:line="22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 /s/ Matthew J. Missad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3014345</wp:posOffset>
            </wp:positionH>
            <wp:positionV relativeFrom="paragraph">
              <wp:posOffset>14605</wp:posOffset>
            </wp:positionV>
            <wp:extent cx="26746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3">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3"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Matthew J. Missad,</w:t>
      </w:r>
    </w:p>
    <w:p>
      <w:pPr>
        <w:spacing w:after="0" w:line="23"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Chief Executive Officer and</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Principal Executive Officer</w:t>
      </w:r>
    </w:p>
    <w:p>
      <w:pPr>
        <w:spacing w:after="0" w:line="201" w:lineRule="exact"/>
        <w:rPr>
          <w:sz w:val="20"/>
          <w:szCs w:val="20"/>
          <w:color w:val="auto"/>
        </w:rPr>
      </w:pPr>
    </w:p>
    <w:p>
      <w:pPr>
        <w:jc w:val="both"/>
        <w:ind w:left="60" w:right="59" w:firstLine="648"/>
        <w:spacing w:after="0" w:line="216"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on this 3</w:t>
      </w:r>
      <w:r>
        <w:rPr>
          <w:rFonts w:ascii="Arial" w:cs="Arial" w:eastAsia="Arial" w:hAnsi="Arial"/>
          <w:sz w:val="26"/>
          <w:szCs w:val="26"/>
          <w:color w:val="auto"/>
          <w:vertAlign w:val="superscript"/>
        </w:rPr>
        <w:t>nd</w:t>
      </w:r>
      <w:r>
        <w:rPr>
          <w:rFonts w:ascii="Arial" w:cs="Arial" w:eastAsia="Arial" w:hAnsi="Arial"/>
          <w:sz w:val="18"/>
          <w:szCs w:val="18"/>
          <w:color w:val="auto"/>
        </w:rPr>
        <w:t xml:space="preserve"> day of March, 2021, by the following persons on behalf of us and in the capacities indicated.</w:t>
      </w:r>
    </w:p>
    <w:p>
      <w:pPr>
        <w:spacing w:after="0" w:line="21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By: /s/ Matthew J. Missad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14605</wp:posOffset>
            </wp:positionV>
            <wp:extent cx="266573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4">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3"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Matthew J. Missad,</w:t>
      </w:r>
    </w:p>
    <w:p>
      <w:pPr>
        <w:spacing w:after="0" w:line="23"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Chief Executive Officer and</w:t>
      </w:r>
    </w:p>
    <w:p>
      <w:pPr>
        <w:spacing w:after="0" w:line="9"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Principal Executive Officer</w:t>
      </w:r>
    </w:p>
    <w:p>
      <w:pPr>
        <w:spacing w:after="0" w:line="211"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/s/ Michael R.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14605</wp:posOffset>
            </wp:positionV>
            <wp:extent cx="266573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5">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3"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Michael R. Cole,</w:t>
      </w:r>
    </w:p>
    <w:p>
      <w:pPr>
        <w:spacing w:after="0" w:line="23"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Principal Financial Officer and</w:t>
      </w:r>
    </w:p>
    <w:p>
      <w:pPr>
        <w:spacing w:after="0" w:line="9"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Principal Accounting Officer</w:t>
      </w:r>
    </w:p>
    <w:p>
      <w:pPr>
        <w:spacing w:after="0" w:line="211"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Each Director whose signature appears below hereby appoints Matthew J. Missad and Michael R. Cole, and each of them individually, as his or her attorney-in-fact to sign in his or her name and on his or her behalf as a Director, and to file with the Commission any and all amendments to this report on Form 10-K to the same extent and with the same effect as if done personally.</w:t>
      </w:r>
    </w:p>
    <w:p>
      <w:pPr>
        <w:sectPr>
          <w:pgSz w:w="11900" w:h="16838" w:orient="portrait"/>
          <w:cols w:equalWidth="0" w:num="1">
            <w:col w:w="9019"/>
          </w:cols>
          <w:pgMar w:left="1440" w:top="12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Joan A. Budden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14605</wp:posOffset>
            </wp:positionV>
            <wp:extent cx="271716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6">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Joan A. Budden, Director</w:t>
      </w:r>
    </w:p>
    <w:p>
      <w:pPr>
        <w:spacing w:after="0" w:line="224"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Benjamin J. McLean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14605</wp:posOffset>
            </wp:positionV>
            <wp:extent cx="271716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7">
                      <a:extLst>
                        <a:ext uri="{28A0092B-C50C-407E-A947-70E740481C1C}"/>
                      </a:extLst>
                    </a:blip>
                    <a:srcRect/>
                    <a:stretch>
                      <a:fillRect/>
                    </a:stretch>
                  </pic:blipFill>
                  <pic:spPr bwMode="auto">
                    <a:xfrm>
                      <a:off x="0" y="0"/>
                      <a:ext cx="2717165" cy="8890"/>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Benjamin J. McLean, Director</w:t>
      </w:r>
    </w:p>
    <w:p>
      <w:pPr>
        <w:spacing w:after="0" w:line="236"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Matthew J. Missad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14605</wp:posOffset>
            </wp:positionV>
            <wp:extent cx="271716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8">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Matthew J. Missad, Director</w:t>
      </w:r>
    </w:p>
    <w:p>
      <w:pPr>
        <w:spacing w:after="0" w:line="224"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Mary Tuuk Karas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14605</wp:posOffset>
            </wp:positionV>
            <wp:extent cx="271716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9">
                      <a:extLst>
                        <a:ext uri="{28A0092B-C50C-407E-A947-70E740481C1C}"/>
                      </a:extLst>
                    </a:blip>
                    <a:srcRect/>
                    <a:stretch>
                      <a:fillRect/>
                    </a:stretch>
                  </pic:blipFill>
                  <pic:spPr bwMode="auto">
                    <a:xfrm>
                      <a:off x="0" y="0"/>
                      <a:ext cx="2717165" cy="8890"/>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Mary Tuuk Karas, Director</w:t>
      </w:r>
    </w:p>
    <w:p>
      <w:pPr>
        <w:spacing w:after="0" w:line="224" w:lineRule="exact"/>
        <w:rPr>
          <w:sz w:val="20"/>
          <w:szCs w:val="20"/>
          <w:color w:val="auto"/>
        </w:rPr>
      </w:pPr>
    </w:p>
    <w:p>
      <w:pPr>
        <w:ind w:left="60" w:right="1440"/>
        <w:spacing w:after="0" w:line="359" w:lineRule="auto"/>
        <w:rPr>
          <w:sz w:val="20"/>
          <w:szCs w:val="20"/>
          <w:color w:val="auto"/>
        </w:rPr>
      </w:pPr>
      <w:r>
        <w:rPr>
          <w:rFonts w:ascii="Arial" w:cs="Arial" w:eastAsia="Arial" w:hAnsi="Arial"/>
          <w:sz w:val="16"/>
          <w:szCs w:val="16"/>
          <w:color w:val="auto"/>
        </w:rPr>
        <w:t xml:space="preserve">/s/ Michael G. Wooldridge </w:t>
      </w:r>
      <w:r>
        <w:rPr>
          <w:rFonts w:ascii="Arial" w:cs="Arial" w:eastAsia="Arial" w:hAnsi="Arial"/>
          <w:sz w:val="16"/>
          <w:szCs w:val="16"/>
          <w:b w:val="1"/>
          <w:bCs w:val="1"/>
          <w:color w:val="auto"/>
        </w:rPr>
        <w:t>Michael G. Wooldridge,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-202565</wp:posOffset>
            </wp:positionV>
            <wp:extent cx="271716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0">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William G. Currie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26746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1">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William G. Currie, Director</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/s/ Bruce A. Merino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2674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2">
                      <a:extLst>
                        <a:ext uri="{28A0092B-C50C-407E-A947-70E740481C1C}"/>
                      </a:extLst>
                    </a:blip>
                    <a:srcRect/>
                    <a:stretch>
                      <a:fillRect/>
                    </a:stretch>
                  </pic:blipFill>
                  <pic:spPr bwMode="auto">
                    <a:xfrm>
                      <a:off x="0" y="0"/>
                      <a:ext cx="26746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Bruce A. Merino, Director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 Thomas W. Rhodes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26746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3">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Thomas W. Rhodes, Director</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/s/ Brian C. Walker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2674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4">
                      <a:extLst>
                        <a:ext uri="{28A0092B-C50C-407E-A947-70E740481C1C}"/>
                      </a:extLst>
                    </a:blip>
                    <a:srcRect/>
                    <a:stretch>
                      <a:fillRect/>
                    </a:stretch>
                  </pic:blipFill>
                  <pic:spPr bwMode="auto">
                    <a:xfrm>
                      <a:off x="0" y="0"/>
                      <a:ext cx="26746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Brian C. Walker, Director</w:t>
      </w:r>
    </w:p>
    <w:p>
      <w:pPr>
        <w:spacing w:after="0" w:line="974" w:lineRule="exact"/>
        <w:rPr>
          <w:sz w:val="20"/>
          <w:szCs w:val="20"/>
          <w:color w:val="auto"/>
        </w:rPr>
      </w:pPr>
    </w:p>
    <w:p>
      <w:pPr>
        <w:sectPr>
          <w:pgSz w:w="11900" w:h="16838" w:orient="portrait"/>
          <w:cols w:equalWidth="0" w:num="2">
            <w:col w:w="4020" w:space="720"/>
            <w:col w:w="4279"/>
          </w:cols>
          <w:pgMar w:left="1440" w:top="12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type w:val="continuous"/>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t>Exhibit 4(b)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REGISTRANT’S SECURITIES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PURSUANT TO SECTION 12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following is a brief description of the common stock of UFP Industries, Inc. (the “</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This summary does not purport to be complete in all respects and is subject to and qualified in its entirety by reference to the Company’s Restated and Amended Articles of Incorporation (the "Articles of Incorporation") and Amended Bylaws (the "Bylaws"), each of which are filed as exhibits to the Annual Report on Form 10-K of which this </w:t>
      </w:r>
      <w:r>
        <w:rPr>
          <w:rFonts w:ascii="Arial" w:cs="Arial" w:eastAsia="Arial" w:hAnsi="Arial"/>
          <w:sz w:val="18"/>
          <w:szCs w:val="18"/>
          <w:u w:val="single" w:color="auto"/>
          <w:color w:val="auto"/>
        </w:rPr>
        <w:t>Exhibit 4(b)</w:t>
      </w:r>
      <w:r>
        <w:rPr>
          <w:rFonts w:ascii="Arial" w:cs="Arial" w:eastAsia="Arial" w:hAnsi="Arial"/>
          <w:sz w:val="18"/>
          <w:szCs w:val="18"/>
          <w:color w:val="auto"/>
        </w:rPr>
        <w:t xml:space="preserve"> is a part.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Stock</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Company’s authorized capital stock consists of 80,000,000 shares of common stock and 1,000,000 shares of preferred stock. As of December 26, 2020, there were no shares of preferred stock outstanding.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and Liquidation Rights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Subject to the prior rights of the holders of shares of preferred stock that may be issued and outstanding, if any, the holders of common stock are entitled to receive:</w:t>
      </w:r>
    </w:p>
    <w:p>
      <w:pPr>
        <w:spacing w:after="0" w:line="170" w:lineRule="exact"/>
        <w:rPr>
          <w:sz w:val="20"/>
          <w:szCs w:val="20"/>
          <w:color w:val="auto"/>
        </w:rPr>
      </w:pPr>
    </w:p>
    <w:p>
      <w:pPr>
        <w:ind w:left="1000" w:hanging="317"/>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dividends when, as, and if declared by the Company’s Board of Directors out of funds legally available for the payment of dividends; and</w:t>
      </w:r>
    </w:p>
    <w:p>
      <w:pPr>
        <w:spacing w:after="0" w:line="170" w:lineRule="exact"/>
        <w:rPr>
          <w:rFonts w:ascii="Arial" w:cs="Arial" w:eastAsia="Arial" w:hAnsi="Arial"/>
          <w:sz w:val="18"/>
          <w:szCs w:val="18"/>
          <w:color w:val="auto"/>
        </w:rPr>
      </w:pPr>
    </w:p>
    <w:p>
      <w:pPr>
        <w:jc w:val="both"/>
        <w:ind w:left="1000" w:hanging="317"/>
        <w:spacing w:after="0" w:line="263"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the event of dissolution of the Company, to share ratably in all assets remaining after payment of liabilities and satisfaction of the liquidation preferences, if any, of then outstanding shares of preferred stock, as provided in the Articles of Incorporation.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Each holder of common stock is entitled to one vote for each share held of record on all matters presented to a vote at a shareholders meeting, including the election of directors. Holders of common stock have no cumulative voting rights.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Company’s Articles of Incorporation provide that the Company’s Board of Directors be divided into three classes of nearly equal size, with the classes to hold office for staggered terms of three years each.</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vote required for the election of a director shall, except in a contested election, be the affirmative vote of a majority of the votes cast in the election of a nominee. For this purpose, a “majority of the votes cast” means that the number of votes cast “for” a director’s election exceeds the number of votes cast “against” that director’s election. Abstentions and broker non-votes are not counted as votes cast either “for” or “against” a director’s election. In a contested election, directors are elected by a plurality of the votes cast at the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471170</wp:posOffset>
            </wp:positionV>
            <wp:extent cx="6292215"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0" w:name="page21"/>
    <w:bookmarkEnd w:id="20"/>
    <w:p>
      <w:pPr>
        <w:jc w:val="both"/>
        <w:ind w:right="20"/>
        <w:spacing w:after="0" w:line="277" w:lineRule="auto"/>
        <w:rPr>
          <w:sz w:val="20"/>
          <w:szCs w:val="20"/>
          <w:color w:val="auto"/>
        </w:rPr>
      </w:pPr>
      <w:r>
        <w:rPr>
          <w:rFonts w:ascii="Arial" w:cs="Arial" w:eastAsia="Arial" w:hAnsi="Arial"/>
          <w:sz w:val="18"/>
          <w:szCs w:val="18"/>
          <w:color w:val="auto"/>
        </w:rPr>
        <w:t>An election is considered contested if there are more nominees for election than positions on the Board of Directors to be filled by election at that meeting.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common stock is currently traded on the Nasdaq Global Select Market under the symbol “ufpi.”</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Applicable Anti-Takeover Provisions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Company's Articles of Incorporation and Bylaws contain provisions that could also have an anti-takeover effect. Some of the provisions also may make it difficult for shareholders to replace incumbent directors with new directors who may be willing to entertain changes that shareholders may believe will lead to improvements in the combined company’s business.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All of the outstanding shares of the Company’s common stock are fully paid and non-assessable. Holders of common stock have no preemptive rights to purchase or subscribe for any additional shares of common stock or other securities, and there are no conversion rights or redemption or sinking fund provisions with respect to the Company’s common stock.</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transfer agent for the Company’s common stock is American Stock Transfer &amp; Trust Co., 6201 15th Avenue, Brooklyn, 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11219.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21" w:name="page22"/>
    <w:bookmarkEnd w:id="21"/>
    <w:p>
      <w:pPr>
        <w:jc w:val="right"/>
        <w:ind w:right="219"/>
        <w:spacing w:after="0"/>
        <w:rPr>
          <w:sz w:val="20"/>
          <w:szCs w:val="20"/>
          <w:color w:val="auto"/>
        </w:rPr>
      </w:pPr>
      <w:r>
        <w:rPr>
          <w:rFonts w:ascii="Arial" w:cs="Arial" w:eastAsia="Arial" w:hAnsi="Arial"/>
          <w:sz w:val="20"/>
          <w:szCs w:val="20"/>
          <w:b w:val="1"/>
          <w:bCs w:val="1"/>
          <w:color w:val="auto"/>
        </w:rPr>
        <w:t>Exhibit 10(k)</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UFP INDUSTRIES, INC.</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3.04% SENIOR SERIES E NOTE DUE AUGUST 10, 2032</w:t>
      </w:r>
    </w:p>
    <w:p>
      <w:pPr>
        <w:spacing w:after="0" w:line="200" w:lineRule="exact"/>
        <w:rPr>
          <w:sz w:val="20"/>
          <w:szCs w:val="20"/>
          <w:color w:val="auto"/>
        </w:rPr>
      </w:pPr>
    </w:p>
    <w:p>
      <w:pPr>
        <w:spacing w:after="0" w:line="251" w:lineRule="exact"/>
        <w:rPr>
          <w:sz w:val="20"/>
          <w:szCs w:val="20"/>
          <w:color w:val="auto"/>
        </w:rPr>
      </w:pPr>
    </w:p>
    <w:p>
      <w:pPr>
        <w:ind w:left="200"/>
        <w:spacing w:after="0"/>
        <w:rPr>
          <w:sz w:val="20"/>
          <w:szCs w:val="20"/>
          <w:color w:val="auto"/>
        </w:rPr>
      </w:pPr>
      <w:r>
        <w:rPr>
          <w:rFonts w:ascii="Arial" w:cs="Arial" w:eastAsia="Arial" w:hAnsi="Arial"/>
          <w:sz w:val="20"/>
          <w:szCs w:val="20"/>
          <w:color w:val="auto"/>
        </w:rPr>
        <w:t>No. E-1</w:t>
      </w:r>
    </w:p>
    <w:p>
      <w:pPr>
        <w:spacing w:after="0" w:line="20" w:lineRule="exact"/>
        <w:rPr>
          <w:sz w:val="20"/>
          <w:szCs w:val="20"/>
          <w:color w:val="auto"/>
        </w:rPr>
      </w:pPr>
    </w:p>
    <w:p>
      <w:pPr>
        <w:ind w:left="200"/>
        <w:spacing w:after="0"/>
        <w:rPr>
          <w:sz w:val="20"/>
          <w:szCs w:val="20"/>
          <w:color w:val="auto"/>
        </w:rPr>
      </w:pPr>
      <w:r>
        <w:rPr>
          <w:rFonts w:ascii="Arial" w:cs="Arial" w:eastAsia="Arial" w:hAnsi="Arial"/>
          <w:sz w:val="20"/>
          <w:szCs w:val="20"/>
          <w:color w:val="auto"/>
        </w:rPr>
        <w:t>ORIGINAL PRINCIPAL AMOUNT: $1,450,000</w:t>
      </w:r>
    </w:p>
    <w:p>
      <w:pPr>
        <w:spacing w:after="0" w:line="13" w:lineRule="exact"/>
        <w:rPr>
          <w:sz w:val="20"/>
          <w:szCs w:val="20"/>
          <w:color w:val="auto"/>
        </w:rPr>
      </w:pPr>
    </w:p>
    <w:p>
      <w:pPr>
        <w:ind w:left="200"/>
        <w:spacing w:after="0"/>
        <w:rPr>
          <w:sz w:val="20"/>
          <w:szCs w:val="20"/>
          <w:color w:val="auto"/>
        </w:rPr>
      </w:pPr>
      <w:r>
        <w:rPr>
          <w:rFonts w:ascii="Arial" w:cs="Arial" w:eastAsia="Arial" w:hAnsi="Arial"/>
          <w:sz w:val="20"/>
          <w:szCs w:val="20"/>
          <w:color w:val="auto"/>
        </w:rPr>
        <w:t>ORIGINAL ISSUE DATE: August 10, 2020</w:t>
      </w:r>
    </w:p>
    <w:p>
      <w:pPr>
        <w:spacing w:after="0" w:line="13" w:lineRule="exact"/>
        <w:rPr>
          <w:sz w:val="20"/>
          <w:szCs w:val="20"/>
          <w:color w:val="auto"/>
        </w:rPr>
      </w:pPr>
    </w:p>
    <w:p>
      <w:pPr>
        <w:ind w:left="200"/>
        <w:spacing w:after="0"/>
        <w:rPr>
          <w:sz w:val="20"/>
          <w:szCs w:val="20"/>
          <w:color w:val="auto"/>
        </w:rPr>
      </w:pPr>
      <w:r>
        <w:rPr>
          <w:rFonts w:ascii="Arial" w:cs="Arial" w:eastAsia="Arial" w:hAnsi="Arial"/>
          <w:sz w:val="20"/>
          <w:szCs w:val="20"/>
          <w:color w:val="auto"/>
        </w:rPr>
        <w:t>INTEREST RATE: 3.04%</w:t>
      </w:r>
    </w:p>
    <w:p>
      <w:pPr>
        <w:spacing w:after="0" w:line="13" w:lineRule="exact"/>
        <w:rPr>
          <w:sz w:val="20"/>
          <w:szCs w:val="20"/>
          <w:color w:val="auto"/>
        </w:rPr>
      </w:pPr>
    </w:p>
    <w:p>
      <w:pPr>
        <w:ind w:left="200" w:right="579"/>
        <w:spacing w:after="0" w:line="253" w:lineRule="auto"/>
        <w:rPr>
          <w:sz w:val="20"/>
          <w:szCs w:val="20"/>
          <w:color w:val="auto"/>
        </w:rPr>
      </w:pPr>
      <w:r>
        <w:rPr>
          <w:rFonts w:ascii="Arial" w:cs="Arial" w:eastAsia="Arial" w:hAnsi="Arial"/>
          <w:sz w:val="20"/>
          <w:szCs w:val="20"/>
          <w:color w:val="auto"/>
        </w:rPr>
        <w:t>INTEREST PAYMENT DATES: Semi-annually, in arrears, on February 10 and August 10 of each year, commencing on February 10, 2021</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20"/>
          <w:szCs w:val="20"/>
          <w:color w:val="auto"/>
        </w:rPr>
        <w:t>FINAL MATURITY DATE: August 10, 2032</w:t>
      </w:r>
    </w:p>
    <w:p>
      <w:pPr>
        <w:spacing w:after="0" w:line="13" w:lineRule="exact"/>
        <w:rPr>
          <w:sz w:val="20"/>
          <w:szCs w:val="20"/>
          <w:color w:val="auto"/>
        </w:rPr>
      </w:pPr>
    </w:p>
    <w:p>
      <w:pPr>
        <w:ind w:left="200" w:right="1979"/>
        <w:spacing w:after="0" w:line="267" w:lineRule="auto"/>
        <w:rPr>
          <w:sz w:val="20"/>
          <w:szCs w:val="20"/>
          <w:color w:val="auto"/>
        </w:rPr>
      </w:pPr>
      <w:r>
        <w:rPr>
          <w:rFonts w:ascii="Arial" w:cs="Arial" w:eastAsia="Arial" w:hAnsi="Arial"/>
          <w:sz w:val="20"/>
          <w:szCs w:val="20"/>
          <w:color w:val="auto"/>
        </w:rPr>
        <w:t>PRINCIPAL PREPAYMENT DATES AND AMOUNTS: None, bullet due at maturity PPN 913543 D@0</w:t>
      </w:r>
    </w:p>
    <w:p>
      <w:pPr>
        <w:spacing w:after="0" w:line="115" w:lineRule="exact"/>
        <w:rPr>
          <w:sz w:val="20"/>
          <w:szCs w:val="20"/>
          <w:color w:val="auto"/>
        </w:rPr>
      </w:pPr>
    </w:p>
    <w:p>
      <w:pPr>
        <w:jc w:val="both"/>
        <w:ind w:left="200" w:right="219" w:firstLine="648"/>
        <w:spacing w:after="0" w:line="257" w:lineRule="auto"/>
        <w:rPr>
          <w:sz w:val="20"/>
          <w:szCs w:val="20"/>
          <w:color w:val="auto"/>
        </w:rPr>
      </w:pPr>
      <w:r>
        <w:rPr>
          <w:rFonts w:ascii="Arial" w:cs="Arial" w:eastAsia="Arial" w:hAnsi="Arial"/>
          <w:sz w:val="20"/>
          <w:szCs w:val="20"/>
          <w:color w:val="auto"/>
        </w:rPr>
        <w:t>FOR VALUE RECEIVED, the undersigned, UFP Industries, Inc. (f/k/a Universal Forest Products, Inc.), a Michigan corporation (herein called the “Company”), hereby promises to pay to</w:t>
      </w:r>
    </w:p>
    <w:p>
      <w:pPr>
        <w:spacing w:after="0" w:line="1" w:lineRule="exact"/>
        <w:rPr>
          <w:sz w:val="20"/>
          <w:szCs w:val="20"/>
          <w:color w:val="auto"/>
        </w:rPr>
      </w:pPr>
    </w:p>
    <w:p>
      <w:pPr>
        <w:jc w:val="both"/>
        <w:ind w:left="200" w:right="219"/>
        <w:spacing w:after="0" w:line="266" w:lineRule="auto"/>
        <w:rPr>
          <w:sz w:val="20"/>
          <w:szCs w:val="20"/>
          <w:color w:val="auto"/>
        </w:rPr>
      </w:pPr>
      <w:r>
        <w:rPr>
          <w:rFonts w:ascii="Arial" w:cs="Arial" w:eastAsia="Arial" w:hAnsi="Arial"/>
          <w:sz w:val="20"/>
          <w:szCs w:val="20"/>
          <w:b w:val="1"/>
          <w:bCs w:val="1"/>
          <w:color w:val="auto"/>
        </w:rPr>
        <w:t>P</w:t>
      </w:r>
      <w:r>
        <w:rPr>
          <w:rFonts w:ascii="Arial" w:cs="Arial" w:eastAsia="Arial" w:hAnsi="Arial"/>
          <w:sz w:val="13"/>
          <w:szCs w:val="13"/>
          <w:b w:val="1"/>
          <w:bCs w:val="1"/>
          <w:color w:val="auto"/>
        </w:rPr>
        <w:t>RUDENTIAL</w:t>
      </w:r>
      <w:r>
        <w:rPr>
          <w:rFonts w:ascii="Arial" w:cs="Arial" w:eastAsia="Arial" w:hAnsi="Arial"/>
          <w:sz w:val="20"/>
          <w:szCs w:val="20"/>
          <w:b w:val="1"/>
          <w:bCs w:val="1"/>
          <w:color w:val="auto"/>
        </w:rPr>
        <w:t xml:space="preserve"> T</w:t>
      </w:r>
      <w:r>
        <w:rPr>
          <w:rFonts w:ascii="Arial" w:cs="Arial" w:eastAsia="Arial" w:hAnsi="Arial"/>
          <w:sz w:val="13"/>
          <w:szCs w:val="13"/>
          <w:b w:val="1"/>
          <w:bCs w:val="1"/>
          <w:color w:val="auto"/>
        </w:rPr>
        <w:t>ERM</w:t>
      </w:r>
      <w:r>
        <w:rPr>
          <w:rFonts w:ascii="Arial" w:cs="Arial" w:eastAsia="Arial" w:hAnsi="Arial"/>
          <w:sz w:val="20"/>
          <w:szCs w:val="20"/>
          <w:b w:val="1"/>
          <w:bCs w:val="1"/>
          <w:color w:val="auto"/>
        </w:rPr>
        <w:t xml:space="preserve"> R</w:t>
      </w:r>
      <w:r>
        <w:rPr>
          <w:rFonts w:ascii="Arial" w:cs="Arial" w:eastAsia="Arial" w:hAnsi="Arial"/>
          <w:sz w:val="13"/>
          <w:szCs w:val="13"/>
          <w:b w:val="1"/>
          <w:bCs w:val="1"/>
          <w:color w:val="auto"/>
        </w:rPr>
        <w:t>EINSURANCE</w:t>
      </w:r>
      <w:r>
        <w:rPr>
          <w:rFonts w:ascii="Arial" w:cs="Arial" w:eastAsia="Arial" w:hAnsi="Arial"/>
          <w:sz w:val="20"/>
          <w:szCs w:val="20"/>
          <w:b w:val="1"/>
          <w:bCs w:val="1"/>
          <w:color w:val="auto"/>
        </w:rPr>
        <w:t xml:space="preserve"> C</w:t>
      </w:r>
      <w:r>
        <w:rPr>
          <w:rFonts w:ascii="Arial" w:cs="Arial" w:eastAsia="Arial" w:hAnsi="Arial"/>
          <w:sz w:val="13"/>
          <w:szCs w:val="13"/>
          <w:b w:val="1"/>
          <w:bCs w:val="1"/>
          <w:color w:val="auto"/>
        </w:rPr>
        <w:t>OMPANY</w:t>
      </w:r>
      <w:r>
        <w:rPr>
          <w:rFonts w:ascii="Arial" w:cs="Arial" w:eastAsia="Arial" w:hAnsi="Arial"/>
          <w:sz w:val="20"/>
          <w:szCs w:val="20"/>
          <w:color w:val="auto"/>
        </w:rPr>
        <w:t>, or registered assigns, the principal sum of</w:t>
      </w:r>
      <w:r>
        <w:rPr>
          <w:rFonts w:ascii="Arial" w:cs="Arial" w:eastAsia="Arial" w:hAnsi="Arial"/>
          <w:sz w:val="20"/>
          <w:szCs w:val="20"/>
          <w:b w:val="1"/>
          <w:bCs w:val="1"/>
          <w:color w:val="auto"/>
        </w:rPr>
        <w:t xml:space="preserve"> O</w:t>
      </w:r>
      <w:r>
        <w:rPr>
          <w:rFonts w:ascii="Arial" w:cs="Arial" w:eastAsia="Arial" w:hAnsi="Arial"/>
          <w:sz w:val="13"/>
          <w:szCs w:val="13"/>
          <w:b w:val="1"/>
          <w:bCs w:val="1"/>
          <w:color w:val="auto"/>
        </w:rPr>
        <w:t>NE</w:t>
      </w:r>
      <w:r>
        <w:rPr>
          <w:rFonts w:ascii="Arial" w:cs="Arial" w:eastAsia="Arial" w:hAnsi="Arial"/>
          <w:sz w:val="20"/>
          <w:szCs w:val="20"/>
          <w:b w:val="1"/>
          <w:bCs w:val="1"/>
          <w:color w:val="auto"/>
        </w:rPr>
        <w:t xml:space="preserve"> M</w:t>
      </w:r>
      <w:r>
        <w:rPr>
          <w:rFonts w:ascii="Arial" w:cs="Arial" w:eastAsia="Arial" w:hAnsi="Arial"/>
          <w:sz w:val="13"/>
          <w:szCs w:val="13"/>
          <w:b w:val="1"/>
          <w:bCs w:val="1"/>
          <w:color w:val="auto"/>
        </w:rPr>
        <w:t>ILLION</w:t>
      </w:r>
      <w:r>
        <w:rPr>
          <w:rFonts w:ascii="Arial" w:cs="Arial" w:eastAsia="Arial" w:hAnsi="Arial"/>
          <w:sz w:val="20"/>
          <w:szCs w:val="20"/>
          <w:b w:val="1"/>
          <w:bCs w:val="1"/>
          <w:color w:val="auto"/>
        </w:rPr>
        <w:t xml:space="preserve"> F</w:t>
      </w:r>
      <w:r>
        <w:rPr>
          <w:rFonts w:ascii="Arial" w:cs="Arial" w:eastAsia="Arial" w:hAnsi="Arial"/>
          <w:sz w:val="13"/>
          <w:szCs w:val="13"/>
          <w:b w:val="1"/>
          <w:bCs w:val="1"/>
          <w:color w:val="auto"/>
        </w:rPr>
        <w:t>OUR</w:t>
      </w:r>
      <w:r>
        <w:rPr>
          <w:rFonts w:ascii="Arial" w:cs="Arial" w:eastAsia="Arial" w:hAnsi="Arial"/>
          <w:sz w:val="20"/>
          <w:szCs w:val="20"/>
          <w:b w:val="1"/>
          <w:bCs w:val="1"/>
          <w:color w:val="auto"/>
        </w:rPr>
        <w:t xml:space="preserve"> </w:t>
      </w:r>
      <w:r>
        <w:rPr>
          <w:rFonts w:ascii="Arial" w:cs="Arial" w:eastAsia="Arial" w:hAnsi="Arial"/>
          <w:sz w:val="13"/>
          <w:szCs w:val="13"/>
          <w:b w:val="1"/>
          <w:bCs w:val="1"/>
          <w:color w:val="auto"/>
        </w:rPr>
        <w:t xml:space="preserve">HUNDRED </w:t>
      </w:r>
      <w:r>
        <w:rPr>
          <w:rFonts w:ascii="Arial" w:cs="Arial" w:eastAsia="Arial" w:hAnsi="Arial"/>
          <w:sz w:val="19"/>
          <w:szCs w:val="19"/>
          <w:b w:val="1"/>
          <w:bCs w:val="1"/>
          <w:color w:val="auto"/>
        </w:rPr>
        <w:t>F</w:t>
      </w:r>
      <w:r>
        <w:rPr>
          <w:rFonts w:ascii="Arial" w:cs="Arial" w:eastAsia="Arial" w:hAnsi="Arial"/>
          <w:sz w:val="13"/>
          <w:szCs w:val="13"/>
          <w:b w:val="1"/>
          <w:bCs w:val="1"/>
          <w:color w:val="auto"/>
        </w:rPr>
        <w:t xml:space="preserve">IFTY </w:t>
      </w:r>
      <w:r>
        <w:rPr>
          <w:rFonts w:ascii="Arial" w:cs="Arial" w:eastAsia="Arial" w:hAnsi="Arial"/>
          <w:sz w:val="19"/>
          <w:szCs w:val="19"/>
          <w:b w:val="1"/>
          <w:bCs w:val="1"/>
          <w:color w:val="auto"/>
        </w:rPr>
        <w:t>T</w:t>
      </w:r>
      <w:r>
        <w:rPr>
          <w:rFonts w:ascii="Arial" w:cs="Arial" w:eastAsia="Arial" w:hAnsi="Arial"/>
          <w:sz w:val="13"/>
          <w:szCs w:val="13"/>
          <w:b w:val="1"/>
          <w:bCs w:val="1"/>
          <w:color w:val="auto"/>
        </w:rPr>
        <w:t xml:space="preserve">HOUSAND </w:t>
      </w:r>
      <w:r>
        <w:rPr>
          <w:rFonts w:ascii="Arial" w:cs="Arial" w:eastAsia="Arial" w:hAnsi="Arial"/>
          <w:sz w:val="19"/>
          <w:szCs w:val="19"/>
          <w:b w:val="1"/>
          <w:bCs w:val="1"/>
          <w:color w:val="auto"/>
        </w:rPr>
        <w:t>D</w:t>
      </w:r>
      <w:r>
        <w:rPr>
          <w:rFonts w:ascii="Arial" w:cs="Arial" w:eastAsia="Arial" w:hAnsi="Arial"/>
          <w:sz w:val="13"/>
          <w:szCs w:val="13"/>
          <w:b w:val="1"/>
          <w:bCs w:val="1"/>
          <w:color w:val="auto"/>
        </w:rPr>
        <w:t xml:space="preserve">OLLARS </w:t>
      </w:r>
      <w:r>
        <w:rPr>
          <w:rFonts w:ascii="Arial" w:cs="Arial" w:eastAsia="Arial" w:hAnsi="Arial"/>
          <w:sz w:val="19"/>
          <w:szCs w:val="19"/>
          <w:color w:val="auto"/>
        </w:rPr>
        <w:t>on the Final Maturity Date specified above, with interest (computed on</w:t>
      </w:r>
      <w:r>
        <w:rPr>
          <w:rFonts w:ascii="Arial" w:cs="Arial" w:eastAsia="Arial" w:hAnsi="Arial"/>
          <w:sz w:val="13"/>
          <w:szCs w:val="13"/>
          <w:b w:val="1"/>
          <w:bCs w:val="1"/>
          <w:color w:val="auto"/>
        </w:rPr>
        <w:t xml:space="preserve"> </w:t>
      </w:r>
      <w:r>
        <w:rPr>
          <w:rFonts w:ascii="Arial" w:cs="Arial" w:eastAsia="Arial" w:hAnsi="Arial"/>
          <w:sz w:val="19"/>
          <w:szCs w:val="19"/>
          <w:color w:val="auto"/>
        </w:rPr>
        <w:t>the basis of a 360-day year—30-day month) on the unpaid balance thereof at the Interest Rate per annum specified above from the date hereof, payable on each Interest Payment Date specified above and on the Final Maturity Date specified above, commencing with the Interest Payment Date next succeeding the date hereof. The Company agrees to pay interest on overdue principal (including any overdue optional prepayment of principal) and premium, if any, and (to the extent legally enforceable) on any overdue installment of interest, at the Overdue Rate after the due date, whether by acceleration or otherwise, until paid. “Overdue Rate” shall mean the lesser of (a) the maximum interest rate permitted by law, and (b) the greater of (ii) the Interest Rate specified above plus 2.00% per annum or (b) the rate of interest publicly announced by JPMorgan Chase Bank, National Association, from time to time in New York City as its Prime Rate plus 2.00% per annum.</w:t>
      </w:r>
    </w:p>
    <w:p>
      <w:pPr>
        <w:spacing w:after="0" w:line="112" w:lineRule="exact"/>
        <w:rPr>
          <w:sz w:val="20"/>
          <w:szCs w:val="20"/>
          <w:color w:val="auto"/>
        </w:rPr>
      </w:pPr>
    </w:p>
    <w:p>
      <w:pPr>
        <w:jc w:val="both"/>
        <w:ind w:left="200" w:right="219" w:firstLine="648"/>
        <w:spacing w:after="0" w:line="286" w:lineRule="auto"/>
        <w:rPr>
          <w:sz w:val="20"/>
          <w:szCs w:val="20"/>
          <w:color w:val="auto"/>
        </w:rPr>
      </w:pPr>
      <w:r>
        <w:rPr>
          <w:rFonts w:ascii="Arial" w:cs="Arial" w:eastAsia="Arial" w:hAnsi="Arial"/>
          <w:sz w:val="18"/>
          <w:szCs w:val="18"/>
          <w:color w:val="auto"/>
        </w:rPr>
        <w:t xml:space="preserve">Both the principal hereof and interest hereon are payable at the principal office of the Company in Grand Rapids, Michigan in coin or currency of the United States of America which at the time of payment shall be legal tender for the payment of public and private debts. If any amount of principal, premium, if any, or interest on or in respect of this Note becomes due and payable on any date which is not a Business Day, such amount shall be payable on the immediately succeeding Business Day without including the additional days elapsed in the computation of the interest payable on such next succeeding Business Day;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if the maturity date of this Note is a date other than a Business Day, the payment otherwise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due on such maturity date shall be made on the next succeeding Business Day and shall include the additional days elapsed in the computation of interest payable on such next succeeding Business Day. </w:t>
      </w:r>
      <w:r>
        <w:rPr>
          <w:rFonts w:ascii="Arial" w:cs="Arial" w:eastAsia="Arial" w:hAnsi="Arial"/>
          <w:sz w:val="18"/>
          <w:szCs w:val="18"/>
          <w:i w:val="1"/>
          <w:iCs w:val="1"/>
          <w:color w:val="auto"/>
        </w:rPr>
        <w:t xml:space="preserve">“Business Day” </w:t>
      </w:r>
      <w:r>
        <w:rPr>
          <w:rFonts w:ascii="Arial" w:cs="Arial" w:eastAsia="Arial" w:hAnsi="Arial"/>
          <w:sz w:val="18"/>
          <w:szCs w:val="18"/>
          <w:color w:val="auto"/>
        </w:rPr>
        <w:t>means any day other than a Saturday, Sunday or other day on which banks in either Grand</w:t>
      </w:r>
      <w:r>
        <w:rPr>
          <w:rFonts w:ascii="Arial" w:cs="Arial" w:eastAsia="Arial" w:hAnsi="Arial"/>
          <w:sz w:val="18"/>
          <w:szCs w:val="18"/>
          <w:i w:val="1"/>
          <w:iCs w:val="1"/>
          <w:color w:val="auto"/>
        </w:rPr>
        <w:t xml:space="preserve"> </w:t>
      </w:r>
      <w:r>
        <w:rPr>
          <w:rFonts w:ascii="Arial" w:cs="Arial" w:eastAsia="Arial" w:hAnsi="Arial"/>
          <w:sz w:val="18"/>
          <w:szCs w:val="18"/>
          <w:color w:val="auto"/>
        </w:rPr>
        <w:t>Rapids, Michigan or New York, New York are required by law to close or are customarily closed.</w:t>
      </w:r>
    </w:p>
    <w:p>
      <w:pPr>
        <w:spacing w:after="0" w:line="108" w:lineRule="exact"/>
        <w:rPr>
          <w:sz w:val="20"/>
          <w:szCs w:val="20"/>
          <w:color w:val="auto"/>
        </w:rPr>
      </w:pPr>
    </w:p>
    <w:p>
      <w:pPr>
        <w:jc w:val="both"/>
        <w:ind w:left="200" w:right="219" w:firstLine="648"/>
        <w:spacing w:after="0" w:line="291" w:lineRule="auto"/>
        <w:rPr>
          <w:sz w:val="20"/>
          <w:szCs w:val="20"/>
          <w:color w:val="auto"/>
        </w:rPr>
      </w:pPr>
      <w:r>
        <w:rPr>
          <w:rFonts w:ascii="Arial" w:cs="Arial" w:eastAsia="Arial" w:hAnsi="Arial"/>
          <w:sz w:val="18"/>
          <w:szCs w:val="18"/>
          <w:color w:val="auto"/>
        </w:rPr>
        <w:t>This Note is one of the 3.04% Series E Senior Notes, due August 10, 2032 of the Company in the original aggregate principal amount of $50,000,000, which, together with the 3.89% Series A Senior Notes, due December 17, 2022, of the Company in the original aggregate principal amount of $35,000,000, the 3.98% Series B Senior Notes, due December 17, 2024, of the Company in the original aggregate principal amount of $40,000,000, and any other Shelf Notes (as defined in the Note Agreement hereafter mentioned), are issued or to be issued under and pursuant to the terms and provisions of the Note Purchase and Private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460375</wp:posOffset>
            </wp:positionV>
            <wp:extent cx="545211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2" w:name="page23"/>
    <w:bookmarkEnd w:id="22"/>
    <w:p>
      <w:pPr>
        <w:jc w:val="right"/>
        <w:ind w:right="219"/>
        <w:spacing w:after="0"/>
        <w:rPr>
          <w:sz w:val="20"/>
          <w:szCs w:val="20"/>
          <w:color w:val="auto"/>
        </w:rPr>
      </w:pPr>
      <w:r>
        <w:rPr>
          <w:rFonts w:ascii="Arial" w:cs="Arial" w:eastAsia="Arial" w:hAnsi="Arial"/>
          <w:sz w:val="20"/>
          <w:szCs w:val="20"/>
          <w:b w:val="1"/>
          <w:bCs w:val="1"/>
          <w:color w:val="auto"/>
        </w:rPr>
        <w:t>Exhibit 10(k)</w:t>
      </w:r>
    </w:p>
    <w:p>
      <w:pPr>
        <w:spacing w:after="0" w:line="200" w:lineRule="exact"/>
        <w:rPr>
          <w:sz w:val="20"/>
          <w:szCs w:val="20"/>
          <w:color w:val="auto"/>
        </w:rPr>
      </w:pPr>
    </w:p>
    <w:p>
      <w:pPr>
        <w:spacing w:after="0" w:line="238" w:lineRule="exact"/>
        <w:rPr>
          <w:sz w:val="20"/>
          <w:szCs w:val="20"/>
          <w:color w:val="auto"/>
        </w:rPr>
      </w:pPr>
    </w:p>
    <w:p>
      <w:pPr>
        <w:jc w:val="both"/>
        <w:ind w:left="200" w:right="219"/>
        <w:spacing w:after="0" w:line="273" w:lineRule="auto"/>
        <w:rPr>
          <w:sz w:val="20"/>
          <w:szCs w:val="20"/>
          <w:color w:val="auto"/>
        </w:rPr>
      </w:pPr>
      <w:r>
        <w:rPr>
          <w:rFonts w:ascii="Arial" w:cs="Arial" w:eastAsia="Arial" w:hAnsi="Arial"/>
          <w:sz w:val="19"/>
          <w:szCs w:val="19"/>
          <w:color w:val="auto"/>
        </w:rPr>
        <w:t xml:space="preserve">Shelf Agreement, dated as of December 17, 2012 (the </w:t>
      </w:r>
      <w:r>
        <w:rPr>
          <w:rFonts w:ascii="Arial" w:cs="Arial" w:eastAsia="Arial" w:hAnsi="Arial"/>
          <w:sz w:val="19"/>
          <w:szCs w:val="19"/>
          <w:i w:val="1"/>
          <w:iCs w:val="1"/>
          <w:color w:val="auto"/>
        </w:rPr>
        <w:t>“Note Agreement”</w:t>
      </w:r>
      <w:r>
        <w:rPr>
          <w:rFonts w:ascii="Arial" w:cs="Arial" w:eastAsia="Arial" w:hAnsi="Arial"/>
          <w:sz w:val="19"/>
          <w:szCs w:val="19"/>
          <w:color w:val="auto"/>
        </w:rPr>
        <w:t>), between the Company, on the one hand, and PGIM, Inc. , the Initial Purchasers named in the Purchaser Schedule attached thereto and each Prudential Affiliate which becomes party thereto, on the other hand, and the holder hereof is entitled equally and ratably with the holders of all other Notes outstanding under the Note Agreement to all the benefits provided for thereby or referred to therein. Reference is hereby made to the Note Agreement for a statement of such rights and benefits.</w:t>
      </w:r>
    </w:p>
    <w:p>
      <w:pPr>
        <w:spacing w:after="0" w:line="115" w:lineRule="exact"/>
        <w:rPr>
          <w:sz w:val="20"/>
          <w:szCs w:val="20"/>
          <w:color w:val="auto"/>
        </w:rPr>
      </w:pPr>
    </w:p>
    <w:p>
      <w:pPr>
        <w:jc w:val="both"/>
        <w:ind w:left="200" w:right="239" w:firstLine="648"/>
        <w:spacing w:after="0" w:line="284" w:lineRule="auto"/>
        <w:rPr>
          <w:sz w:val="20"/>
          <w:szCs w:val="20"/>
          <w:color w:val="auto"/>
        </w:rPr>
      </w:pPr>
      <w:r>
        <w:rPr>
          <w:rFonts w:ascii="Arial" w:cs="Arial" w:eastAsia="Arial" w:hAnsi="Arial"/>
          <w:sz w:val="19"/>
          <w:szCs w:val="19"/>
          <w:color w:val="auto"/>
        </w:rPr>
        <w:t>This Note and the other Notes outstanding under the Note Agreement may be declared due prior to their expressed maturity dates and certain prepayments are required to be made thereon, all in the events, on the terms and in the manner and amounts as provided in the Note Agreements.</w:t>
      </w:r>
    </w:p>
    <w:p>
      <w:pPr>
        <w:spacing w:after="0" w:line="88" w:lineRule="exact"/>
        <w:rPr>
          <w:sz w:val="20"/>
          <w:szCs w:val="20"/>
          <w:color w:val="auto"/>
        </w:rPr>
      </w:pPr>
    </w:p>
    <w:p>
      <w:pPr>
        <w:jc w:val="both"/>
        <w:ind w:left="200" w:right="219" w:firstLine="648"/>
        <w:spacing w:after="0" w:line="264" w:lineRule="auto"/>
        <w:rPr>
          <w:sz w:val="20"/>
          <w:szCs w:val="20"/>
          <w:color w:val="auto"/>
        </w:rPr>
      </w:pPr>
      <w:r>
        <w:rPr>
          <w:rFonts w:ascii="Arial" w:cs="Arial" w:eastAsia="Arial" w:hAnsi="Arial"/>
          <w:sz w:val="20"/>
          <w:szCs w:val="20"/>
          <w:color w:val="auto"/>
        </w:rPr>
        <w:t>The Notes are not subject to prepayment or redemption at the option of the Company prior to their expressed maturity dates except on the terms and conditions and in the amounts and with the premium, if any, set forth in the Note Agreement.</w:t>
      </w:r>
    </w:p>
    <w:p>
      <w:pPr>
        <w:spacing w:after="0" w:line="119" w:lineRule="exact"/>
        <w:rPr>
          <w:sz w:val="20"/>
          <w:szCs w:val="20"/>
          <w:color w:val="auto"/>
        </w:rPr>
      </w:pPr>
    </w:p>
    <w:p>
      <w:pPr>
        <w:jc w:val="both"/>
        <w:ind w:left="200" w:right="219" w:firstLine="648"/>
        <w:spacing w:after="0" w:line="258" w:lineRule="auto"/>
        <w:rPr>
          <w:sz w:val="20"/>
          <w:szCs w:val="20"/>
          <w:color w:val="auto"/>
        </w:rPr>
      </w:pPr>
      <w:r>
        <w:rPr>
          <w:rFonts w:ascii="Arial" w:cs="Arial" w:eastAsia="Arial" w:hAnsi="Arial"/>
          <w:sz w:val="20"/>
          <w:szCs w:val="20"/>
          <w:color w:val="auto"/>
        </w:rPr>
        <w:t>This Note is registered on the books of the Company and is transferable only by surrender thereof at the principal office of the Company duly endorsed or accompanied by a written instrument of transfer duly executed by the registered holder of this Note or its attorney duly authorized in writing. Payment of or on account of principal, premium, if any, and interest on this Note shall be made only to or upon the order in writing of the registered holder.</w:t>
      </w:r>
    </w:p>
    <w:p>
      <w:pPr>
        <w:spacing w:after="0" w:line="127" w:lineRule="exact"/>
        <w:rPr>
          <w:sz w:val="20"/>
          <w:szCs w:val="20"/>
          <w:color w:val="auto"/>
        </w:rPr>
      </w:pPr>
    </w:p>
    <w:p>
      <w:pPr>
        <w:ind w:left="38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follows</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833120</wp:posOffset>
            </wp:positionV>
            <wp:extent cx="545211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23" w:name="page24"/>
    <w:bookmarkEnd w:id="23"/>
    <w:p>
      <w:pPr>
        <w:jc w:val="right"/>
        <w:ind w:right="219"/>
        <w:spacing w:after="0"/>
        <w:rPr>
          <w:sz w:val="20"/>
          <w:szCs w:val="20"/>
          <w:color w:val="auto"/>
        </w:rPr>
      </w:pPr>
      <w:r>
        <w:rPr>
          <w:rFonts w:ascii="Arial" w:cs="Arial" w:eastAsia="Arial" w:hAnsi="Arial"/>
          <w:sz w:val="20"/>
          <w:szCs w:val="20"/>
          <w:b w:val="1"/>
          <w:bCs w:val="1"/>
          <w:color w:val="auto"/>
        </w:rPr>
        <w:t>Exhibit 10(k)</w:t>
      </w:r>
    </w:p>
    <w:p>
      <w:pPr>
        <w:spacing w:after="0" w:line="200" w:lineRule="exact"/>
        <w:rPr>
          <w:sz w:val="20"/>
          <w:szCs w:val="20"/>
          <w:color w:val="auto"/>
        </w:rPr>
      </w:pPr>
    </w:p>
    <w:p>
      <w:pPr>
        <w:spacing w:after="0" w:line="232" w:lineRule="exact"/>
        <w:rPr>
          <w:sz w:val="20"/>
          <w:szCs w:val="20"/>
          <w:color w:val="auto"/>
        </w:rPr>
      </w:pPr>
    </w:p>
    <w:p>
      <w:pPr>
        <w:jc w:val="both"/>
        <w:ind w:left="200" w:right="219" w:firstLine="648"/>
        <w:spacing w:after="0" w:line="262" w:lineRule="auto"/>
        <w:rPr>
          <w:sz w:val="20"/>
          <w:szCs w:val="20"/>
          <w:color w:val="auto"/>
        </w:rPr>
      </w:pPr>
      <w:r>
        <w:rPr>
          <w:rFonts w:ascii="Arial" w:cs="Arial" w:eastAsia="Arial" w:hAnsi="Arial"/>
          <w:sz w:val="20"/>
          <w:szCs w:val="20"/>
          <w:b w:val="1"/>
          <w:bCs w:val="1"/>
          <w:color w:val="auto"/>
        </w:rPr>
        <w:t>This Note and said Note Agreement are governed by and construed in accordance with the law of Illinois (excluding any conflicts of law rules which would otherwise cause this note to be construed or enforced in accordance with the laws of any other jurisdiction), including all matters of construction, validity and performance.</w:t>
      </w:r>
    </w:p>
    <w:p>
      <w:pPr>
        <w:spacing w:after="0" w:line="122"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UFP I</w:t>
      </w:r>
      <w:r>
        <w:rPr>
          <w:rFonts w:ascii="Arial" w:cs="Arial" w:eastAsia="Arial" w:hAnsi="Arial"/>
          <w:sz w:val="13"/>
          <w:szCs w:val="13"/>
          <w:color w:val="auto"/>
        </w:rPr>
        <w:t>NDUSTRIES</w:t>
      </w:r>
      <w:r>
        <w:rPr>
          <w:rFonts w:ascii="Arial" w:cs="Arial" w:eastAsia="Arial" w:hAnsi="Arial"/>
          <w:sz w:val="20"/>
          <w:szCs w:val="20"/>
          <w:color w:val="auto"/>
        </w:rPr>
        <w:t>, I</w:t>
      </w:r>
      <w:r>
        <w:rPr>
          <w:rFonts w:ascii="Arial" w:cs="Arial" w:eastAsia="Arial" w:hAnsi="Arial"/>
          <w:sz w:val="13"/>
          <w:szCs w:val="13"/>
          <w:color w:val="auto"/>
        </w:rPr>
        <w:t>NC</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100"/>
        <w:spacing w:after="0"/>
        <w:rPr>
          <w:sz w:val="20"/>
          <w:szCs w:val="20"/>
          <w:color w:val="auto"/>
        </w:rPr>
      </w:pPr>
      <w:r>
        <w:rPr>
          <w:rFonts w:ascii="Arial" w:cs="Arial" w:eastAsia="Arial" w:hAnsi="Arial"/>
          <w:sz w:val="20"/>
          <w:szCs w:val="20"/>
          <w:color w:val="auto"/>
          <w:highlight w:val="white"/>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-31750</wp:posOffset>
            </wp:positionV>
            <wp:extent cx="278574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0">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jc w:val="center"/>
        <w:ind w:right="-14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768985</wp:posOffset>
            </wp:positionV>
            <wp:extent cx="545211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1">
                      <a:extLst>
                        <a:ext uri="{28A0092B-C50C-407E-A947-70E740481C1C}"/>
                      </a:extLst>
                    </a:blip>
                    <a:srcRect/>
                    <a:stretch>
                      <a:fillRect/>
                    </a:stretch>
                  </pic:blipFill>
                  <pic:spPr bwMode="auto">
                    <a:xfrm>
                      <a:off x="0" y="0"/>
                      <a:ext cx="5452110" cy="17145"/>
                    </a:xfrm>
                    <a:prstGeom prst="rect">
                      <a:avLst/>
                    </a:prstGeom>
                    <a:noFill/>
                  </pic:spPr>
                </pic:pic>
              </a:graphicData>
            </a:graphic>
          </wp:anchor>
        </w:drawing>
        <w:drawing>
          <wp:anchor simplePos="0" relativeHeight="251657728" behindDoc="1" locked="0" layoutInCell="0" allowOverlap="1">
            <wp:simplePos x="0" y="0"/>
            <wp:positionH relativeFrom="column">
              <wp:posOffset>2602865</wp:posOffset>
            </wp:positionH>
            <wp:positionV relativeFrom="paragraph">
              <wp:posOffset>-139065</wp:posOffset>
            </wp:positionV>
            <wp:extent cx="2983230" cy="1454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2">
                      <a:extLst>
                        <a:ext uri="{28A0092B-C50C-407E-A947-70E740481C1C}"/>
                      </a:extLst>
                    </a:blip>
                    <a:srcRect/>
                    <a:stretch>
                      <a:fillRect/>
                    </a:stretch>
                  </pic:blipFill>
                  <pic:spPr bwMode="auto">
                    <a:xfrm>
                      <a:off x="0" y="0"/>
                      <a:ext cx="2983230" cy="145415"/>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24" w:name="page25"/>
    <w:bookmarkEnd w:id="24"/>
    <w:p>
      <w:pPr>
        <w:jc w:val="right"/>
        <w:ind w:right="219"/>
        <w:spacing w:after="0"/>
        <w:rPr>
          <w:sz w:val="20"/>
          <w:szCs w:val="20"/>
          <w:color w:val="auto"/>
        </w:rPr>
      </w:pPr>
      <w:r>
        <w:rPr>
          <w:rFonts w:ascii="Arial" w:cs="Arial" w:eastAsia="Arial" w:hAnsi="Arial"/>
          <w:sz w:val="20"/>
          <w:szCs w:val="20"/>
          <w:b w:val="1"/>
          <w:bCs w:val="1"/>
          <w:color w:val="auto"/>
        </w:rPr>
        <w:t>Exhibit 10(k)</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UFP INDUSTRIES, INC.</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3.04% SENIOR SERIES E NOTE DUE AUGUST 10, 2032</w:t>
      </w:r>
    </w:p>
    <w:p>
      <w:pPr>
        <w:spacing w:after="0" w:line="200" w:lineRule="exact"/>
        <w:rPr>
          <w:sz w:val="20"/>
          <w:szCs w:val="20"/>
          <w:color w:val="auto"/>
        </w:rPr>
      </w:pPr>
    </w:p>
    <w:p>
      <w:pPr>
        <w:spacing w:after="0" w:line="251" w:lineRule="exact"/>
        <w:rPr>
          <w:sz w:val="20"/>
          <w:szCs w:val="20"/>
          <w:color w:val="auto"/>
        </w:rPr>
      </w:pPr>
    </w:p>
    <w:p>
      <w:pPr>
        <w:ind w:left="200"/>
        <w:spacing w:after="0"/>
        <w:rPr>
          <w:sz w:val="20"/>
          <w:szCs w:val="20"/>
          <w:color w:val="auto"/>
        </w:rPr>
      </w:pPr>
      <w:r>
        <w:rPr>
          <w:rFonts w:ascii="Arial" w:cs="Arial" w:eastAsia="Arial" w:hAnsi="Arial"/>
          <w:sz w:val="20"/>
          <w:szCs w:val="20"/>
          <w:color w:val="auto"/>
        </w:rPr>
        <w:t>No. E-2</w:t>
      </w:r>
    </w:p>
    <w:p>
      <w:pPr>
        <w:spacing w:after="0" w:line="20" w:lineRule="exact"/>
        <w:rPr>
          <w:sz w:val="20"/>
          <w:szCs w:val="20"/>
          <w:color w:val="auto"/>
        </w:rPr>
      </w:pPr>
    </w:p>
    <w:p>
      <w:pPr>
        <w:ind w:left="200"/>
        <w:spacing w:after="0"/>
        <w:rPr>
          <w:sz w:val="20"/>
          <w:szCs w:val="20"/>
          <w:color w:val="auto"/>
        </w:rPr>
      </w:pPr>
      <w:r>
        <w:rPr>
          <w:rFonts w:ascii="Arial" w:cs="Arial" w:eastAsia="Arial" w:hAnsi="Arial"/>
          <w:sz w:val="20"/>
          <w:szCs w:val="20"/>
          <w:color w:val="auto"/>
        </w:rPr>
        <w:t>ORIGINAL PRINCIPAL AMOUNT: $8,540,000</w:t>
      </w:r>
    </w:p>
    <w:p>
      <w:pPr>
        <w:spacing w:after="0" w:line="13" w:lineRule="exact"/>
        <w:rPr>
          <w:sz w:val="20"/>
          <w:szCs w:val="20"/>
          <w:color w:val="auto"/>
        </w:rPr>
      </w:pPr>
    </w:p>
    <w:p>
      <w:pPr>
        <w:ind w:left="200"/>
        <w:spacing w:after="0"/>
        <w:rPr>
          <w:sz w:val="20"/>
          <w:szCs w:val="20"/>
          <w:color w:val="auto"/>
        </w:rPr>
      </w:pPr>
      <w:r>
        <w:rPr>
          <w:rFonts w:ascii="Arial" w:cs="Arial" w:eastAsia="Arial" w:hAnsi="Arial"/>
          <w:sz w:val="20"/>
          <w:szCs w:val="20"/>
          <w:color w:val="auto"/>
        </w:rPr>
        <w:t>ORIGINAL ISSUE DATE: August 10, 2020</w:t>
      </w:r>
    </w:p>
    <w:p>
      <w:pPr>
        <w:spacing w:after="0" w:line="13" w:lineRule="exact"/>
        <w:rPr>
          <w:sz w:val="20"/>
          <w:szCs w:val="20"/>
          <w:color w:val="auto"/>
        </w:rPr>
      </w:pPr>
    </w:p>
    <w:p>
      <w:pPr>
        <w:ind w:left="200"/>
        <w:spacing w:after="0"/>
        <w:rPr>
          <w:sz w:val="20"/>
          <w:szCs w:val="20"/>
          <w:color w:val="auto"/>
        </w:rPr>
      </w:pPr>
      <w:r>
        <w:rPr>
          <w:rFonts w:ascii="Arial" w:cs="Arial" w:eastAsia="Arial" w:hAnsi="Arial"/>
          <w:sz w:val="20"/>
          <w:szCs w:val="20"/>
          <w:color w:val="auto"/>
        </w:rPr>
        <w:t>INTEREST RATE: 3.04%</w:t>
      </w:r>
    </w:p>
    <w:p>
      <w:pPr>
        <w:spacing w:after="0" w:line="13" w:lineRule="exact"/>
        <w:rPr>
          <w:sz w:val="20"/>
          <w:szCs w:val="20"/>
          <w:color w:val="auto"/>
        </w:rPr>
      </w:pPr>
    </w:p>
    <w:p>
      <w:pPr>
        <w:ind w:left="200" w:right="579"/>
        <w:spacing w:after="0" w:line="253" w:lineRule="auto"/>
        <w:rPr>
          <w:sz w:val="20"/>
          <w:szCs w:val="20"/>
          <w:color w:val="auto"/>
        </w:rPr>
      </w:pPr>
      <w:r>
        <w:rPr>
          <w:rFonts w:ascii="Arial" w:cs="Arial" w:eastAsia="Arial" w:hAnsi="Arial"/>
          <w:sz w:val="20"/>
          <w:szCs w:val="20"/>
          <w:color w:val="auto"/>
        </w:rPr>
        <w:t>INTEREST PAYMENT DATES: Semi-annually, in arrears, on February 10 and August 10 of each year, commencing on February 10, 2021</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20"/>
          <w:szCs w:val="20"/>
          <w:color w:val="auto"/>
        </w:rPr>
        <w:t>FINAL MATURITY DATE: August 10, 2032</w:t>
      </w:r>
    </w:p>
    <w:p>
      <w:pPr>
        <w:spacing w:after="0" w:line="13" w:lineRule="exact"/>
        <w:rPr>
          <w:sz w:val="20"/>
          <w:szCs w:val="20"/>
          <w:color w:val="auto"/>
        </w:rPr>
      </w:pPr>
    </w:p>
    <w:p>
      <w:pPr>
        <w:ind w:left="200" w:right="1979"/>
        <w:spacing w:after="0" w:line="267" w:lineRule="auto"/>
        <w:rPr>
          <w:sz w:val="20"/>
          <w:szCs w:val="20"/>
          <w:color w:val="auto"/>
        </w:rPr>
      </w:pPr>
      <w:r>
        <w:rPr>
          <w:rFonts w:ascii="Arial" w:cs="Arial" w:eastAsia="Arial" w:hAnsi="Arial"/>
          <w:sz w:val="20"/>
          <w:szCs w:val="20"/>
          <w:color w:val="auto"/>
        </w:rPr>
        <w:t>PRINCIPAL PREPAYMENT DATES AND AMOUNTS: None, bullet due at maturity PPN 913543 D@0</w:t>
      </w:r>
    </w:p>
    <w:p>
      <w:pPr>
        <w:spacing w:after="0" w:line="115" w:lineRule="exact"/>
        <w:rPr>
          <w:sz w:val="20"/>
          <w:szCs w:val="20"/>
          <w:color w:val="auto"/>
        </w:rPr>
      </w:pPr>
    </w:p>
    <w:p>
      <w:pPr>
        <w:jc w:val="both"/>
        <w:ind w:left="200" w:right="219" w:firstLine="648"/>
        <w:spacing w:after="0" w:line="257" w:lineRule="auto"/>
        <w:rPr>
          <w:sz w:val="20"/>
          <w:szCs w:val="20"/>
          <w:color w:val="auto"/>
        </w:rPr>
      </w:pPr>
      <w:r>
        <w:rPr>
          <w:rFonts w:ascii="Arial" w:cs="Arial" w:eastAsia="Arial" w:hAnsi="Arial"/>
          <w:sz w:val="20"/>
          <w:szCs w:val="20"/>
          <w:color w:val="auto"/>
        </w:rPr>
        <w:t>FOR VALUE RECEIVED, the undersigned, UFP Industries, Inc. (f/k/a Universal Forest Products, Inc.), a Michigan corporation (herein called the “Company”), hereby promises to pay to</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F</w:t>
      </w:r>
      <w:r>
        <w:rPr>
          <w:rFonts w:ascii="Arial" w:cs="Arial" w:eastAsia="Arial" w:hAnsi="Arial"/>
          <w:sz w:val="13"/>
          <w:szCs w:val="13"/>
          <w:b w:val="1"/>
          <w:bCs w:val="1"/>
          <w:color w:val="auto"/>
        </w:rPr>
        <w:t>ARMERS</w:t>
      </w:r>
      <w:r>
        <w:rPr>
          <w:rFonts w:ascii="Arial" w:cs="Arial" w:eastAsia="Arial" w:hAnsi="Arial"/>
          <w:sz w:val="20"/>
          <w:szCs w:val="20"/>
          <w:b w:val="1"/>
          <w:bCs w:val="1"/>
          <w:color w:val="auto"/>
        </w:rPr>
        <w:t xml:space="preserve"> I</w:t>
      </w:r>
      <w:r>
        <w:rPr>
          <w:rFonts w:ascii="Arial" w:cs="Arial" w:eastAsia="Arial" w:hAnsi="Arial"/>
          <w:sz w:val="13"/>
          <w:szCs w:val="13"/>
          <w:b w:val="1"/>
          <w:bCs w:val="1"/>
          <w:color w:val="auto"/>
        </w:rPr>
        <w:t>NSURANCE</w:t>
      </w:r>
      <w:r>
        <w:rPr>
          <w:rFonts w:ascii="Arial" w:cs="Arial" w:eastAsia="Arial" w:hAnsi="Arial"/>
          <w:sz w:val="20"/>
          <w:szCs w:val="20"/>
          <w:b w:val="1"/>
          <w:bCs w:val="1"/>
          <w:color w:val="auto"/>
        </w:rPr>
        <w:t xml:space="preserve"> E</w:t>
      </w:r>
      <w:r>
        <w:rPr>
          <w:rFonts w:ascii="Arial" w:cs="Arial" w:eastAsia="Arial" w:hAnsi="Arial"/>
          <w:sz w:val="13"/>
          <w:szCs w:val="13"/>
          <w:b w:val="1"/>
          <w:bCs w:val="1"/>
          <w:color w:val="auto"/>
        </w:rPr>
        <w:t>XCHANGE</w:t>
      </w:r>
      <w:r>
        <w:rPr>
          <w:rFonts w:ascii="Arial" w:cs="Arial" w:eastAsia="Arial" w:hAnsi="Arial"/>
          <w:sz w:val="20"/>
          <w:szCs w:val="20"/>
          <w:color w:val="auto"/>
        </w:rPr>
        <w:t>, or registered assigns, the principal sum of</w:t>
      </w:r>
      <w:r>
        <w:rPr>
          <w:rFonts w:ascii="Arial" w:cs="Arial" w:eastAsia="Arial" w:hAnsi="Arial"/>
          <w:sz w:val="20"/>
          <w:szCs w:val="20"/>
          <w:b w:val="1"/>
          <w:bCs w:val="1"/>
          <w:color w:val="auto"/>
        </w:rPr>
        <w:t xml:space="preserve"> E</w:t>
      </w:r>
      <w:r>
        <w:rPr>
          <w:rFonts w:ascii="Arial" w:cs="Arial" w:eastAsia="Arial" w:hAnsi="Arial"/>
          <w:sz w:val="13"/>
          <w:szCs w:val="13"/>
          <w:b w:val="1"/>
          <w:bCs w:val="1"/>
          <w:color w:val="auto"/>
        </w:rPr>
        <w:t>IGHT</w:t>
      </w:r>
      <w:r>
        <w:rPr>
          <w:rFonts w:ascii="Arial" w:cs="Arial" w:eastAsia="Arial" w:hAnsi="Arial"/>
          <w:sz w:val="20"/>
          <w:szCs w:val="20"/>
          <w:b w:val="1"/>
          <w:bCs w:val="1"/>
          <w:color w:val="auto"/>
        </w:rPr>
        <w:t xml:space="preserve"> M</w:t>
      </w:r>
      <w:r>
        <w:rPr>
          <w:rFonts w:ascii="Arial" w:cs="Arial" w:eastAsia="Arial" w:hAnsi="Arial"/>
          <w:sz w:val="13"/>
          <w:szCs w:val="13"/>
          <w:b w:val="1"/>
          <w:bCs w:val="1"/>
          <w:color w:val="auto"/>
        </w:rPr>
        <w:t>ILLION</w:t>
      </w:r>
      <w:r>
        <w:rPr>
          <w:rFonts w:ascii="Arial" w:cs="Arial" w:eastAsia="Arial" w:hAnsi="Arial"/>
          <w:sz w:val="20"/>
          <w:szCs w:val="20"/>
          <w:b w:val="1"/>
          <w:bCs w:val="1"/>
          <w:color w:val="auto"/>
        </w:rPr>
        <w:t xml:space="preserve"> F</w:t>
      </w:r>
      <w:r>
        <w:rPr>
          <w:rFonts w:ascii="Arial" w:cs="Arial" w:eastAsia="Arial" w:hAnsi="Arial"/>
          <w:sz w:val="13"/>
          <w:szCs w:val="13"/>
          <w:b w:val="1"/>
          <w:bCs w:val="1"/>
          <w:color w:val="auto"/>
        </w:rPr>
        <w:t>IVE</w:t>
      </w:r>
      <w:r>
        <w:rPr>
          <w:rFonts w:ascii="Arial" w:cs="Arial" w:eastAsia="Arial" w:hAnsi="Arial"/>
          <w:sz w:val="20"/>
          <w:szCs w:val="20"/>
          <w:b w:val="1"/>
          <w:bCs w:val="1"/>
          <w:color w:val="auto"/>
        </w:rPr>
        <w:t xml:space="preserve"> H</w:t>
      </w:r>
      <w:r>
        <w:rPr>
          <w:rFonts w:ascii="Arial" w:cs="Arial" w:eastAsia="Arial" w:hAnsi="Arial"/>
          <w:sz w:val="13"/>
          <w:szCs w:val="13"/>
          <w:b w:val="1"/>
          <w:bCs w:val="1"/>
          <w:color w:val="auto"/>
        </w:rPr>
        <w:t>UNDRED</w:t>
      </w:r>
    </w:p>
    <w:p>
      <w:pPr>
        <w:spacing w:after="0" w:line="13" w:lineRule="exact"/>
        <w:rPr>
          <w:sz w:val="20"/>
          <w:szCs w:val="20"/>
          <w:color w:val="auto"/>
        </w:rPr>
      </w:pPr>
    </w:p>
    <w:p>
      <w:pPr>
        <w:jc w:val="both"/>
        <w:ind w:left="200" w:right="219"/>
        <w:spacing w:after="0" w:line="269" w:lineRule="auto"/>
        <w:rPr>
          <w:sz w:val="20"/>
          <w:szCs w:val="20"/>
          <w:color w:val="auto"/>
        </w:rPr>
      </w:pPr>
      <w:r>
        <w:rPr>
          <w:rFonts w:ascii="Arial" w:cs="Arial" w:eastAsia="Arial" w:hAnsi="Arial"/>
          <w:sz w:val="19"/>
          <w:szCs w:val="19"/>
          <w:b w:val="1"/>
          <w:bCs w:val="1"/>
          <w:color w:val="auto"/>
        </w:rPr>
        <w:t>F</w:t>
      </w:r>
      <w:r>
        <w:rPr>
          <w:rFonts w:ascii="Arial" w:cs="Arial" w:eastAsia="Arial" w:hAnsi="Arial"/>
          <w:sz w:val="12"/>
          <w:szCs w:val="12"/>
          <w:b w:val="1"/>
          <w:bCs w:val="1"/>
          <w:color w:val="auto"/>
        </w:rPr>
        <w:t>ORTY</w:t>
      </w:r>
      <w:r>
        <w:rPr>
          <w:rFonts w:ascii="Arial" w:cs="Arial" w:eastAsia="Arial" w:hAnsi="Arial"/>
          <w:sz w:val="19"/>
          <w:szCs w:val="19"/>
          <w:b w:val="1"/>
          <w:bCs w:val="1"/>
          <w:color w:val="auto"/>
        </w:rPr>
        <w:t xml:space="preserve"> T</w:t>
      </w:r>
      <w:r>
        <w:rPr>
          <w:rFonts w:ascii="Arial" w:cs="Arial" w:eastAsia="Arial" w:hAnsi="Arial"/>
          <w:sz w:val="12"/>
          <w:szCs w:val="12"/>
          <w:b w:val="1"/>
          <w:bCs w:val="1"/>
          <w:color w:val="auto"/>
        </w:rPr>
        <w:t>HOUSAND</w:t>
      </w:r>
      <w:r>
        <w:rPr>
          <w:rFonts w:ascii="Arial" w:cs="Arial" w:eastAsia="Arial" w:hAnsi="Arial"/>
          <w:sz w:val="19"/>
          <w:szCs w:val="19"/>
          <w:b w:val="1"/>
          <w:bCs w:val="1"/>
          <w:color w:val="auto"/>
        </w:rPr>
        <w:t xml:space="preserve"> D</w:t>
      </w:r>
      <w:r>
        <w:rPr>
          <w:rFonts w:ascii="Arial" w:cs="Arial" w:eastAsia="Arial" w:hAnsi="Arial"/>
          <w:sz w:val="12"/>
          <w:szCs w:val="12"/>
          <w:b w:val="1"/>
          <w:bCs w:val="1"/>
          <w:color w:val="auto"/>
        </w:rPr>
        <w:t>OLLARS</w:t>
      </w:r>
      <w:r>
        <w:rPr>
          <w:rFonts w:ascii="Arial" w:cs="Arial" w:eastAsia="Arial" w:hAnsi="Arial"/>
          <w:sz w:val="19"/>
          <w:szCs w:val="19"/>
          <w:b w:val="1"/>
          <w:bCs w:val="1"/>
          <w:color w:val="auto"/>
        </w:rPr>
        <w:t xml:space="preserve"> </w:t>
      </w:r>
      <w:r>
        <w:rPr>
          <w:rFonts w:ascii="Arial" w:cs="Arial" w:eastAsia="Arial" w:hAnsi="Arial"/>
          <w:sz w:val="19"/>
          <w:szCs w:val="19"/>
          <w:color w:val="auto"/>
        </w:rPr>
        <w:t>on the Final Maturity Date specified above, with interest (computed on the basis</w:t>
      </w:r>
      <w:r>
        <w:rPr>
          <w:rFonts w:ascii="Arial" w:cs="Arial" w:eastAsia="Arial" w:hAnsi="Arial"/>
          <w:sz w:val="19"/>
          <w:szCs w:val="19"/>
          <w:b w:val="1"/>
          <w:bCs w:val="1"/>
          <w:color w:val="auto"/>
        </w:rPr>
        <w:t xml:space="preserve"> </w:t>
      </w:r>
      <w:r>
        <w:rPr>
          <w:rFonts w:ascii="Arial" w:cs="Arial" w:eastAsia="Arial" w:hAnsi="Arial"/>
          <w:sz w:val="19"/>
          <w:szCs w:val="19"/>
          <w:color w:val="auto"/>
        </w:rPr>
        <w:t>of a 360-day year—30-day month) on the unpaid balance thereof at the Interest Rate per annum specified above from the date hereof, payable on each Interest Payment Date specified above and on the Final Maturity Date specified above, commencing with the Interest Payment Date next succeeding the date hereof. The Company agrees to pay interest on overdue principal (including any overdue optional prepayment of principal) and premium, if any, and (to the extent legally enforceable) on any overdue installment of interest, at the Overdue Rate after the due date, whether by acceleration or otherwise, until paid. “Overdue Rate” shall mean the lesser of (a) the maximum interest rate permitted by law, and (b) the greater of (ii) the Interest Rate specified above plus 2.00% per annum or (b) the rate of interest publicly announced by JPMorgan Chase Bank, National Association, from time to time in New York City as its Prime Rate plus 2.00% per annum.</w:t>
      </w:r>
    </w:p>
    <w:p>
      <w:pPr>
        <w:spacing w:after="0" w:line="107" w:lineRule="exact"/>
        <w:rPr>
          <w:sz w:val="20"/>
          <w:szCs w:val="20"/>
          <w:color w:val="auto"/>
        </w:rPr>
      </w:pPr>
    </w:p>
    <w:p>
      <w:pPr>
        <w:jc w:val="both"/>
        <w:ind w:left="200" w:right="219" w:firstLine="648"/>
        <w:spacing w:after="0" w:line="286" w:lineRule="auto"/>
        <w:rPr>
          <w:sz w:val="20"/>
          <w:szCs w:val="20"/>
          <w:color w:val="auto"/>
        </w:rPr>
      </w:pPr>
      <w:r>
        <w:rPr>
          <w:rFonts w:ascii="Arial" w:cs="Arial" w:eastAsia="Arial" w:hAnsi="Arial"/>
          <w:sz w:val="18"/>
          <w:szCs w:val="18"/>
          <w:color w:val="auto"/>
        </w:rPr>
        <w:t xml:space="preserve">Both the principal hereof and interest hereon are payable at the principal office of the Company in Grand Rapids, Michigan in coin or currency of the United States of America which at the time of payment shall be legal tender for the payment of public and private debts. If any amount of principal, premium, if any, or interest on or in respect of this Note becomes due and payable on any date which is not a Business Day, such amount shall be payable on the immediately succeeding Business Day without including the additional days elapsed in the computation of the interest payable on such next succeeding Business Day;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if the maturity date of this Note is a date other than a Business Day, the payment otherwise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due on such maturity date shall be made on the next succeeding Business Day and shall include the additional days elapsed in the computation of interest payable on such next succeeding Business Day. </w:t>
      </w:r>
      <w:r>
        <w:rPr>
          <w:rFonts w:ascii="Arial" w:cs="Arial" w:eastAsia="Arial" w:hAnsi="Arial"/>
          <w:sz w:val="18"/>
          <w:szCs w:val="18"/>
          <w:i w:val="1"/>
          <w:iCs w:val="1"/>
          <w:color w:val="auto"/>
        </w:rPr>
        <w:t xml:space="preserve">“Business Day” </w:t>
      </w:r>
      <w:r>
        <w:rPr>
          <w:rFonts w:ascii="Arial" w:cs="Arial" w:eastAsia="Arial" w:hAnsi="Arial"/>
          <w:sz w:val="18"/>
          <w:szCs w:val="18"/>
          <w:color w:val="auto"/>
        </w:rPr>
        <w:t>means any day other than a Saturday, Sunday or other day on which banks in either Grand</w:t>
      </w:r>
      <w:r>
        <w:rPr>
          <w:rFonts w:ascii="Arial" w:cs="Arial" w:eastAsia="Arial" w:hAnsi="Arial"/>
          <w:sz w:val="18"/>
          <w:szCs w:val="18"/>
          <w:i w:val="1"/>
          <w:iCs w:val="1"/>
          <w:color w:val="auto"/>
        </w:rPr>
        <w:t xml:space="preserve"> </w:t>
      </w:r>
      <w:r>
        <w:rPr>
          <w:rFonts w:ascii="Arial" w:cs="Arial" w:eastAsia="Arial" w:hAnsi="Arial"/>
          <w:sz w:val="18"/>
          <w:szCs w:val="18"/>
          <w:color w:val="auto"/>
        </w:rPr>
        <w:t>Rapids, Michigan or New York, New York are required by law to close or are customarily closed.</w:t>
      </w:r>
    </w:p>
    <w:p>
      <w:pPr>
        <w:spacing w:after="0" w:line="108" w:lineRule="exact"/>
        <w:rPr>
          <w:sz w:val="20"/>
          <w:szCs w:val="20"/>
          <w:color w:val="auto"/>
        </w:rPr>
      </w:pPr>
    </w:p>
    <w:p>
      <w:pPr>
        <w:jc w:val="both"/>
        <w:ind w:left="200" w:right="219" w:firstLine="648"/>
        <w:spacing w:after="0" w:line="291" w:lineRule="auto"/>
        <w:rPr>
          <w:sz w:val="20"/>
          <w:szCs w:val="20"/>
          <w:color w:val="auto"/>
        </w:rPr>
      </w:pPr>
      <w:r>
        <w:rPr>
          <w:rFonts w:ascii="Arial" w:cs="Arial" w:eastAsia="Arial" w:hAnsi="Arial"/>
          <w:sz w:val="18"/>
          <w:szCs w:val="18"/>
          <w:color w:val="auto"/>
        </w:rPr>
        <w:t>This Note is one of the 3.04% Series E Senior Notes, due August 10, 2032 of the Company in the original aggregate principal amount of $50,000,000, which, together with the 3.89% Series A Senior Notes, due December 17, 2022, of the Company in the original aggregate principal amount of $35,000,000, the 3.98% Series B Senior Notes, due December 17, 2024, of the Company in the original aggregate principal amount of $40,000,000, and any other Shelf Notes (as defined in the Note Agreement hereafter mentioned), are issued or to be issued under and pursuant to the terms and provisions of the Note Purchase and Private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460375</wp:posOffset>
            </wp:positionV>
            <wp:extent cx="545211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25" w:name="page26"/>
    <w:bookmarkEnd w:id="25"/>
    <w:p>
      <w:pPr>
        <w:jc w:val="right"/>
        <w:ind w:right="219"/>
        <w:spacing w:after="0"/>
        <w:rPr>
          <w:sz w:val="20"/>
          <w:szCs w:val="20"/>
          <w:color w:val="auto"/>
        </w:rPr>
      </w:pPr>
      <w:r>
        <w:rPr>
          <w:rFonts w:ascii="Arial" w:cs="Arial" w:eastAsia="Arial" w:hAnsi="Arial"/>
          <w:sz w:val="20"/>
          <w:szCs w:val="20"/>
          <w:b w:val="1"/>
          <w:bCs w:val="1"/>
          <w:color w:val="auto"/>
        </w:rPr>
        <w:t>Exhibit 10(k)</w:t>
      </w:r>
    </w:p>
    <w:p>
      <w:pPr>
        <w:spacing w:after="0" w:line="200" w:lineRule="exact"/>
        <w:rPr>
          <w:sz w:val="20"/>
          <w:szCs w:val="20"/>
          <w:color w:val="auto"/>
        </w:rPr>
      </w:pPr>
    </w:p>
    <w:p>
      <w:pPr>
        <w:spacing w:after="0" w:line="238" w:lineRule="exact"/>
        <w:rPr>
          <w:sz w:val="20"/>
          <w:szCs w:val="20"/>
          <w:color w:val="auto"/>
        </w:rPr>
      </w:pPr>
    </w:p>
    <w:p>
      <w:pPr>
        <w:jc w:val="both"/>
        <w:ind w:left="200" w:right="219"/>
        <w:spacing w:after="0" w:line="273" w:lineRule="auto"/>
        <w:rPr>
          <w:sz w:val="20"/>
          <w:szCs w:val="20"/>
          <w:color w:val="auto"/>
        </w:rPr>
      </w:pPr>
      <w:r>
        <w:rPr>
          <w:rFonts w:ascii="Arial" w:cs="Arial" w:eastAsia="Arial" w:hAnsi="Arial"/>
          <w:sz w:val="19"/>
          <w:szCs w:val="19"/>
          <w:color w:val="auto"/>
        </w:rPr>
        <w:t xml:space="preserve">Shelf Agreement, dated as of December 17, 2012 (the </w:t>
      </w:r>
      <w:r>
        <w:rPr>
          <w:rFonts w:ascii="Arial" w:cs="Arial" w:eastAsia="Arial" w:hAnsi="Arial"/>
          <w:sz w:val="19"/>
          <w:szCs w:val="19"/>
          <w:i w:val="1"/>
          <w:iCs w:val="1"/>
          <w:color w:val="auto"/>
        </w:rPr>
        <w:t>“Note Agreement”</w:t>
      </w:r>
      <w:r>
        <w:rPr>
          <w:rFonts w:ascii="Arial" w:cs="Arial" w:eastAsia="Arial" w:hAnsi="Arial"/>
          <w:sz w:val="19"/>
          <w:szCs w:val="19"/>
          <w:color w:val="auto"/>
        </w:rPr>
        <w:t>), between the Company, on the one hand, and PGIM, Inc. , the Initial Purchasers named in the Purchaser Schedule attached thereto and each Prudential Affiliate which becomes party thereto, on the other hand, and the holder hereof is entitled equally and ratably with the holders of all other Notes outstanding under the Note Agreement to all the benefits provided for thereby or referred to therein. Reference is hereby made to the Note Agreement for a statement of such rights and benefits.</w:t>
      </w:r>
    </w:p>
    <w:p>
      <w:pPr>
        <w:spacing w:after="0" w:line="115" w:lineRule="exact"/>
        <w:rPr>
          <w:sz w:val="20"/>
          <w:szCs w:val="20"/>
          <w:color w:val="auto"/>
        </w:rPr>
      </w:pPr>
    </w:p>
    <w:p>
      <w:pPr>
        <w:jc w:val="both"/>
        <w:ind w:left="200" w:right="239" w:firstLine="648"/>
        <w:spacing w:after="0" w:line="284" w:lineRule="auto"/>
        <w:rPr>
          <w:sz w:val="20"/>
          <w:szCs w:val="20"/>
          <w:color w:val="auto"/>
        </w:rPr>
      </w:pPr>
      <w:r>
        <w:rPr>
          <w:rFonts w:ascii="Arial" w:cs="Arial" w:eastAsia="Arial" w:hAnsi="Arial"/>
          <w:sz w:val="19"/>
          <w:szCs w:val="19"/>
          <w:color w:val="auto"/>
        </w:rPr>
        <w:t>This Note and the other Notes outstanding under the Note Agreement may be declared due prior to their expressed maturity dates and certain prepayments are required to be made thereon, all in the events, on the terms and in the manner and amounts as provided in the Note Agreements.</w:t>
      </w:r>
    </w:p>
    <w:p>
      <w:pPr>
        <w:spacing w:after="0" w:line="88" w:lineRule="exact"/>
        <w:rPr>
          <w:sz w:val="20"/>
          <w:szCs w:val="20"/>
          <w:color w:val="auto"/>
        </w:rPr>
      </w:pPr>
    </w:p>
    <w:p>
      <w:pPr>
        <w:jc w:val="both"/>
        <w:ind w:left="200" w:right="219" w:firstLine="648"/>
        <w:spacing w:after="0" w:line="264" w:lineRule="auto"/>
        <w:rPr>
          <w:sz w:val="20"/>
          <w:szCs w:val="20"/>
          <w:color w:val="auto"/>
        </w:rPr>
      </w:pPr>
      <w:r>
        <w:rPr>
          <w:rFonts w:ascii="Arial" w:cs="Arial" w:eastAsia="Arial" w:hAnsi="Arial"/>
          <w:sz w:val="20"/>
          <w:szCs w:val="20"/>
          <w:color w:val="auto"/>
        </w:rPr>
        <w:t>The Notes are not subject to prepayment or redemption at the option of the Company prior to their expressed maturity dates except on the terms and conditions and in the amounts and with the premium, if any, set forth in the Note Agreement.</w:t>
      </w:r>
    </w:p>
    <w:p>
      <w:pPr>
        <w:spacing w:after="0" w:line="119" w:lineRule="exact"/>
        <w:rPr>
          <w:sz w:val="20"/>
          <w:szCs w:val="20"/>
          <w:color w:val="auto"/>
        </w:rPr>
      </w:pPr>
    </w:p>
    <w:p>
      <w:pPr>
        <w:jc w:val="both"/>
        <w:ind w:left="200" w:right="219" w:firstLine="648"/>
        <w:spacing w:after="0" w:line="258" w:lineRule="auto"/>
        <w:rPr>
          <w:sz w:val="20"/>
          <w:szCs w:val="20"/>
          <w:color w:val="auto"/>
        </w:rPr>
      </w:pPr>
      <w:r>
        <w:rPr>
          <w:rFonts w:ascii="Arial" w:cs="Arial" w:eastAsia="Arial" w:hAnsi="Arial"/>
          <w:sz w:val="20"/>
          <w:szCs w:val="20"/>
          <w:color w:val="auto"/>
        </w:rPr>
        <w:t>This Note is registered on the books of the Company and is transferable only by surrender thereof at the principal office of the Company duly endorsed or accompanied by a written instrument of transfer duly executed by the registered holder of this Note or its attorney duly authorized in writing. Payment of or on account of principal, premium, if any, and interest on this Note shall be made only to or upon the order in writing of the registered holder.</w:t>
      </w:r>
    </w:p>
    <w:p>
      <w:pPr>
        <w:spacing w:after="0" w:line="127" w:lineRule="exact"/>
        <w:rPr>
          <w:sz w:val="20"/>
          <w:szCs w:val="20"/>
          <w:color w:val="auto"/>
        </w:rPr>
      </w:pPr>
    </w:p>
    <w:p>
      <w:pPr>
        <w:ind w:left="38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follows</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833120</wp:posOffset>
            </wp:positionV>
            <wp:extent cx="545211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26" w:name="page27"/>
    <w:bookmarkEnd w:id="26"/>
    <w:p>
      <w:pPr>
        <w:jc w:val="right"/>
        <w:ind w:right="219"/>
        <w:spacing w:after="0"/>
        <w:rPr>
          <w:sz w:val="20"/>
          <w:szCs w:val="20"/>
          <w:color w:val="auto"/>
        </w:rPr>
      </w:pPr>
      <w:r>
        <w:rPr>
          <w:rFonts w:ascii="Arial" w:cs="Arial" w:eastAsia="Arial" w:hAnsi="Arial"/>
          <w:sz w:val="20"/>
          <w:szCs w:val="20"/>
          <w:b w:val="1"/>
          <w:bCs w:val="1"/>
          <w:color w:val="auto"/>
        </w:rPr>
        <w:t>Exhibit 10(k)</w:t>
      </w:r>
    </w:p>
    <w:p>
      <w:pPr>
        <w:spacing w:after="0" w:line="200" w:lineRule="exact"/>
        <w:rPr>
          <w:sz w:val="20"/>
          <w:szCs w:val="20"/>
          <w:color w:val="auto"/>
        </w:rPr>
      </w:pPr>
    </w:p>
    <w:p>
      <w:pPr>
        <w:spacing w:after="0" w:line="232" w:lineRule="exact"/>
        <w:rPr>
          <w:sz w:val="20"/>
          <w:szCs w:val="20"/>
          <w:color w:val="auto"/>
        </w:rPr>
      </w:pPr>
    </w:p>
    <w:p>
      <w:pPr>
        <w:jc w:val="both"/>
        <w:ind w:left="200" w:right="219" w:firstLine="648"/>
        <w:spacing w:after="0" w:line="262" w:lineRule="auto"/>
        <w:rPr>
          <w:sz w:val="20"/>
          <w:szCs w:val="20"/>
          <w:color w:val="auto"/>
        </w:rPr>
      </w:pPr>
      <w:r>
        <w:rPr>
          <w:rFonts w:ascii="Arial" w:cs="Arial" w:eastAsia="Arial" w:hAnsi="Arial"/>
          <w:sz w:val="20"/>
          <w:szCs w:val="20"/>
          <w:b w:val="1"/>
          <w:bCs w:val="1"/>
          <w:color w:val="auto"/>
        </w:rPr>
        <w:t>This Note and said Note Agreement are governed by and construed in accordance with the law of Illinois (excluding any conflicts of law rules which would otherwise cause this note to be construed or enforced in accordance with the laws of any other jurisdiction), including all matters of construction, validity and performance.</w:t>
      </w:r>
    </w:p>
    <w:p>
      <w:pPr>
        <w:spacing w:after="0" w:line="122"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UFP I</w:t>
      </w:r>
      <w:r>
        <w:rPr>
          <w:rFonts w:ascii="Arial" w:cs="Arial" w:eastAsia="Arial" w:hAnsi="Arial"/>
          <w:sz w:val="13"/>
          <w:szCs w:val="13"/>
          <w:color w:val="auto"/>
        </w:rPr>
        <w:t>NDUSTRIES</w:t>
      </w:r>
      <w:r>
        <w:rPr>
          <w:rFonts w:ascii="Arial" w:cs="Arial" w:eastAsia="Arial" w:hAnsi="Arial"/>
          <w:sz w:val="20"/>
          <w:szCs w:val="20"/>
          <w:color w:val="auto"/>
        </w:rPr>
        <w:t>, I</w:t>
      </w:r>
      <w:r>
        <w:rPr>
          <w:rFonts w:ascii="Arial" w:cs="Arial" w:eastAsia="Arial" w:hAnsi="Arial"/>
          <w:sz w:val="13"/>
          <w:szCs w:val="13"/>
          <w:color w:val="auto"/>
        </w:rPr>
        <w:t>NC</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100"/>
        <w:spacing w:after="0"/>
        <w:rPr>
          <w:sz w:val="20"/>
          <w:szCs w:val="20"/>
          <w:color w:val="auto"/>
        </w:rPr>
      </w:pPr>
      <w:r>
        <w:rPr>
          <w:rFonts w:ascii="Arial" w:cs="Arial" w:eastAsia="Arial" w:hAnsi="Arial"/>
          <w:sz w:val="20"/>
          <w:szCs w:val="20"/>
          <w:color w:val="auto"/>
          <w:highlight w:val="white"/>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-31750</wp:posOffset>
            </wp:positionV>
            <wp:extent cx="278574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5">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jc w:val="center"/>
        <w:ind w:right="-14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768985</wp:posOffset>
            </wp:positionV>
            <wp:extent cx="545211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6">
                      <a:extLst>
                        <a:ext uri="{28A0092B-C50C-407E-A947-70E740481C1C}"/>
                      </a:extLst>
                    </a:blip>
                    <a:srcRect/>
                    <a:stretch>
                      <a:fillRect/>
                    </a:stretch>
                  </pic:blipFill>
                  <pic:spPr bwMode="auto">
                    <a:xfrm>
                      <a:off x="0" y="0"/>
                      <a:ext cx="5452110" cy="17145"/>
                    </a:xfrm>
                    <a:prstGeom prst="rect">
                      <a:avLst/>
                    </a:prstGeom>
                    <a:noFill/>
                  </pic:spPr>
                </pic:pic>
              </a:graphicData>
            </a:graphic>
          </wp:anchor>
        </w:drawing>
        <w:drawing>
          <wp:anchor simplePos="0" relativeHeight="251657728" behindDoc="1" locked="0" layoutInCell="0" allowOverlap="1">
            <wp:simplePos x="0" y="0"/>
            <wp:positionH relativeFrom="column">
              <wp:posOffset>2602865</wp:posOffset>
            </wp:positionH>
            <wp:positionV relativeFrom="paragraph">
              <wp:posOffset>-139065</wp:posOffset>
            </wp:positionV>
            <wp:extent cx="2983230" cy="1454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7">
                      <a:extLst>
                        <a:ext uri="{28A0092B-C50C-407E-A947-70E740481C1C}"/>
                      </a:extLst>
                    </a:blip>
                    <a:srcRect/>
                    <a:stretch>
                      <a:fillRect/>
                    </a:stretch>
                  </pic:blipFill>
                  <pic:spPr bwMode="auto">
                    <a:xfrm>
                      <a:off x="0" y="0"/>
                      <a:ext cx="2983230" cy="145415"/>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27" w:name="page28"/>
    <w:bookmarkEnd w:id="27"/>
    <w:p>
      <w:pPr>
        <w:jc w:val="right"/>
        <w:ind w:right="219"/>
        <w:spacing w:after="0"/>
        <w:rPr>
          <w:sz w:val="20"/>
          <w:szCs w:val="20"/>
          <w:color w:val="auto"/>
        </w:rPr>
      </w:pPr>
      <w:r>
        <w:rPr>
          <w:rFonts w:ascii="Arial" w:cs="Arial" w:eastAsia="Arial" w:hAnsi="Arial"/>
          <w:sz w:val="20"/>
          <w:szCs w:val="20"/>
          <w:b w:val="1"/>
          <w:bCs w:val="1"/>
          <w:color w:val="auto"/>
        </w:rPr>
        <w:t>Exhibit 10(k)</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UFP INDUSTRIES, INC.</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3.04% SENIOR SERIES E NOTE DUE AUGUST 10, 2032</w:t>
      </w:r>
    </w:p>
    <w:p>
      <w:pPr>
        <w:spacing w:after="0" w:line="200" w:lineRule="exact"/>
        <w:rPr>
          <w:sz w:val="20"/>
          <w:szCs w:val="20"/>
          <w:color w:val="auto"/>
        </w:rPr>
      </w:pPr>
    </w:p>
    <w:p>
      <w:pPr>
        <w:spacing w:after="0" w:line="251" w:lineRule="exact"/>
        <w:rPr>
          <w:sz w:val="20"/>
          <w:szCs w:val="20"/>
          <w:color w:val="auto"/>
        </w:rPr>
      </w:pPr>
    </w:p>
    <w:p>
      <w:pPr>
        <w:ind w:left="200"/>
        <w:spacing w:after="0"/>
        <w:rPr>
          <w:sz w:val="20"/>
          <w:szCs w:val="20"/>
          <w:color w:val="auto"/>
        </w:rPr>
      </w:pPr>
      <w:r>
        <w:rPr>
          <w:rFonts w:ascii="Arial" w:cs="Arial" w:eastAsia="Arial" w:hAnsi="Arial"/>
          <w:sz w:val="20"/>
          <w:szCs w:val="20"/>
          <w:color w:val="auto"/>
        </w:rPr>
        <w:t>No. E-3</w:t>
      </w:r>
    </w:p>
    <w:p>
      <w:pPr>
        <w:spacing w:after="0" w:line="20" w:lineRule="exact"/>
        <w:rPr>
          <w:sz w:val="20"/>
          <w:szCs w:val="20"/>
          <w:color w:val="auto"/>
        </w:rPr>
      </w:pPr>
    </w:p>
    <w:p>
      <w:pPr>
        <w:ind w:left="200"/>
        <w:spacing w:after="0"/>
        <w:rPr>
          <w:sz w:val="20"/>
          <w:szCs w:val="20"/>
          <w:color w:val="auto"/>
        </w:rPr>
      </w:pPr>
      <w:r>
        <w:rPr>
          <w:rFonts w:ascii="Arial" w:cs="Arial" w:eastAsia="Arial" w:hAnsi="Arial"/>
          <w:sz w:val="20"/>
          <w:szCs w:val="20"/>
          <w:color w:val="auto"/>
        </w:rPr>
        <w:t>ORIGINAL PRINCIPAL AMOUNT: $3,660,000</w:t>
      </w:r>
    </w:p>
    <w:p>
      <w:pPr>
        <w:spacing w:after="0" w:line="13" w:lineRule="exact"/>
        <w:rPr>
          <w:sz w:val="20"/>
          <w:szCs w:val="20"/>
          <w:color w:val="auto"/>
        </w:rPr>
      </w:pPr>
    </w:p>
    <w:p>
      <w:pPr>
        <w:ind w:left="200"/>
        <w:spacing w:after="0"/>
        <w:rPr>
          <w:sz w:val="20"/>
          <w:szCs w:val="20"/>
          <w:color w:val="auto"/>
        </w:rPr>
      </w:pPr>
      <w:r>
        <w:rPr>
          <w:rFonts w:ascii="Arial" w:cs="Arial" w:eastAsia="Arial" w:hAnsi="Arial"/>
          <w:sz w:val="20"/>
          <w:szCs w:val="20"/>
          <w:color w:val="auto"/>
        </w:rPr>
        <w:t>ORIGINAL ISSUE DATE: August 10, 2020</w:t>
      </w:r>
    </w:p>
    <w:p>
      <w:pPr>
        <w:spacing w:after="0" w:line="13" w:lineRule="exact"/>
        <w:rPr>
          <w:sz w:val="20"/>
          <w:szCs w:val="20"/>
          <w:color w:val="auto"/>
        </w:rPr>
      </w:pPr>
    </w:p>
    <w:p>
      <w:pPr>
        <w:ind w:left="200"/>
        <w:spacing w:after="0"/>
        <w:rPr>
          <w:sz w:val="20"/>
          <w:szCs w:val="20"/>
          <w:color w:val="auto"/>
        </w:rPr>
      </w:pPr>
      <w:r>
        <w:rPr>
          <w:rFonts w:ascii="Arial" w:cs="Arial" w:eastAsia="Arial" w:hAnsi="Arial"/>
          <w:sz w:val="20"/>
          <w:szCs w:val="20"/>
          <w:color w:val="auto"/>
        </w:rPr>
        <w:t>INTEREST RATE: 3.04%</w:t>
      </w:r>
    </w:p>
    <w:p>
      <w:pPr>
        <w:spacing w:after="0" w:line="13" w:lineRule="exact"/>
        <w:rPr>
          <w:sz w:val="20"/>
          <w:szCs w:val="20"/>
          <w:color w:val="auto"/>
        </w:rPr>
      </w:pPr>
    </w:p>
    <w:p>
      <w:pPr>
        <w:ind w:left="200" w:right="579"/>
        <w:spacing w:after="0" w:line="253" w:lineRule="auto"/>
        <w:rPr>
          <w:sz w:val="20"/>
          <w:szCs w:val="20"/>
          <w:color w:val="auto"/>
        </w:rPr>
      </w:pPr>
      <w:r>
        <w:rPr>
          <w:rFonts w:ascii="Arial" w:cs="Arial" w:eastAsia="Arial" w:hAnsi="Arial"/>
          <w:sz w:val="20"/>
          <w:szCs w:val="20"/>
          <w:color w:val="auto"/>
        </w:rPr>
        <w:t>INTEREST PAYMENT DATES: Semi-annually, in arrears, on February 10 and August 10 of each year, commencing on February 10, 2021</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20"/>
          <w:szCs w:val="20"/>
          <w:color w:val="auto"/>
        </w:rPr>
        <w:t>FINAL MATURITY DATE: August 10, 2032</w:t>
      </w:r>
    </w:p>
    <w:p>
      <w:pPr>
        <w:spacing w:after="0" w:line="13" w:lineRule="exact"/>
        <w:rPr>
          <w:sz w:val="20"/>
          <w:szCs w:val="20"/>
          <w:color w:val="auto"/>
        </w:rPr>
      </w:pPr>
    </w:p>
    <w:p>
      <w:pPr>
        <w:ind w:left="200" w:right="1979"/>
        <w:spacing w:after="0" w:line="267" w:lineRule="auto"/>
        <w:rPr>
          <w:sz w:val="20"/>
          <w:szCs w:val="20"/>
          <w:color w:val="auto"/>
        </w:rPr>
      </w:pPr>
      <w:r>
        <w:rPr>
          <w:rFonts w:ascii="Arial" w:cs="Arial" w:eastAsia="Arial" w:hAnsi="Arial"/>
          <w:sz w:val="20"/>
          <w:szCs w:val="20"/>
          <w:color w:val="auto"/>
        </w:rPr>
        <w:t>PRINCIPAL PREPAYMENT DATES AND AMOUNTS: None, bullet due at maturity PPN 913543 D@0</w:t>
      </w:r>
    </w:p>
    <w:p>
      <w:pPr>
        <w:spacing w:after="0" w:line="115" w:lineRule="exact"/>
        <w:rPr>
          <w:sz w:val="20"/>
          <w:szCs w:val="20"/>
          <w:color w:val="auto"/>
        </w:rPr>
      </w:pPr>
    </w:p>
    <w:p>
      <w:pPr>
        <w:jc w:val="both"/>
        <w:ind w:left="200" w:right="219" w:firstLine="648"/>
        <w:spacing w:after="0" w:line="270" w:lineRule="auto"/>
        <w:rPr>
          <w:sz w:val="20"/>
          <w:szCs w:val="20"/>
          <w:color w:val="auto"/>
        </w:rPr>
      </w:pPr>
      <w:r>
        <w:rPr>
          <w:rFonts w:ascii="Arial" w:cs="Arial" w:eastAsia="Arial" w:hAnsi="Arial"/>
          <w:sz w:val="19"/>
          <w:szCs w:val="19"/>
          <w:color w:val="auto"/>
        </w:rPr>
        <w:t xml:space="preserve">FOR VALUE RECEIVED, the undersigned, UFP Industries, Inc. (f/k/a Universal Forest Products, Inc.), a Michigan corporation (herein called the “Company”), hereby promises to pay to </w:t>
      </w:r>
      <w:r>
        <w:rPr>
          <w:rFonts w:ascii="Arial" w:cs="Arial" w:eastAsia="Arial" w:hAnsi="Arial"/>
          <w:sz w:val="19"/>
          <w:szCs w:val="19"/>
          <w:b w:val="1"/>
          <w:bCs w:val="1"/>
          <w:color w:val="auto"/>
        </w:rPr>
        <w:t>M</w:t>
      </w:r>
      <w:r>
        <w:rPr>
          <w:rFonts w:ascii="Arial" w:cs="Arial" w:eastAsia="Arial" w:hAnsi="Arial"/>
          <w:sz w:val="12"/>
          <w:szCs w:val="12"/>
          <w:b w:val="1"/>
          <w:bCs w:val="1"/>
          <w:color w:val="auto"/>
        </w:rPr>
        <w:t>ID</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C</w:t>
      </w:r>
      <w:r>
        <w:rPr>
          <w:rFonts w:ascii="Arial" w:cs="Arial" w:eastAsia="Arial" w:hAnsi="Arial"/>
          <w:sz w:val="13"/>
          <w:szCs w:val="13"/>
          <w:b w:val="1"/>
          <w:bCs w:val="1"/>
          <w:color w:val="auto"/>
        </w:rPr>
        <w:t>ENTURY</w:t>
      </w:r>
      <w:r>
        <w:rPr>
          <w:rFonts w:ascii="Arial" w:cs="Arial" w:eastAsia="Arial" w:hAnsi="Arial"/>
          <w:sz w:val="20"/>
          <w:szCs w:val="20"/>
          <w:b w:val="1"/>
          <w:bCs w:val="1"/>
          <w:color w:val="auto"/>
        </w:rPr>
        <w:t xml:space="preserve"> I</w:t>
      </w:r>
      <w:r>
        <w:rPr>
          <w:rFonts w:ascii="Arial" w:cs="Arial" w:eastAsia="Arial" w:hAnsi="Arial"/>
          <w:sz w:val="13"/>
          <w:szCs w:val="13"/>
          <w:b w:val="1"/>
          <w:bCs w:val="1"/>
          <w:color w:val="auto"/>
        </w:rPr>
        <w:t>NSURANCE</w:t>
      </w:r>
      <w:r>
        <w:rPr>
          <w:rFonts w:ascii="Arial" w:cs="Arial" w:eastAsia="Arial" w:hAnsi="Arial"/>
          <w:sz w:val="20"/>
          <w:szCs w:val="20"/>
          <w:b w:val="1"/>
          <w:bCs w:val="1"/>
          <w:color w:val="auto"/>
        </w:rPr>
        <w:t xml:space="preserve"> C</w:t>
      </w:r>
      <w:r>
        <w:rPr>
          <w:rFonts w:ascii="Arial" w:cs="Arial" w:eastAsia="Arial" w:hAnsi="Arial"/>
          <w:sz w:val="13"/>
          <w:szCs w:val="13"/>
          <w:b w:val="1"/>
          <w:bCs w:val="1"/>
          <w:color w:val="auto"/>
        </w:rPr>
        <w:t>OMPANY</w:t>
      </w:r>
      <w:r>
        <w:rPr>
          <w:rFonts w:ascii="Arial" w:cs="Arial" w:eastAsia="Arial" w:hAnsi="Arial"/>
          <w:sz w:val="20"/>
          <w:szCs w:val="20"/>
          <w:color w:val="auto"/>
        </w:rPr>
        <w:t>, or registered assigns, the principal sum of</w:t>
      </w:r>
      <w:r>
        <w:rPr>
          <w:rFonts w:ascii="Arial" w:cs="Arial" w:eastAsia="Arial" w:hAnsi="Arial"/>
          <w:sz w:val="20"/>
          <w:szCs w:val="20"/>
          <w:b w:val="1"/>
          <w:bCs w:val="1"/>
          <w:color w:val="auto"/>
        </w:rPr>
        <w:t xml:space="preserve"> T</w:t>
      </w:r>
      <w:r>
        <w:rPr>
          <w:rFonts w:ascii="Arial" w:cs="Arial" w:eastAsia="Arial" w:hAnsi="Arial"/>
          <w:sz w:val="13"/>
          <w:szCs w:val="13"/>
          <w:b w:val="1"/>
          <w:bCs w:val="1"/>
          <w:color w:val="auto"/>
        </w:rPr>
        <w:t>HREE</w:t>
      </w:r>
      <w:r>
        <w:rPr>
          <w:rFonts w:ascii="Arial" w:cs="Arial" w:eastAsia="Arial" w:hAnsi="Arial"/>
          <w:sz w:val="20"/>
          <w:szCs w:val="20"/>
          <w:b w:val="1"/>
          <w:bCs w:val="1"/>
          <w:color w:val="auto"/>
        </w:rPr>
        <w:t xml:space="preserve"> M</w:t>
      </w:r>
      <w:r>
        <w:rPr>
          <w:rFonts w:ascii="Arial" w:cs="Arial" w:eastAsia="Arial" w:hAnsi="Arial"/>
          <w:sz w:val="13"/>
          <w:szCs w:val="13"/>
          <w:b w:val="1"/>
          <w:bCs w:val="1"/>
          <w:color w:val="auto"/>
        </w:rPr>
        <w:t>ILLION</w:t>
      </w:r>
      <w:r>
        <w:rPr>
          <w:rFonts w:ascii="Arial" w:cs="Arial" w:eastAsia="Arial" w:hAnsi="Arial"/>
          <w:sz w:val="20"/>
          <w:szCs w:val="20"/>
          <w:b w:val="1"/>
          <w:bCs w:val="1"/>
          <w:color w:val="auto"/>
        </w:rPr>
        <w:t xml:space="preserve"> S</w:t>
      </w:r>
      <w:r>
        <w:rPr>
          <w:rFonts w:ascii="Arial" w:cs="Arial" w:eastAsia="Arial" w:hAnsi="Arial"/>
          <w:sz w:val="13"/>
          <w:szCs w:val="13"/>
          <w:b w:val="1"/>
          <w:bCs w:val="1"/>
          <w:color w:val="auto"/>
        </w:rPr>
        <w:t>IX</w:t>
      </w:r>
      <w:r>
        <w:rPr>
          <w:rFonts w:ascii="Arial" w:cs="Arial" w:eastAsia="Arial" w:hAnsi="Arial"/>
          <w:sz w:val="20"/>
          <w:szCs w:val="20"/>
          <w:b w:val="1"/>
          <w:bCs w:val="1"/>
          <w:color w:val="auto"/>
        </w:rPr>
        <w:t xml:space="preserve"> H</w:t>
      </w:r>
      <w:r>
        <w:rPr>
          <w:rFonts w:ascii="Arial" w:cs="Arial" w:eastAsia="Arial" w:hAnsi="Arial"/>
          <w:sz w:val="13"/>
          <w:szCs w:val="13"/>
          <w:b w:val="1"/>
          <w:bCs w:val="1"/>
          <w:color w:val="auto"/>
        </w:rPr>
        <w:t>UNDRED</w:t>
      </w:r>
    </w:p>
    <w:p>
      <w:pPr>
        <w:spacing w:after="0" w:line="13" w:lineRule="exact"/>
        <w:rPr>
          <w:sz w:val="20"/>
          <w:szCs w:val="20"/>
          <w:color w:val="auto"/>
        </w:rPr>
      </w:pPr>
    </w:p>
    <w:p>
      <w:pPr>
        <w:jc w:val="both"/>
        <w:ind w:left="200" w:right="219"/>
        <w:spacing w:after="0" w:line="269" w:lineRule="auto"/>
        <w:rPr>
          <w:sz w:val="20"/>
          <w:szCs w:val="20"/>
          <w:color w:val="auto"/>
        </w:rPr>
      </w:pPr>
      <w:r>
        <w:rPr>
          <w:rFonts w:ascii="Arial" w:cs="Arial" w:eastAsia="Arial" w:hAnsi="Arial"/>
          <w:sz w:val="19"/>
          <w:szCs w:val="19"/>
          <w:b w:val="1"/>
          <w:bCs w:val="1"/>
          <w:color w:val="auto"/>
        </w:rPr>
        <w:t>S</w:t>
      </w:r>
      <w:r>
        <w:rPr>
          <w:rFonts w:ascii="Arial" w:cs="Arial" w:eastAsia="Arial" w:hAnsi="Arial"/>
          <w:sz w:val="12"/>
          <w:szCs w:val="12"/>
          <w:b w:val="1"/>
          <w:bCs w:val="1"/>
          <w:color w:val="auto"/>
        </w:rPr>
        <w:t>IXTY</w:t>
      </w:r>
      <w:r>
        <w:rPr>
          <w:rFonts w:ascii="Arial" w:cs="Arial" w:eastAsia="Arial" w:hAnsi="Arial"/>
          <w:sz w:val="19"/>
          <w:szCs w:val="19"/>
          <w:b w:val="1"/>
          <w:bCs w:val="1"/>
          <w:color w:val="auto"/>
        </w:rPr>
        <w:t xml:space="preserve"> T</w:t>
      </w:r>
      <w:r>
        <w:rPr>
          <w:rFonts w:ascii="Arial" w:cs="Arial" w:eastAsia="Arial" w:hAnsi="Arial"/>
          <w:sz w:val="12"/>
          <w:szCs w:val="12"/>
          <w:b w:val="1"/>
          <w:bCs w:val="1"/>
          <w:color w:val="auto"/>
        </w:rPr>
        <w:t>HOUSAND</w:t>
      </w:r>
      <w:r>
        <w:rPr>
          <w:rFonts w:ascii="Arial" w:cs="Arial" w:eastAsia="Arial" w:hAnsi="Arial"/>
          <w:sz w:val="19"/>
          <w:szCs w:val="19"/>
          <w:b w:val="1"/>
          <w:bCs w:val="1"/>
          <w:color w:val="auto"/>
        </w:rPr>
        <w:t xml:space="preserve"> D</w:t>
      </w:r>
      <w:r>
        <w:rPr>
          <w:rFonts w:ascii="Arial" w:cs="Arial" w:eastAsia="Arial" w:hAnsi="Arial"/>
          <w:sz w:val="12"/>
          <w:szCs w:val="12"/>
          <w:b w:val="1"/>
          <w:bCs w:val="1"/>
          <w:color w:val="auto"/>
        </w:rPr>
        <w:t>OLLARS</w:t>
      </w:r>
      <w:r>
        <w:rPr>
          <w:rFonts w:ascii="Arial" w:cs="Arial" w:eastAsia="Arial" w:hAnsi="Arial"/>
          <w:sz w:val="19"/>
          <w:szCs w:val="19"/>
          <w:b w:val="1"/>
          <w:bCs w:val="1"/>
          <w:color w:val="auto"/>
        </w:rPr>
        <w:t xml:space="preserve"> </w:t>
      </w:r>
      <w:r>
        <w:rPr>
          <w:rFonts w:ascii="Arial" w:cs="Arial" w:eastAsia="Arial" w:hAnsi="Arial"/>
          <w:sz w:val="19"/>
          <w:szCs w:val="19"/>
          <w:color w:val="auto"/>
        </w:rPr>
        <w:t>on the Final Maturity Date specified above, with interest (computed on the basis</w:t>
      </w:r>
      <w:r>
        <w:rPr>
          <w:rFonts w:ascii="Arial" w:cs="Arial" w:eastAsia="Arial" w:hAnsi="Arial"/>
          <w:sz w:val="19"/>
          <w:szCs w:val="19"/>
          <w:b w:val="1"/>
          <w:bCs w:val="1"/>
          <w:color w:val="auto"/>
        </w:rPr>
        <w:t xml:space="preserve"> </w:t>
      </w:r>
      <w:r>
        <w:rPr>
          <w:rFonts w:ascii="Arial" w:cs="Arial" w:eastAsia="Arial" w:hAnsi="Arial"/>
          <w:sz w:val="19"/>
          <w:szCs w:val="19"/>
          <w:color w:val="auto"/>
        </w:rPr>
        <w:t>of a 360-day year—30-day month) on the unpaid balance thereof at the Interest Rate per annum specified above from the date hereof, payable on each Interest Payment Date specified above and on the Final Maturity Date specified above, commencing with the Interest Payment Date next succeeding the date hereof. The Company agrees to pay interest on overdue principal (including any overdue optional prepayment of principal) and premium, if any, and (to the extent legally enforceable) on any overdue installment of interest, at the Overdue Rate after the due date, whether by acceleration or otherwise, until paid. “Overdue Rate” shall mean the lesser of (a) the maximum interest rate permitted by law, and (b) the greater of (ii) the Interest Rate specified above plus 2.00% per annum or (b) the rate of interest publicly announced by JPMorgan Chase Bank, National Association, from time to time in New York City as its Prime Rate plus 2.00% per annum.</w:t>
      </w:r>
    </w:p>
    <w:p>
      <w:pPr>
        <w:spacing w:after="0" w:line="107" w:lineRule="exact"/>
        <w:rPr>
          <w:sz w:val="20"/>
          <w:szCs w:val="20"/>
          <w:color w:val="auto"/>
        </w:rPr>
      </w:pPr>
    </w:p>
    <w:p>
      <w:pPr>
        <w:jc w:val="both"/>
        <w:ind w:left="200" w:right="219" w:firstLine="648"/>
        <w:spacing w:after="0" w:line="286" w:lineRule="auto"/>
        <w:rPr>
          <w:sz w:val="20"/>
          <w:szCs w:val="20"/>
          <w:color w:val="auto"/>
        </w:rPr>
      </w:pPr>
      <w:r>
        <w:rPr>
          <w:rFonts w:ascii="Arial" w:cs="Arial" w:eastAsia="Arial" w:hAnsi="Arial"/>
          <w:sz w:val="18"/>
          <w:szCs w:val="18"/>
          <w:color w:val="auto"/>
        </w:rPr>
        <w:t xml:space="preserve">Both the principal hereof and interest hereon are payable at the principal office of the Company in Grand Rapids, Michigan in coin or currency of the United States of America which at the time of payment shall be legal tender for the payment of public and private debts. If any amount of principal, premium, if any, or interest on or in respect of this Note becomes due and payable on any date which is not a Business Day, such amount shall be payable on the immediately succeeding Business Day without including the additional days elapsed in the computation of the interest payable on such next succeeding Business Day;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if the maturity date of this Note is a date other than a Business Day, the payment otherwise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due on such maturity date shall be made on the next succeeding Business Day and shall include the additional days elapsed in the computation of interest payable on such next succeeding Business Day. </w:t>
      </w:r>
      <w:r>
        <w:rPr>
          <w:rFonts w:ascii="Arial" w:cs="Arial" w:eastAsia="Arial" w:hAnsi="Arial"/>
          <w:sz w:val="18"/>
          <w:szCs w:val="18"/>
          <w:i w:val="1"/>
          <w:iCs w:val="1"/>
          <w:color w:val="auto"/>
        </w:rPr>
        <w:t xml:space="preserve">“Business Day” </w:t>
      </w:r>
      <w:r>
        <w:rPr>
          <w:rFonts w:ascii="Arial" w:cs="Arial" w:eastAsia="Arial" w:hAnsi="Arial"/>
          <w:sz w:val="18"/>
          <w:szCs w:val="18"/>
          <w:color w:val="auto"/>
        </w:rPr>
        <w:t>means any day other than a Saturday, Sunday or other day on which banks in either Grand</w:t>
      </w:r>
      <w:r>
        <w:rPr>
          <w:rFonts w:ascii="Arial" w:cs="Arial" w:eastAsia="Arial" w:hAnsi="Arial"/>
          <w:sz w:val="18"/>
          <w:szCs w:val="18"/>
          <w:i w:val="1"/>
          <w:iCs w:val="1"/>
          <w:color w:val="auto"/>
        </w:rPr>
        <w:t xml:space="preserve"> </w:t>
      </w:r>
      <w:r>
        <w:rPr>
          <w:rFonts w:ascii="Arial" w:cs="Arial" w:eastAsia="Arial" w:hAnsi="Arial"/>
          <w:sz w:val="18"/>
          <w:szCs w:val="18"/>
          <w:color w:val="auto"/>
        </w:rPr>
        <w:t>Rapids, Michigan or New York, New York are required by law to close or are customarily closed.</w:t>
      </w:r>
    </w:p>
    <w:p>
      <w:pPr>
        <w:spacing w:after="0" w:line="108" w:lineRule="exact"/>
        <w:rPr>
          <w:sz w:val="20"/>
          <w:szCs w:val="20"/>
          <w:color w:val="auto"/>
        </w:rPr>
      </w:pPr>
    </w:p>
    <w:p>
      <w:pPr>
        <w:jc w:val="both"/>
        <w:ind w:left="200" w:right="219" w:firstLine="648"/>
        <w:spacing w:after="0" w:line="291" w:lineRule="auto"/>
        <w:rPr>
          <w:sz w:val="20"/>
          <w:szCs w:val="20"/>
          <w:color w:val="auto"/>
        </w:rPr>
      </w:pPr>
      <w:r>
        <w:rPr>
          <w:rFonts w:ascii="Arial" w:cs="Arial" w:eastAsia="Arial" w:hAnsi="Arial"/>
          <w:sz w:val="18"/>
          <w:szCs w:val="18"/>
          <w:color w:val="auto"/>
        </w:rPr>
        <w:t>This Note is one of the 3.04% Series E Senior Notes, due August 10, 2032 of the Company in the original aggregate principal amount of $50,000,000, which, together with the 3.89% Series A Senior Notes, due December 17, 2022, of the Company in the original aggregate principal amount of $35,000,000, the 3.98% Series B Senior Notes, due December 17, 2024, of the Company in the original aggregate principal amount of $40,000,000, and any other Shelf Notes (as defined in the Note Agreement hereafter mentioned), are issued or to be issued under and pursuant to the terms and provisions of the Note Purchase and Private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460375</wp:posOffset>
            </wp:positionV>
            <wp:extent cx="545211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28" w:name="page29"/>
    <w:bookmarkEnd w:id="28"/>
    <w:p>
      <w:pPr>
        <w:jc w:val="right"/>
        <w:ind w:right="219"/>
        <w:spacing w:after="0"/>
        <w:rPr>
          <w:sz w:val="20"/>
          <w:szCs w:val="20"/>
          <w:color w:val="auto"/>
        </w:rPr>
      </w:pPr>
      <w:r>
        <w:rPr>
          <w:rFonts w:ascii="Arial" w:cs="Arial" w:eastAsia="Arial" w:hAnsi="Arial"/>
          <w:sz w:val="20"/>
          <w:szCs w:val="20"/>
          <w:b w:val="1"/>
          <w:bCs w:val="1"/>
          <w:color w:val="auto"/>
        </w:rPr>
        <w:t>Exhibit 10(k)</w:t>
      </w:r>
    </w:p>
    <w:p>
      <w:pPr>
        <w:spacing w:after="0" w:line="200" w:lineRule="exact"/>
        <w:rPr>
          <w:sz w:val="20"/>
          <w:szCs w:val="20"/>
          <w:color w:val="auto"/>
        </w:rPr>
      </w:pPr>
    </w:p>
    <w:p>
      <w:pPr>
        <w:spacing w:after="0" w:line="238" w:lineRule="exact"/>
        <w:rPr>
          <w:sz w:val="20"/>
          <w:szCs w:val="20"/>
          <w:color w:val="auto"/>
        </w:rPr>
      </w:pPr>
    </w:p>
    <w:p>
      <w:pPr>
        <w:jc w:val="both"/>
        <w:ind w:left="200" w:right="219"/>
        <w:spacing w:after="0" w:line="273" w:lineRule="auto"/>
        <w:rPr>
          <w:sz w:val="20"/>
          <w:szCs w:val="20"/>
          <w:color w:val="auto"/>
        </w:rPr>
      </w:pPr>
      <w:r>
        <w:rPr>
          <w:rFonts w:ascii="Arial" w:cs="Arial" w:eastAsia="Arial" w:hAnsi="Arial"/>
          <w:sz w:val="19"/>
          <w:szCs w:val="19"/>
          <w:color w:val="auto"/>
        </w:rPr>
        <w:t xml:space="preserve">Shelf Agreement, dated as of December 17, 2012 (the </w:t>
      </w:r>
      <w:r>
        <w:rPr>
          <w:rFonts w:ascii="Arial" w:cs="Arial" w:eastAsia="Arial" w:hAnsi="Arial"/>
          <w:sz w:val="19"/>
          <w:szCs w:val="19"/>
          <w:i w:val="1"/>
          <w:iCs w:val="1"/>
          <w:color w:val="auto"/>
        </w:rPr>
        <w:t>“Note Agreement”</w:t>
      </w:r>
      <w:r>
        <w:rPr>
          <w:rFonts w:ascii="Arial" w:cs="Arial" w:eastAsia="Arial" w:hAnsi="Arial"/>
          <w:sz w:val="19"/>
          <w:szCs w:val="19"/>
          <w:color w:val="auto"/>
        </w:rPr>
        <w:t>), between the Company, on the one hand, and PGIM, Inc. , the Initial Purchasers named in the Purchaser Schedule attached thereto and each Prudential Affiliate which becomes party thereto, on the other hand, and the holder hereof is entitled equally and ratably with the holders of all other Notes outstanding under the Note Agreement to all the benefits provided for thereby or referred to therein. Reference is hereby made to the Note Agreement for a statement of such rights and benefits.</w:t>
      </w:r>
    </w:p>
    <w:p>
      <w:pPr>
        <w:spacing w:after="0" w:line="115" w:lineRule="exact"/>
        <w:rPr>
          <w:sz w:val="20"/>
          <w:szCs w:val="20"/>
          <w:color w:val="auto"/>
        </w:rPr>
      </w:pPr>
    </w:p>
    <w:p>
      <w:pPr>
        <w:jc w:val="both"/>
        <w:ind w:left="200" w:right="239" w:firstLine="648"/>
        <w:spacing w:after="0" w:line="284" w:lineRule="auto"/>
        <w:rPr>
          <w:sz w:val="20"/>
          <w:szCs w:val="20"/>
          <w:color w:val="auto"/>
        </w:rPr>
      </w:pPr>
      <w:r>
        <w:rPr>
          <w:rFonts w:ascii="Arial" w:cs="Arial" w:eastAsia="Arial" w:hAnsi="Arial"/>
          <w:sz w:val="19"/>
          <w:szCs w:val="19"/>
          <w:color w:val="auto"/>
        </w:rPr>
        <w:t>This Note and the other Notes outstanding under the Note Agreement may be declared due prior to their expressed maturity dates and certain prepayments are required to be made thereon, all in the events, on the terms and in the manner and amounts as provided in the Note Agreements.</w:t>
      </w:r>
    </w:p>
    <w:p>
      <w:pPr>
        <w:spacing w:after="0" w:line="88" w:lineRule="exact"/>
        <w:rPr>
          <w:sz w:val="20"/>
          <w:szCs w:val="20"/>
          <w:color w:val="auto"/>
        </w:rPr>
      </w:pPr>
    </w:p>
    <w:p>
      <w:pPr>
        <w:jc w:val="both"/>
        <w:ind w:left="200" w:right="219" w:firstLine="648"/>
        <w:spacing w:after="0" w:line="264" w:lineRule="auto"/>
        <w:rPr>
          <w:sz w:val="20"/>
          <w:szCs w:val="20"/>
          <w:color w:val="auto"/>
        </w:rPr>
      </w:pPr>
      <w:r>
        <w:rPr>
          <w:rFonts w:ascii="Arial" w:cs="Arial" w:eastAsia="Arial" w:hAnsi="Arial"/>
          <w:sz w:val="20"/>
          <w:szCs w:val="20"/>
          <w:color w:val="auto"/>
        </w:rPr>
        <w:t>The Notes are not subject to prepayment or redemption at the option of the Company prior to their expressed maturity dates except on the terms and conditions and in the amounts and with the premium, if any, set forth in the Note Agreement.</w:t>
      </w:r>
    </w:p>
    <w:p>
      <w:pPr>
        <w:spacing w:after="0" w:line="119" w:lineRule="exact"/>
        <w:rPr>
          <w:sz w:val="20"/>
          <w:szCs w:val="20"/>
          <w:color w:val="auto"/>
        </w:rPr>
      </w:pPr>
    </w:p>
    <w:p>
      <w:pPr>
        <w:jc w:val="both"/>
        <w:ind w:left="200" w:right="219" w:firstLine="648"/>
        <w:spacing w:after="0" w:line="258" w:lineRule="auto"/>
        <w:rPr>
          <w:sz w:val="20"/>
          <w:szCs w:val="20"/>
          <w:color w:val="auto"/>
        </w:rPr>
      </w:pPr>
      <w:r>
        <w:rPr>
          <w:rFonts w:ascii="Arial" w:cs="Arial" w:eastAsia="Arial" w:hAnsi="Arial"/>
          <w:sz w:val="20"/>
          <w:szCs w:val="20"/>
          <w:color w:val="auto"/>
        </w:rPr>
        <w:t>This Note is registered on the books of the Company and is transferable only by surrender thereof at the principal office of the Company duly endorsed or accompanied by a written instrument of transfer duly executed by the registered holder of this Note or its attorney duly authorized in writing. Payment of or on account of principal, premium, if any, and interest on this Note shall be made only to or upon the order in writing of the registered holder.</w:t>
      </w:r>
    </w:p>
    <w:p>
      <w:pPr>
        <w:spacing w:after="0" w:line="127" w:lineRule="exact"/>
        <w:rPr>
          <w:sz w:val="20"/>
          <w:szCs w:val="20"/>
          <w:color w:val="auto"/>
        </w:rPr>
      </w:pPr>
    </w:p>
    <w:p>
      <w:pPr>
        <w:ind w:left="38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follows</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1082040</wp:posOffset>
            </wp:positionV>
            <wp:extent cx="545211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9">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29" w:name="page30"/>
    <w:bookmarkEnd w:id="29"/>
    <w:p>
      <w:pPr>
        <w:jc w:val="right"/>
        <w:ind w:right="219"/>
        <w:spacing w:after="0"/>
        <w:rPr>
          <w:sz w:val="20"/>
          <w:szCs w:val="20"/>
          <w:color w:val="auto"/>
        </w:rPr>
      </w:pPr>
      <w:r>
        <w:rPr>
          <w:rFonts w:ascii="Arial" w:cs="Arial" w:eastAsia="Arial" w:hAnsi="Arial"/>
          <w:sz w:val="20"/>
          <w:szCs w:val="20"/>
          <w:b w:val="1"/>
          <w:bCs w:val="1"/>
          <w:color w:val="auto"/>
        </w:rPr>
        <w:t>Exhibit 10(k)</w:t>
      </w:r>
    </w:p>
    <w:p>
      <w:pPr>
        <w:spacing w:after="0" w:line="200" w:lineRule="exact"/>
        <w:rPr>
          <w:sz w:val="20"/>
          <w:szCs w:val="20"/>
          <w:color w:val="auto"/>
        </w:rPr>
      </w:pPr>
    </w:p>
    <w:p>
      <w:pPr>
        <w:spacing w:after="0" w:line="232" w:lineRule="exact"/>
        <w:rPr>
          <w:sz w:val="20"/>
          <w:szCs w:val="20"/>
          <w:color w:val="auto"/>
        </w:rPr>
      </w:pPr>
    </w:p>
    <w:p>
      <w:pPr>
        <w:jc w:val="both"/>
        <w:ind w:left="200" w:right="219" w:firstLine="648"/>
        <w:spacing w:after="0" w:line="262" w:lineRule="auto"/>
        <w:rPr>
          <w:sz w:val="20"/>
          <w:szCs w:val="20"/>
          <w:color w:val="auto"/>
        </w:rPr>
      </w:pPr>
      <w:r>
        <w:rPr>
          <w:rFonts w:ascii="Arial" w:cs="Arial" w:eastAsia="Arial" w:hAnsi="Arial"/>
          <w:sz w:val="20"/>
          <w:szCs w:val="20"/>
          <w:b w:val="1"/>
          <w:bCs w:val="1"/>
          <w:color w:val="auto"/>
        </w:rPr>
        <w:t>This Note and said Note Agreement are governed by and construed in accordance with the law of Illinois (excluding any conflicts of law rules which would otherwise cause this note to be construed or enforced in accordance with the laws of any other jurisdiction), including all matters of construction, validity and performance.</w:t>
      </w:r>
    </w:p>
    <w:p>
      <w:pPr>
        <w:spacing w:after="0" w:line="122"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UFP I</w:t>
      </w:r>
      <w:r>
        <w:rPr>
          <w:rFonts w:ascii="Arial" w:cs="Arial" w:eastAsia="Arial" w:hAnsi="Arial"/>
          <w:sz w:val="13"/>
          <w:szCs w:val="13"/>
          <w:color w:val="auto"/>
        </w:rPr>
        <w:t>NDUSTRIES</w:t>
      </w:r>
      <w:r>
        <w:rPr>
          <w:rFonts w:ascii="Arial" w:cs="Arial" w:eastAsia="Arial" w:hAnsi="Arial"/>
          <w:sz w:val="20"/>
          <w:szCs w:val="20"/>
          <w:color w:val="auto"/>
        </w:rPr>
        <w:t>, I</w:t>
      </w:r>
      <w:r>
        <w:rPr>
          <w:rFonts w:ascii="Arial" w:cs="Arial" w:eastAsia="Arial" w:hAnsi="Arial"/>
          <w:sz w:val="13"/>
          <w:szCs w:val="13"/>
          <w:color w:val="auto"/>
        </w:rPr>
        <w:t>NC</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100"/>
        <w:spacing w:after="0"/>
        <w:rPr>
          <w:sz w:val="20"/>
          <w:szCs w:val="20"/>
          <w:color w:val="auto"/>
        </w:rPr>
      </w:pPr>
      <w:r>
        <w:rPr>
          <w:rFonts w:ascii="Arial" w:cs="Arial" w:eastAsia="Arial" w:hAnsi="Arial"/>
          <w:sz w:val="20"/>
          <w:szCs w:val="20"/>
          <w:color w:val="auto"/>
          <w:highlight w:val="white"/>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-31750</wp:posOffset>
            </wp:positionV>
            <wp:extent cx="278574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0">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jc w:val="center"/>
        <w:ind w:right="-14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768985</wp:posOffset>
            </wp:positionV>
            <wp:extent cx="545211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1">
                      <a:extLst>
                        <a:ext uri="{28A0092B-C50C-407E-A947-70E740481C1C}"/>
                      </a:extLst>
                    </a:blip>
                    <a:srcRect/>
                    <a:stretch>
                      <a:fillRect/>
                    </a:stretch>
                  </pic:blipFill>
                  <pic:spPr bwMode="auto">
                    <a:xfrm>
                      <a:off x="0" y="0"/>
                      <a:ext cx="5452110" cy="17145"/>
                    </a:xfrm>
                    <a:prstGeom prst="rect">
                      <a:avLst/>
                    </a:prstGeom>
                    <a:noFill/>
                  </pic:spPr>
                </pic:pic>
              </a:graphicData>
            </a:graphic>
          </wp:anchor>
        </w:drawing>
        <w:drawing>
          <wp:anchor simplePos="0" relativeHeight="251657728" behindDoc="1" locked="0" layoutInCell="0" allowOverlap="1">
            <wp:simplePos x="0" y="0"/>
            <wp:positionH relativeFrom="column">
              <wp:posOffset>2602865</wp:posOffset>
            </wp:positionH>
            <wp:positionV relativeFrom="paragraph">
              <wp:posOffset>-139065</wp:posOffset>
            </wp:positionV>
            <wp:extent cx="2983230" cy="1454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2">
                      <a:extLst>
                        <a:ext uri="{28A0092B-C50C-407E-A947-70E740481C1C}"/>
                      </a:extLst>
                    </a:blip>
                    <a:srcRect/>
                    <a:stretch>
                      <a:fillRect/>
                    </a:stretch>
                  </pic:blipFill>
                  <pic:spPr bwMode="auto">
                    <a:xfrm>
                      <a:off x="0" y="0"/>
                      <a:ext cx="2983230" cy="145415"/>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30" w:name="page31"/>
    <w:bookmarkEnd w:id="30"/>
    <w:p>
      <w:pPr>
        <w:jc w:val="right"/>
        <w:ind w:right="219"/>
        <w:spacing w:after="0"/>
        <w:rPr>
          <w:sz w:val="20"/>
          <w:szCs w:val="20"/>
          <w:color w:val="auto"/>
        </w:rPr>
      </w:pPr>
      <w:r>
        <w:rPr>
          <w:rFonts w:ascii="Arial" w:cs="Arial" w:eastAsia="Arial" w:hAnsi="Arial"/>
          <w:sz w:val="20"/>
          <w:szCs w:val="20"/>
          <w:b w:val="1"/>
          <w:bCs w:val="1"/>
          <w:color w:val="auto"/>
        </w:rPr>
        <w:t>Exhibit 10(k)</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UFP INDUSTRIES, INC.</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3.04% SENIOR SERIES E NOTE DUE AUGUST 10, 2032</w:t>
      </w:r>
    </w:p>
    <w:p>
      <w:pPr>
        <w:spacing w:after="0" w:line="200" w:lineRule="exact"/>
        <w:rPr>
          <w:sz w:val="20"/>
          <w:szCs w:val="20"/>
          <w:color w:val="auto"/>
        </w:rPr>
      </w:pPr>
    </w:p>
    <w:p>
      <w:pPr>
        <w:spacing w:after="0" w:line="251" w:lineRule="exact"/>
        <w:rPr>
          <w:sz w:val="20"/>
          <w:szCs w:val="20"/>
          <w:color w:val="auto"/>
        </w:rPr>
      </w:pPr>
    </w:p>
    <w:p>
      <w:pPr>
        <w:ind w:left="200"/>
        <w:spacing w:after="0"/>
        <w:rPr>
          <w:sz w:val="20"/>
          <w:szCs w:val="20"/>
          <w:color w:val="auto"/>
        </w:rPr>
      </w:pPr>
      <w:r>
        <w:rPr>
          <w:rFonts w:ascii="Arial" w:cs="Arial" w:eastAsia="Arial" w:hAnsi="Arial"/>
          <w:sz w:val="20"/>
          <w:szCs w:val="20"/>
          <w:color w:val="auto"/>
        </w:rPr>
        <w:t>No. E-4</w:t>
      </w:r>
    </w:p>
    <w:p>
      <w:pPr>
        <w:spacing w:after="0" w:line="20" w:lineRule="exact"/>
        <w:rPr>
          <w:sz w:val="20"/>
          <w:szCs w:val="20"/>
          <w:color w:val="auto"/>
        </w:rPr>
      </w:pPr>
    </w:p>
    <w:p>
      <w:pPr>
        <w:ind w:left="200"/>
        <w:spacing w:after="0"/>
        <w:rPr>
          <w:sz w:val="20"/>
          <w:szCs w:val="20"/>
          <w:color w:val="auto"/>
        </w:rPr>
      </w:pPr>
      <w:r>
        <w:rPr>
          <w:rFonts w:ascii="Arial" w:cs="Arial" w:eastAsia="Arial" w:hAnsi="Arial"/>
          <w:sz w:val="20"/>
          <w:szCs w:val="20"/>
          <w:color w:val="auto"/>
        </w:rPr>
        <w:t>ORIGINAL PRINCIPAL AMOUNT: $1,350,000</w:t>
      </w:r>
    </w:p>
    <w:p>
      <w:pPr>
        <w:spacing w:after="0" w:line="13" w:lineRule="exact"/>
        <w:rPr>
          <w:sz w:val="20"/>
          <w:szCs w:val="20"/>
          <w:color w:val="auto"/>
        </w:rPr>
      </w:pPr>
    </w:p>
    <w:p>
      <w:pPr>
        <w:ind w:left="200"/>
        <w:spacing w:after="0"/>
        <w:rPr>
          <w:sz w:val="20"/>
          <w:szCs w:val="20"/>
          <w:color w:val="auto"/>
        </w:rPr>
      </w:pPr>
      <w:r>
        <w:rPr>
          <w:rFonts w:ascii="Arial" w:cs="Arial" w:eastAsia="Arial" w:hAnsi="Arial"/>
          <w:sz w:val="20"/>
          <w:szCs w:val="20"/>
          <w:color w:val="auto"/>
        </w:rPr>
        <w:t>ORIGINAL ISSUE DATE: August 10, 2020</w:t>
      </w:r>
    </w:p>
    <w:p>
      <w:pPr>
        <w:spacing w:after="0" w:line="13" w:lineRule="exact"/>
        <w:rPr>
          <w:sz w:val="20"/>
          <w:szCs w:val="20"/>
          <w:color w:val="auto"/>
        </w:rPr>
      </w:pPr>
    </w:p>
    <w:p>
      <w:pPr>
        <w:ind w:left="200"/>
        <w:spacing w:after="0"/>
        <w:rPr>
          <w:sz w:val="20"/>
          <w:szCs w:val="20"/>
          <w:color w:val="auto"/>
        </w:rPr>
      </w:pPr>
      <w:r>
        <w:rPr>
          <w:rFonts w:ascii="Arial" w:cs="Arial" w:eastAsia="Arial" w:hAnsi="Arial"/>
          <w:sz w:val="20"/>
          <w:szCs w:val="20"/>
          <w:color w:val="auto"/>
        </w:rPr>
        <w:t>INTEREST RATE: 3.04%</w:t>
      </w:r>
    </w:p>
    <w:p>
      <w:pPr>
        <w:spacing w:after="0" w:line="13" w:lineRule="exact"/>
        <w:rPr>
          <w:sz w:val="20"/>
          <w:szCs w:val="20"/>
          <w:color w:val="auto"/>
        </w:rPr>
      </w:pPr>
    </w:p>
    <w:p>
      <w:pPr>
        <w:ind w:left="200" w:right="579"/>
        <w:spacing w:after="0" w:line="253" w:lineRule="auto"/>
        <w:rPr>
          <w:sz w:val="20"/>
          <w:szCs w:val="20"/>
          <w:color w:val="auto"/>
        </w:rPr>
      </w:pPr>
      <w:r>
        <w:rPr>
          <w:rFonts w:ascii="Arial" w:cs="Arial" w:eastAsia="Arial" w:hAnsi="Arial"/>
          <w:sz w:val="20"/>
          <w:szCs w:val="20"/>
          <w:color w:val="auto"/>
        </w:rPr>
        <w:t>INTEREST PAYMENT DATES: Semi-annually, in arrears, on February 10 and August 10 of each year, commencing on February 10, 2021</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20"/>
          <w:szCs w:val="20"/>
          <w:color w:val="auto"/>
        </w:rPr>
        <w:t>FINAL MATURITY DATE: August 10, 2032</w:t>
      </w:r>
    </w:p>
    <w:p>
      <w:pPr>
        <w:spacing w:after="0" w:line="13" w:lineRule="exact"/>
        <w:rPr>
          <w:sz w:val="20"/>
          <w:szCs w:val="20"/>
          <w:color w:val="auto"/>
        </w:rPr>
      </w:pPr>
    </w:p>
    <w:p>
      <w:pPr>
        <w:ind w:left="200" w:right="1979"/>
        <w:spacing w:after="0" w:line="267" w:lineRule="auto"/>
        <w:rPr>
          <w:sz w:val="20"/>
          <w:szCs w:val="20"/>
          <w:color w:val="auto"/>
        </w:rPr>
      </w:pPr>
      <w:r>
        <w:rPr>
          <w:rFonts w:ascii="Arial" w:cs="Arial" w:eastAsia="Arial" w:hAnsi="Arial"/>
          <w:sz w:val="20"/>
          <w:szCs w:val="20"/>
          <w:color w:val="auto"/>
        </w:rPr>
        <w:t>PRINCIPAL PREPAYMENT DATES AND AMOUNTS: None, bullet due at maturity PPN 913543 D@0</w:t>
      </w:r>
    </w:p>
    <w:p>
      <w:pPr>
        <w:spacing w:after="0" w:line="115" w:lineRule="exact"/>
        <w:rPr>
          <w:sz w:val="20"/>
          <w:szCs w:val="20"/>
          <w:color w:val="auto"/>
        </w:rPr>
      </w:pPr>
    </w:p>
    <w:p>
      <w:pPr>
        <w:jc w:val="both"/>
        <w:ind w:left="200" w:right="219" w:firstLine="648"/>
        <w:spacing w:after="0" w:line="270" w:lineRule="auto"/>
        <w:rPr>
          <w:sz w:val="20"/>
          <w:szCs w:val="20"/>
          <w:color w:val="auto"/>
        </w:rPr>
      </w:pPr>
      <w:r>
        <w:rPr>
          <w:rFonts w:ascii="Arial" w:cs="Arial" w:eastAsia="Arial" w:hAnsi="Arial"/>
          <w:sz w:val="19"/>
          <w:szCs w:val="19"/>
          <w:color w:val="auto"/>
        </w:rPr>
        <w:t xml:space="preserve">FOR VALUE RECEIVED, the undersigned, UFP Industries, Inc. (f/k/a Universal Forest Products, Inc.), a Michigan corporation (herein called the “Company”), hereby promises to pay to </w:t>
      </w:r>
      <w:r>
        <w:rPr>
          <w:rFonts w:ascii="Arial" w:cs="Arial" w:eastAsia="Arial" w:hAnsi="Arial"/>
          <w:sz w:val="19"/>
          <w:szCs w:val="19"/>
          <w:b w:val="1"/>
          <w:bCs w:val="1"/>
          <w:color w:val="auto"/>
        </w:rPr>
        <w:t>T</w:t>
      </w:r>
      <w:r>
        <w:rPr>
          <w:rFonts w:ascii="Arial" w:cs="Arial" w:eastAsia="Arial" w:hAnsi="Arial"/>
          <w:sz w:val="12"/>
          <w:szCs w:val="12"/>
          <w:b w:val="1"/>
          <w:bCs w:val="1"/>
          <w:color w:val="auto"/>
        </w:rPr>
        <w:t>HE</w:t>
      </w:r>
    </w:p>
    <w:p>
      <w:pPr>
        <w:spacing w:after="0" w:line="2"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P</w:t>
      </w:r>
      <w:r>
        <w:rPr>
          <w:rFonts w:ascii="Arial" w:cs="Arial" w:eastAsia="Arial" w:hAnsi="Arial"/>
          <w:sz w:val="13"/>
          <w:szCs w:val="13"/>
          <w:b w:val="1"/>
          <w:bCs w:val="1"/>
          <w:color w:val="auto"/>
        </w:rPr>
        <w:t>RUDENTIAL</w:t>
      </w:r>
      <w:r>
        <w:rPr>
          <w:rFonts w:ascii="Arial" w:cs="Arial" w:eastAsia="Arial" w:hAnsi="Arial"/>
          <w:sz w:val="20"/>
          <w:szCs w:val="20"/>
          <w:b w:val="1"/>
          <w:bCs w:val="1"/>
          <w:color w:val="auto"/>
        </w:rPr>
        <w:t xml:space="preserve"> I</w:t>
      </w:r>
      <w:r>
        <w:rPr>
          <w:rFonts w:ascii="Arial" w:cs="Arial" w:eastAsia="Arial" w:hAnsi="Arial"/>
          <w:sz w:val="13"/>
          <w:szCs w:val="13"/>
          <w:b w:val="1"/>
          <w:bCs w:val="1"/>
          <w:color w:val="auto"/>
        </w:rPr>
        <w:t>NSURANCE</w:t>
      </w:r>
      <w:r>
        <w:rPr>
          <w:rFonts w:ascii="Arial" w:cs="Arial" w:eastAsia="Arial" w:hAnsi="Arial"/>
          <w:sz w:val="20"/>
          <w:szCs w:val="20"/>
          <w:b w:val="1"/>
          <w:bCs w:val="1"/>
          <w:color w:val="auto"/>
        </w:rPr>
        <w:t xml:space="preserve"> C</w:t>
      </w:r>
      <w:r>
        <w:rPr>
          <w:rFonts w:ascii="Arial" w:cs="Arial" w:eastAsia="Arial" w:hAnsi="Arial"/>
          <w:sz w:val="13"/>
          <w:szCs w:val="13"/>
          <w:b w:val="1"/>
          <w:bCs w:val="1"/>
          <w:color w:val="auto"/>
        </w:rPr>
        <w:t>OMPANY OF</w:t>
      </w:r>
      <w:r>
        <w:rPr>
          <w:rFonts w:ascii="Arial" w:cs="Arial" w:eastAsia="Arial" w:hAnsi="Arial"/>
          <w:sz w:val="20"/>
          <w:szCs w:val="20"/>
          <w:b w:val="1"/>
          <w:bCs w:val="1"/>
          <w:color w:val="auto"/>
        </w:rPr>
        <w:t xml:space="preserve"> A</w:t>
      </w:r>
      <w:r>
        <w:rPr>
          <w:rFonts w:ascii="Arial" w:cs="Arial" w:eastAsia="Arial" w:hAnsi="Arial"/>
          <w:sz w:val="13"/>
          <w:szCs w:val="13"/>
          <w:b w:val="1"/>
          <w:bCs w:val="1"/>
          <w:color w:val="auto"/>
        </w:rPr>
        <w:t>MERICA</w:t>
      </w:r>
      <w:r>
        <w:rPr>
          <w:rFonts w:ascii="Arial" w:cs="Arial" w:eastAsia="Arial" w:hAnsi="Arial"/>
          <w:sz w:val="20"/>
          <w:szCs w:val="20"/>
          <w:color w:val="auto"/>
        </w:rPr>
        <w:t>, or registered assigns, the principal sum of</w:t>
      </w:r>
      <w:r>
        <w:rPr>
          <w:rFonts w:ascii="Arial" w:cs="Arial" w:eastAsia="Arial" w:hAnsi="Arial"/>
          <w:sz w:val="20"/>
          <w:szCs w:val="20"/>
          <w:b w:val="1"/>
          <w:bCs w:val="1"/>
          <w:color w:val="auto"/>
        </w:rPr>
        <w:t xml:space="preserve"> O</w:t>
      </w:r>
      <w:r>
        <w:rPr>
          <w:rFonts w:ascii="Arial" w:cs="Arial" w:eastAsia="Arial" w:hAnsi="Arial"/>
          <w:sz w:val="13"/>
          <w:szCs w:val="13"/>
          <w:b w:val="1"/>
          <w:bCs w:val="1"/>
          <w:color w:val="auto"/>
        </w:rPr>
        <w:t>NE</w:t>
      </w:r>
      <w:r>
        <w:rPr>
          <w:rFonts w:ascii="Arial" w:cs="Arial" w:eastAsia="Arial" w:hAnsi="Arial"/>
          <w:sz w:val="20"/>
          <w:szCs w:val="20"/>
          <w:b w:val="1"/>
          <w:bCs w:val="1"/>
          <w:color w:val="auto"/>
        </w:rPr>
        <w:t xml:space="preserve"> M</w:t>
      </w:r>
      <w:r>
        <w:rPr>
          <w:rFonts w:ascii="Arial" w:cs="Arial" w:eastAsia="Arial" w:hAnsi="Arial"/>
          <w:sz w:val="13"/>
          <w:szCs w:val="13"/>
          <w:b w:val="1"/>
          <w:bCs w:val="1"/>
          <w:color w:val="auto"/>
        </w:rPr>
        <w:t>ILLION</w:t>
      </w:r>
    </w:p>
    <w:p>
      <w:pPr>
        <w:spacing w:after="0" w:line="13" w:lineRule="exact"/>
        <w:rPr>
          <w:sz w:val="20"/>
          <w:szCs w:val="20"/>
          <w:color w:val="auto"/>
        </w:rPr>
      </w:pPr>
    </w:p>
    <w:p>
      <w:pPr>
        <w:jc w:val="both"/>
        <w:ind w:left="200" w:right="219"/>
        <w:spacing w:after="0" w:line="269" w:lineRule="auto"/>
        <w:rPr>
          <w:sz w:val="20"/>
          <w:szCs w:val="20"/>
          <w:color w:val="auto"/>
        </w:rPr>
      </w:pPr>
      <w:r>
        <w:rPr>
          <w:rFonts w:ascii="Arial" w:cs="Arial" w:eastAsia="Arial" w:hAnsi="Arial"/>
          <w:sz w:val="19"/>
          <w:szCs w:val="19"/>
          <w:b w:val="1"/>
          <w:bCs w:val="1"/>
          <w:color w:val="auto"/>
        </w:rPr>
        <w:t>T</w:t>
      </w:r>
      <w:r>
        <w:rPr>
          <w:rFonts w:ascii="Arial" w:cs="Arial" w:eastAsia="Arial" w:hAnsi="Arial"/>
          <w:sz w:val="12"/>
          <w:szCs w:val="12"/>
          <w:b w:val="1"/>
          <w:bCs w:val="1"/>
          <w:color w:val="auto"/>
        </w:rPr>
        <w:t>HREE HUNDRED</w:t>
      </w:r>
      <w:r>
        <w:rPr>
          <w:rFonts w:ascii="Arial" w:cs="Arial" w:eastAsia="Arial" w:hAnsi="Arial"/>
          <w:sz w:val="19"/>
          <w:szCs w:val="19"/>
          <w:b w:val="1"/>
          <w:bCs w:val="1"/>
          <w:color w:val="auto"/>
        </w:rPr>
        <w:t xml:space="preserve"> F</w:t>
      </w:r>
      <w:r>
        <w:rPr>
          <w:rFonts w:ascii="Arial" w:cs="Arial" w:eastAsia="Arial" w:hAnsi="Arial"/>
          <w:sz w:val="12"/>
          <w:szCs w:val="12"/>
          <w:b w:val="1"/>
          <w:bCs w:val="1"/>
          <w:color w:val="auto"/>
        </w:rPr>
        <w:t>IFTY</w:t>
      </w:r>
      <w:r>
        <w:rPr>
          <w:rFonts w:ascii="Arial" w:cs="Arial" w:eastAsia="Arial" w:hAnsi="Arial"/>
          <w:sz w:val="19"/>
          <w:szCs w:val="19"/>
          <w:b w:val="1"/>
          <w:bCs w:val="1"/>
          <w:color w:val="auto"/>
        </w:rPr>
        <w:t xml:space="preserve"> T</w:t>
      </w:r>
      <w:r>
        <w:rPr>
          <w:rFonts w:ascii="Arial" w:cs="Arial" w:eastAsia="Arial" w:hAnsi="Arial"/>
          <w:sz w:val="12"/>
          <w:szCs w:val="12"/>
          <w:b w:val="1"/>
          <w:bCs w:val="1"/>
          <w:color w:val="auto"/>
        </w:rPr>
        <w:t>HOUSAND</w:t>
      </w:r>
      <w:r>
        <w:rPr>
          <w:rFonts w:ascii="Arial" w:cs="Arial" w:eastAsia="Arial" w:hAnsi="Arial"/>
          <w:sz w:val="19"/>
          <w:szCs w:val="19"/>
          <w:b w:val="1"/>
          <w:bCs w:val="1"/>
          <w:color w:val="auto"/>
        </w:rPr>
        <w:t xml:space="preserve"> D</w:t>
      </w:r>
      <w:r>
        <w:rPr>
          <w:rFonts w:ascii="Arial" w:cs="Arial" w:eastAsia="Arial" w:hAnsi="Arial"/>
          <w:sz w:val="12"/>
          <w:szCs w:val="12"/>
          <w:b w:val="1"/>
          <w:bCs w:val="1"/>
          <w:color w:val="auto"/>
        </w:rPr>
        <w:t>OLLARS</w:t>
      </w:r>
      <w:r>
        <w:rPr>
          <w:rFonts w:ascii="Arial" w:cs="Arial" w:eastAsia="Arial" w:hAnsi="Arial"/>
          <w:sz w:val="19"/>
          <w:szCs w:val="19"/>
          <w:b w:val="1"/>
          <w:bCs w:val="1"/>
          <w:color w:val="auto"/>
        </w:rPr>
        <w:t xml:space="preserve"> </w:t>
      </w:r>
      <w:r>
        <w:rPr>
          <w:rFonts w:ascii="Arial" w:cs="Arial" w:eastAsia="Arial" w:hAnsi="Arial"/>
          <w:sz w:val="19"/>
          <w:szCs w:val="19"/>
          <w:color w:val="auto"/>
        </w:rPr>
        <w:t>on the Final Maturity Date specified above, with interest</w:t>
      </w:r>
      <w:r>
        <w:rPr>
          <w:rFonts w:ascii="Arial" w:cs="Arial" w:eastAsia="Arial" w:hAnsi="Arial"/>
          <w:sz w:val="19"/>
          <w:szCs w:val="19"/>
          <w:b w:val="1"/>
          <w:bCs w:val="1"/>
          <w:color w:val="auto"/>
        </w:rPr>
        <w:t xml:space="preserve"> </w:t>
      </w:r>
      <w:r>
        <w:rPr>
          <w:rFonts w:ascii="Arial" w:cs="Arial" w:eastAsia="Arial" w:hAnsi="Arial"/>
          <w:sz w:val="19"/>
          <w:szCs w:val="19"/>
          <w:color w:val="auto"/>
        </w:rPr>
        <w:t>(computed on the basis of a 360-day year—30-day month) on the unpaid balance thereof at the Interest Rate per annum specified above from the date hereof, payable on each Interest Payment Date specified above and on the Final Maturity Date specified above, commencing with the Interest Payment Date next succeeding the date hereof. The Company agrees to pay interest on overdue principal (including any overdue optional prepayment of principal) and premium, if any, and (to the extent legally enforceable) on any overdue installment of interest, at the Overdue Rate after the due date, whether by acceleration or otherwise, until paid. “Overdue Rate” shall mean the lesser of (a) the maximum interest rate permitted by law, and (b) the greater of (ii) the Interest Rate specified above plus 2.00% per annum or (b) the rate of interest publicly announced by JPMorgan Chase Bank, National Association, from time to time in New York City as its Prime Rate plus 2.00% per annum.</w:t>
      </w:r>
    </w:p>
    <w:p>
      <w:pPr>
        <w:spacing w:after="0" w:line="107" w:lineRule="exact"/>
        <w:rPr>
          <w:sz w:val="20"/>
          <w:szCs w:val="20"/>
          <w:color w:val="auto"/>
        </w:rPr>
      </w:pPr>
    </w:p>
    <w:p>
      <w:pPr>
        <w:jc w:val="both"/>
        <w:ind w:left="200" w:right="219" w:firstLine="648"/>
        <w:spacing w:after="0" w:line="286" w:lineRule="auto"/>
        <w:rPr>
          <w:sz w:val="20"/>
          <w:szCs w:val="20"/>
          <w:color w:val="auto"/>
        </w:rPr>
      </w:pPr>
      <w:r>
        <w:rPr>
          <w:rFonts w:ascii="Arial" w:cs="Arial" w:eastAsia="Arial" w:hAnsi="Arial"/>
          <w:sz w:val="18"/>
          <w:szCs w:val="18"/>
          <w:color w:val="auto"/>
        </w:rPr>
        <w:t xml:space="preserve">Both the principal hereof and interest hereon are payable at the principal office of the Company in Grand Rapids, Michigan in coin or currency of the United States of America which at the time of payment shall be legal tender for the payment of public and private debts. If any amount of principal, premium, if any, or interest on or in respect of this Note becomes due and payable on any date which is not a Business Day, such amount shall be payable on the immediately succeeding Business Day without including the additional days elapsed in the computation of the interest payable on such next succeeding Business Day;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if the maturity date of this Note is a date other than a Business Day, the payment otherwise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due on such maturity date shall be made on the next succeeding Business Day and shall include the additional days elapsed in the computation of interest payable on such next succeeding Business Day. </w:t>
      </w:r>
      <w:r>
        <w:rPr>
          <w:rFonts w:ascii="Arial" w:cs="Arial" w:eastAsia="Arial" w:hAnsi="Arial"/>
          <w:sz w:val="18"/>
          <w:szCs w:val="18"/>
          <w:i w:val="1"/>
          <w:iCs w:val="1"/>
          <w:color w:val="auto"/>
        </w:rPr>
        <w:t xml:space="preserve">“Business Day” </w:t>
      </w:r>
      <w:r>
        <w:rPr>
          <w:rFonts w:ascii="Arial" w:cs="Arial" w:eastAsia="Arial" w:hAnsi="Arial"/>
          <w:sz w:val="18"/>
          <w:szCs w:val="18"/>
          <w:color w:val="auto"/>
        </w:rPr>
        <w:t>means any day other than a Saturday, Sunday or other day on which banks in either Grand</w:t>
      </w:r>
      <w:r>
        <w:rPr>
          <w:rFonts w:ascii="Arial" w:cs="Arial" w:eastAsia="Arial" w:hAnsi="Arial"/>
          <w:sz w:val="18"/>
          <w:szCs w:val="18"/>
          <w:i w:val="1"/>
          <w:iCs w:val="1"/>
          <w:color w:val="auto"/>
        </w:rPr>
        <w:t xml:space="preserve"> </w:t>
      </w:r>
      <w:r>
        <w:rPr>
          <w:rFonts w:ascii="Arial" w:cs="Arial" w:eastAsia="Arial" w:hAnsi="Arial"/>
          <w:sz w:val="18"/>
          <w:szCs w:val="18"/>
          <w:color w:val="auto"/>
        </w:rPr>
        <w:t>Rapids, Michigan or New York, New York are required by law to close or are customarily closed.</w:t>
      </w:r>
    </w:p>
    <w:p>
      <w:pPr>
        <w:spacing w:after="0" w:line="108" w:lineRule="exact"/>
        <w:rPr>
          <w:sz w:val="20"/>
          <w:szCs w:val="20"/>
          <w:color w:val="auto"/>
        </w:rPr>
      </w:pPr>
    </w:p>
    <w:p>
      <w:pPr>
        <w:jc w:val="both"/>
        <w:ind w:left="200" w:right="219" w:firstLine="648"/>
        <w:spacing w:after="0" w:line="291" w:lineRule="auto"/>
        <w:rPr>
          <w:sz w:val="20"/>
          <w:szCs w:val="20"/>
          <w:color w:val="auto"/>
        </w:rPr>
      </w:pPr>
      <w:r>
        <w:rPr>
          <w:rFonts w:ascii="Arial" w:cs="Arial" w:eastAsia="Arial" w:hAnsi="Arial"/>
          <w:sz w:val="18"/>
          <w:szCs w:val="18"/>
          <w:color w:val="auto"/>
        </w:rPr>
        <w:t>This Note is one of the 3.04% Series E Senior Notes, due August 10, 2032 of the Company in the original aggregate principal amount of $50,000,000, which, together with the 3.89% Series A Senior Notes, due December 17, 2022, of the Company in the original aggregate principal amount of $35,000,000, the 3.98% Series B Senior Notes, due December 17, 2024, of the Company in the original aggregate principal amount of $40,000,000, and any other Shelf Notes (as defined in the Note Agreement hereafter mentioned), are issued or to be issued under and pursuant to the terms and provisions of the Note Purchase and Private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460375</wp:posOffset>
            </wp:positionV>
            <wp:extent cx="545211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31" w:name="page32"/>
    <w:bookmarkEnd w:id="31"/>
    <w:p>
      <w:pPr>
        <w:jc w:val="right"/>
        <w:ind w:right="219"/>
        <w:spacing w:after="0"/>
        <w:rPr>
          <w:sz w:val="20"/>
          <w:szCs w:val="20"/>
          <w:color w:val="auto"/>
        </w:rPr>
      </w:pPr>
      <w:r>
        <w:rPr>
          <w:rFonts w:ascii="Arial" w:cs="Arial" w:eastAsia="Arial" w:hAnsi="Arial"/>
          <w:sz w:val="20"/>
          <w:szCs w:val="20"/>
          <w:b w:val="1"/>
          <w:bCs w:val="1"/>
          <w:color w:val="auto"/>
        </w:rPr>
        <w:t>Exhibit 10(k)</w:t>
      </w:r>
    </w:p>
    <w:p>
      <w:pPr>
        <w:spacing w:after="0" w:line="200" w:lineRule="exact"/>
        <w:rPr>
          <w:sz w:val="20"/>
          <w:szCs w:val="20"/>
          <w:color w:val="auto"/>
        </w:rPr>
      </w:pPr>
    </w:p>
    <w:p>
      <w:pPr>
        <w:spacing w:after="0" w:line="238" w:lineRule="exact"/>
        <w:rPr>
          <w:sz w:val="20"/>
          <w:szCs w:val="20"/>
          <w:color w:val="auto"/>
        </w:rPr>
      </w:pPr>
    </w:p>
    <w:p>
      <w:pPr>
        <w:jc w:val="both"/>
        <w:ind w:left="200" w:right="219"/>
        <w:spacing w:after="0" w:line="273" w:lineRule="auto"/>
        <w:rPr>
          <w:sz w:val="20"/>
          <w:szCs w:val="20"/>
          <w:color w:val="auto"/>
        </w:rPr>
      </w:pPr>
      <w:r>
        <w:rPr>
          <w:rFonts w:ascii="Arial" w:cs="Arial" w:eastAsia="Arial" w:hAnsi="Arial"/>
          <w:sz w:val="19"/>
          <w:szCs w:val="19"/>
          <w:color w:val="auto"/>
        </w:rPr>
        <w:t xml:space="preserve">Shelf Agreement, dated as of December 17, 2012 (the </w:t>
      </w:r>
      <w:r>
        <w:rPr>
          <w:rFonts w:ascii="Arial" w:cs="Arial" w:eastAsia="Arial" w:hAnsi="Arial"/>
          <w:sz w:val="19"/>
          <w:szCs w:val="19"/>
          <w:i w:val="1"/>
          <w:iCs w:val="1"/>
          <w:color w:val="auto"/>
        </w:rPr>
        <w:t>“Note Agreement”</w:t>
      </w:r>
      <w:r>
        <w:rPr>
          <w:rFonts w:ascii="Arial" w:cs="Arial" w:eastAsia="Arial" w:hAnsi="Arial"/>
          <w:sz w:val="19"/>
          <w:szCs w:val="19"/>
          <w:color w:val="auto"/>
        </w:rPr>
        <w:t>), between the Company, on the one hand, and PGIM, Inc. , the Initial Purchasers named in the Purchaser Schedule attached thereto and each Prudential Affiliate which becomes party thereto, on the other hand, and the holder hereof is entitled equally and ratably with the holders of all other Notes outstanding under the Note Agreement to all the benefits provided for thereby or referred to therein. Reference is hereby made to the Note Agreement for a statement of such rights and benefits.</w:t>
      </w:r>
    </w:p>
    <w:p>
      <w:pPr>
        <w:spacing w:after="0" w:line="115" w:lineRule="exact"/>
        <w:rPr>
          <w:sz w:val="20"/>
          <w:szCs w:val="20"/>
          <w:color w:val="auto"/>
        </w:rPr>
      </w:pPr>
    </w:p>
    <w:p>
      <w:pPr>
        <w:jc w:val="both"/>
        <w:ind w:left="200" w:right="239" w:firstLine="648"/>
        <w:spacing w:after="0" w:line="284" w:lineRule="auto"/>
        <w:rPr>
          <w:sz w:val="20"/>
          <w:szCs w:val="20"/>
          <w:color w:val="auto"/>
        </w:rPr>
      </w:pPr>
      <w:r>
        <w:rPr>
          <w:rFonts w:ascii="Arial" w:cs="Arial" w:eastAsia="Arial" w:hAnsi="Arial"/>
          <w:sz w:val="19"/>
          <w:szCs w:val="19"/>
          <w:color w:val="auto"/>
        </w:rPr>
        <w:t>This Note and the other Notes outstanding under the Note Agreement may be declared due prior to their expressed maturity dates and certain prepayments are required to be made thereon, all in the events, on the terms and in the manner and amounts as provided in the Note Agreements.</w:t>
      </w:r>
    </w:p>
    <w:p>
      <w:pPr>
        <w:spacing w:after="0" w:line="88" w:lineRule="exact"/>
        <w:rPr>
          <w:sz w:val="20"/>
          <w:szCs w:val="20"/>
          <w:color w:val="auto"/>
        </w:rPr>
      </w:pPr>
    </w:p>
    <w:p>
      <w:pPr>
        <w:jc w:val="both"/>
        <w:ind w:left="200" w:right="219" w:firstLine="648"/>
        <w:spacing w:after="0" w:line="264" w:lineRule="auto"/>
        <w:rPr>
          <w:sz w:val="20"/>
          <w:szCs w:val="20"/>
          <w:color w:val="auto"/>
        </w:rPr>
      </w:pPr>
      <w:r>
        <w:rPr>
          <w:rFonts w:ascii="Arial" w:cs="Arial" w:eastAsia="Arial" w:hAnsi="Arial"/>
          <w:sz w:val="20"/>
          <w:szCs w:val="20"/>
          <w:color w:val="auto"/>
        </w:rPr>
        <w:t>The Notes are not subject to prepayment or redemption at the option of the Company prior to their expressed maturity dates except on the terms and conditions and in the amounts and with the premium, if any, set forth in the Note Agreement.</w:t>
      </w:r>
    </w:p>
    <w:p>
      <w:pPr>
        <w:spacing w:after="0" w:line="119" w:lineRule="exact"/>
        <w:rPr>
          <w:sz w:val="20"/>
          <w:szCs w:val="20"/>
          <w:color w:val="auto"/>
        </w:rPr>
      </w:pPr>
    </w:p>
    <w:p>
      <w:pPr>
        <w:jc w:val="both"/>
        <w:ind w:left="200" w:right="219" w:firstLine="648"/>
        <w:spacing w:after="0" w:line="258" w:lineRule="auto"/>
        <w:rPr>
          <w:sz w:val="20"/>
          <w:szCs w:val="20"/>
          <w:color w:val="auto"/>
        </w:rPr>
      </w:pPr>
      <w:r>
        <w:rPr>
          <w:rFonts w:ascii="Arial" w:cs="Arial" w:eastAsia="Arial" w:hAnsi="Arial"/>
          <w:sz w:val="20"/>
          <w:szCs w:val="20"/>
          <w:color w:val="auto"/>
        </w:rPr>
        <w:t>This Note is registered on the books of the Company and is transferable only by surrender thereof at the principal office of the Company duly endorsed or accompanied by a written instrument of transfer duly executed by the registered holder of this Note or its attorney duly authorized in writing. Payment of or on account of principal, premium, if any, and interest on this Note shall be made only to or upon the order in writing of the registered holder.</w:t>
      </w:r>
    </w:p>
    <w:p>
      <w:pPr>
        <w:spacing w:after="0" w:line="127" w:lineRule="exact"/>
        <w:rPr>
          <w:sz w:val="20"/>
          <w:szCs w:val="20"/>
          <w:color w:val="auto"/>
        </w:rPr>
      </w:pPr>
    </w:p>
    <w:p>
      <w:pPr>
        <w:ind w:left="38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follows</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584835</wp:posOffset>
            </wp:positionV>
            <wp:extent cx="545211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32" w:name="page33"/>
    <w:bookmarkEnd w:id="32"/>
    <w:p>
      <w:pPr>
        <w:jc w:val="right"/>
        <w:ind w:right="219"/>
        <w:spacing w:after="0"/>
        <w:rPr>
          <w:sz w:val="20"/>
          <w:szCs w:val="20"/>
          <w:color w:val="auto"/>
        </w:rPr>
      </w:pPr>
      <w:r>
        <w:rPr>
          <w:rFonts w:ascii="Arial" w:cs="Arial" w:eastAsia="Arial" w:hAnsi="Arial"/>
          <w:sz w:val="20"/>
          <w:szCs w:val="20"/>
          <w:b w:val="1"/>
          <w:bCs w:val="1"/>
          <w:color w:val="auto"/>
        </w:rPr>
        <w:t>Exhibit 10(k)</w:t>
      </w:r>
    </w:p>
    <w:p>
      <w:pPr>
        <w:spacing w:after="0" w:line="200" w:lineRule="exact"/>
        <w:rPr>
          <w:sz w:val="20"/>
          <w:szCs w:val="20"/>
          <w:color w:val="auto"/>
        </w:rPr>
      </w:pPr>
    </w:p>
    <w:p>
      <w:pPr>
        <w:spacing w:after="0" w:line="232" w:lineRule="exact"/>
        <w:rPr>
          <w:sz w:val="20"/>
          <w:szCs w:val="20"/>
          <w:color w:val="auto"/>
        </w:rPr>
      </w:pPr>
    </w:p>
    <w:p>
      <w:pPr>
        <w:jc w:val="both"/>
        <w:ind w:left="200" w:right="219" w:firstLine="648"/>
        <w:spacing w:after="0" w:line="262" w:lineRule="auto"/>
        <w:rPr>
          <w:sz w:val="20"/>
          <w:szCs w:val="20"/>
          <w:color w:val="auto"/>
        </w:rPr>
      </w:pPr>
      <w:r>
        <w:rPr>
          <w:rFonts w:ascii="Arial" w:cs="Arial" w:eastAsia="Arial" w:hAnsi="Arial"/>
          <w:sz w:val="20"/>
          <w:szCs w:val="20"/>
          <w:b w:val="1"/>
          <w:bCs w:val="1"/>
          <w:color w:val="auto"/>
        </w:rPr>
        <w:t>This Note and said Note Agreement are governed by and construed in accordance with the law of Illinois (excluding any conflicts of law rules which would otherwise cause this note to be construed or enforced in accordance with the laws of any other jurisdiction), including all matters of construction, validity and performance.</w:t>
      </w:r>
    </w:p>
    <w:p>
      <w:pPr>
        <w:spacing w:after="0" w:line="122"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UFP I</w:t>
      </w:r>
      <w:r>
        <w:rPr>
          <w:rFonts w:ascii="Arial" w:cs="Arial" w:eastAsia="Arial" w:hAnsi="Arial"/>
          <w:sz w:val="13"/>
          <w:szCs w:val="13"/>
          <w:color w:val="auto"/>
        </w:rPr>
        <w:t>NDUSTRIES</w:t>
      </w:r>
      <w:r>
        <w:rPr>
          <w:rFonts w:ascii="Arial" w:cs="Arial" w:eastAsia="Arial" w:hAnsi="Arial"/>
          <w:sz w:val="20"/>
          <w:szCs w:val="20"/>
          <w:color w:val="auto"/>
        </w:rPr>
        <w:t>, I</w:t>
      </w:r>
      <w:r>
        <w:rPr>
          <w:rFonts w:ascii="Arial" w:cs="Arial" w:eastAsia="Arial" w:hAnsi="Arial"/>
          <w:sz w:val="13"/>
          <w:szCs w:val="13"/>
          <w:color w:val="auto"/>
        </w:rPr>
        <w:t>NC</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100"/>
        <w:spacing w:after="0"/>
        <w:rPr>
          <w:sz w:val="20"/>
          <w:szCs w:val="20"/>
          <w:color w:val="auto"/>
        </w:rPr>
      </w:pPr>
      <w:r>
        <w:rPr>
          <w:rFonts w:ascii="Arial" w:cs="Arial" w:eastAsia="Arial" w:hAnsi="Arial"/>
          <w:sz w:val="20"/>
          <w:szCs w:val="20"/>
          <w:color w:val="auto"/>
          <w:highlight w:val="white"/>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-31750</wp:posOffset>
            </wp:positionV>
            <wp:extent cx="278574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5">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jc w:val="center"/>
        <w:ind w:right="-14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768985</wp:posOffset>
            </wp:positionV>
            <wp:extent cx="545211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6">
                      <a:extLst>
                        <a:ext uri="{28A0092B-C50C-407E-A947-70E740481C1C}"/>
                      </a:extLst>
                    </a:blip>
                    <a:srcRect/>
                    <a:stretch>
                      <a:fillRect/>
                    </a:stretch>
                  </pic:blipFill>
                  <pic:spPr bwMode="auto">
                    <a:xfrm>
                      <a:off x="0" y="0"/>
                      <a:ext cx="5452110" cy="17145"/>
                    </a:xfrm>
                    <a:prstGeom prst="rect">
                      <a:avLst/>
                    </a:prstGeom>
                    <a:noFill/>
                  </pic:spPr>
                </pic:pic>
              </a:graphicData>
            </a:graphic>
          </wp:anchor>
        </w:drawing>
        <w:drawing>
          <wp:anchor simplePos="0" relativeHeight="251657728" behindDoc="1" locked="0" layoutInCell="0" allowOverlap="1">
            <wp:simplePos x="0" y="0"/>
            <wp:positionH relativeFrom="column">
              <wp:posOffset>2602865</wp:posOffset>
            </wp:positionH>
            <wp:positionV relativeFrom="paragraph">
              <wp:posOffset>-139065</wp:posOffset>
            </wp:positionV>
            <wp:extent cx="2983230" cy="1454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7">
                      <a:extLst>
                        <a:ext uri="{28A0092B-C50C-407E-A947-70E740481C1C}"/>
                      </a:extLst>
                    </a:blip>
                    <a:srcRect/>
                    <a:stretch>
                      <a:fillRect/>
                    </a:stretch>
                  </pic:blipFill>
                  <pic:spPr bwMode="auto">
                    <a:xfrm>
                      <a:off x="0" y="0"/>
                      <a:ext cx="2983230" cy="145415"/>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33" w:name="page34"/>
    <w:bookmarkEnd w:id="33"/>
    <w:p>
      <w:pPr>
        <w:jc w:val="right"/>
        <w:ind w:right="219"/>
        <w:spacing w:after="0"/>
        <w:rPr>
          <w:sz w:val="20"/>
          <w:szCs w:val="20"/>
          <w:color w:val="auto"/>
        </w:rPr>
      </w:pPr>
      <w:r>
        <w:rPr>
          <w:rFonts w:ascii="Arial" w:cs="Arial" w:eastAsia="Arial" w:hAnsi="Arial"/>
          <w:sz w:val="20"/>
          <w:szCs w:val="20"/>
          <w:b w:val="1"/>
          <w:bCs w:val="1"/>
          <w:color w:val="auto"/>
        </w:rPr>
        <w:t>Exhibit 10(k)</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UFP INDUSTRIES, INC.</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3.04% SENIOR SERIES E NOTE DUE AUGUST 10, 2032</w:t>
      </w:r>
    </w:p>
    <w:p>
      <w:pPr>
        <w:spacing w:after="0" w:line="200" w:lineRule="exact"/>
        <w:rPr>
          <w:sz w:val="20"/>
          <w:szCs w:val="20"/>
          <w:color w:val="auto"/>
        </w:rPr>
      </w:pPr>
    </w:p>
    <w:p>
      <w:pPr>
        <w:spacing w:after="0" w:line="251" w:lineRule="exact"/>
        <w:rPr>
          <w:sz w:val="20"/>
          <w:szCs w:val="20"/>
          <w:color w:val="auto"/>
        </w:rPr>
      </w:pPr>
    </w:p>
    <w:p>
      <w:pPr>
        <w:ind w:left="200"/>
        <w:spacing w:after="0"/>
        <w:rPr>
          <w:sz w:val="20"/>
          <w:szCs w:val="20"/>
          <w:color w:val="auto"/>
        </w:rPr>
      </w:pPr>
      <w:r>
        <w:rPr>
          <w:rFonts w:ascii="Arial" w:cs="Arial" w:eastAsia="Arial" w:hAnsi="Arial"/>
          <w:sz w:val="20"/>
          <w:szCs w:val="20"/>
          <w:color w:val="auto"/>
        </w:rPr>
        <w:t>No. E-5</w:t>
      </w:r>
    </w:p>
    <w:p>
      <w:pPr>
        <w:spacing w:after="0" w:line="20" w:lineRule="exact"/>
        <w:rPr>
          <w:sz w:val="20"/>
          <w:szCs w:val="20"/>
          <w:color w:val="auto"/>
        </w:rPr>
      </w:pPr>
    </w:p>
    <w:p>
      <w:pPr>
        <w:ind w:left="200"/>
        <w:spacing w:after="0"/>
        <w:rPr>
          <w:sz w:val="20"/>
          <w:szCs w:val="20"/>
          <w:color w:val="auto"/>
        </w:rPr>
      </w:pPr>
      <w:r>
        <w:rPr>
          <w:rFonts w:ascii="Arial" w:cs="Arial" w:eastAsia="Arial" w:hAnsi="Arial"/>
          <w:sz w:val="20"/>
          <w:szCs w:val="20"/>
          <w:color w:val="auto"/>
        </w:rPr>
        <w:t>ORIGINAL PRINCIPAL AMOUNT: $26,100,000</w:t>
      </w:r>
    </w:p>
    <w:p>
      <w:pPr>
        <w:spacing w:after="0" w:line="13" w:lineRule="exact"/>
        <w:rPr>
          <w:sz w:val="20"/>
          <w:szCs w:val="20"/>
          <w:color w:val="auto"/>
        </w:rPr>
      </w:pPr>
    </w:p>
    <w:p>
      <w:pPr>
        <w:ind w:left="200"/>
        <w:spacing w:after="0"/>
        <w:rPr>
          <w:sz w:val="20"/>
          <w:szCs w:val="20"/>
          <w:color w:val="auto"/>
        </w:rPr>
      </w:pPr>
      <w:r>
        <w:rPr>
          <w:rFonts w:ascii="Arial" w:cs="Arial" w:eastAsia="Arial" w:hAnsi="Arial"/>
          <w:sz w:val="20"/>
          <w:szCs w:val="20"/>
          <w:color w:val="auto"/>
        </w:rPr>
        <w:t>ORIGINAL ISSUE DATE: August 10, 2020</w:t>
      </w:r>
    </w:p>
    <w:p>
      <w:pPr>
        <w:spacing w:after="0" w:line="13" w:lineRule="exact"/>
        <w:rPr>
          <w:sz w:val="20"/>
          <w:szCs w:val="20"/>
          <w:color w:val="auto"/>
        </w:rPr>
      </w:pPr>
    </w:p>
    <w:p>
      <w:pPr>
        <w:ind w:left="200"/>
        <w:spacing w:after="0"/>
        <w:rPr>
          <w:sz w:val="20"/>
          <w:szCs w:val="20"/>
          <w:color w:val="auto"/>
        </w:rPr>
      </w:pPr>
      <w:r>
        <w:rPr>
          <w:rFonts w:ascii="Arial" w:cs="Arial" w:eastAsia="Arial" w:hAnsi="Arial"/>
          <w:sz w:val="20"/>
          <w:szCs w:val="20"/>
          <w:color w:val="auto"/>
        </w:rPr>
        <w:t>INTEREST RATE: 3.04%</w:t>
      </w:r>
    </w:p>
    <w:p>
      <w:pPr>
        <w:spacing w:after="0" w:line="13" w:lineRule="exact"/>
        <w:rPr>
          <w:sz w:val="20"/>
          <w:szCs w:val="20"/>
          <w:color w:val="auto"/>
        </w:rPr>
      </w:pPr>
    </w:p>
    <w:p>
      <w:pPr>
        <w:ind w:left="200" w:right="579"/>
        <w:spacing w:after="0" w:line="253" w:lineRule="auto"/>
        <w:rPr>
          <w:sz w:val="20"/>
          <w:szCs w:val="20"/>
          <w:color w:val="auto"/>
        </w:rPr>
      </w:pPr>
      <w:r>
        <w:rPr>
          <w:rFonts w:ascii="Arial" w:cs="Arial" w:eastAsia="Arial" w:hAnsi="Arial"/>
          <w:sz w:val="20"/>
          <w:szCs w:val="20"/>
          <w:color w:val="auto"/>
        </w:rPr>
        <w:t>INTEREST PAYMENT DATES: Semi-annually, in arrears, on February 10 and August 10 of each year, commencing on February 10, 2021</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20"/>
          <w:szCs w:val="20"/>
          <w:color w:val="auto"/>
        </w:rPr>
        <w:t>FINAL MATURITY DATE: August 10, 2032</w:t>
      </w:r>
    </w:p>
    <w:p>
      <w:pPr>
        <w:spacing w:after="0" w:line="13" w:lineRule="exact"/>
        <w:rPr>
          <w:sz w:val="20"/>
          <w:szCs w:val="20"/>
          <w:color w:val="auto"/>
        </w:rPr>
      </w:pPr>
    </w:p>
    <w:p>
      <w:pPr>
        <w:ind w:left="200" w:right="1979"/>
        <w:spacing w:after="0" w:line="267" w:lineRule="auto"/>
        <w:rPr>
          <w:sz w:val="20"/>
          <w:szCs w:val="20"/>
          <w:color w:val="auto"/>
        </w:rPr>
      </w:pPr>
      <w:r>
        <w:rPr>
          <w:rFonts w:ascii="Arial" w:cs="Arial" w:eastAsia="Arial" w:hAnsi="Arial"/>
          <w:sz w:val="20"/>
          <w:szCs w:val="20"/>
          <w:color w:val="auto"/>
        </w:rPr>
        <w:t>PRINCIPAL PREPAYMENT DATES AND AMOUNTS: None, bullet due at maturity PPN 913543 D@0</w:t>
      </w:r>
    </w:p>
    <w:p>
      <w:pPr>
        <w:spacing w:after="0" w:line="115" w:lineRule="exact"/>
        <w:rPr>
          <w:sz w:val="20"/>
          <w:szCs w:val="20"/>
          <w:color w:val="auto"/>
        </w:rPr>
      </w:pPr>
    </w:p>
    <w:p>
      <w:pPr>
        <w:jc w:val="both"/>
        <w:ind w:left="200" w:right="219" w:firstLine="648"/>
        <w:spacing w:after="0" w:line="270" w:lineRule="auto"/>
        <w:rPr>
          <w:sz w:val="20"/>
          <w:szCs w:val="20"/>
          <w:color w:val="auto"/>
        </w:rPr>
      </w:pPr>
      <w:r>
        <w:rPr>
          <w:rFonts w:ascii="Arial" w:cs="Arial" w:eastAsia="Arial" w:hAnsi="Arial"/>
          <w:sz w:val="19"/>
          <w:szCs w:val="19"/>
          <w:color w:val="auto"/>
        </w:rPr>
        <w:t xml:space="preserve">FOR VALUE RECEIVED, the undersigned, UFP Industries, Inc. (f/k/a Universal Forest Products, Inc.), a Michigan corporation (herein called the “Company”), hereby promises to pay to </w:t>
      </w:r>
      <w:r>
        <w:rPr>
          <w:rFonts w:ascii="Arial" w:cs="Arial" w:eastAsia="Arial" w:hAnsi="Arial"/>
          <w:sz w:val="19"/>
          <w:szCs w:val="19"/>
          <w:b w:val="1"/>
          <w:bCs w:val="1"/>
          <w:color w:val="auto"/>
        </w:rPr>
        <w:t>T</w:t>
      </w:r>
      <w:r>
        <w:rPr>
          <w:rFonts w:ascii="Arial" w:cs="Arial" w:eastAsia="Arial" w:hAnsi="Arial"/>
          <w:sz w:val="12"/>
          <w:szCs w:val="12"/>
          <w:b w:val="1"/>
          <w:bCs w:val="1"/>
          <w:color w:val="auto"/>
        </w:rPr>
        <w:t>HE</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P</w:t>
      </w:r>
      <w:r>
        <w:rPr>
          <w:rFonts w:ascii="Arial" w:cs="Arial" w:eastAsia="Arial" w:hAnsi="Arial"/>
          <w:sz w:val="13"/>
          <w:szCs w:val="13"/>
          <w:b w:val="1"/>
          <w:bCs w:val="1"/>
          <w:color w:val="auto"/>
        </w:rPr>
        <w:t>RUDENTIAL</w:t>
      </w:r>
      <w:r>
        <w:rPr>
          <w:rFonts w:ascii="Arial" w:cs="Arial" w:eastAsia="Arial" w:hAnsi="Arial"/>
          <w:sz w:val="20"/>
          <w:szCs w:val="20"/>
          <w:b w:val="1"/>
          <w:bCs w:val="1"/>
          <w:color w:val="auto"/>
        </w:rPr>
        <w:t xml:space="preserve">  I</w:t>
      </w:r>
      <w:r>
        <w:rPr>
          <w:rFonts w:ascii="Arial" w:cs="Arial" w:eastAsia="Arial" w:hAnsi="Arial"/>
          <w:sz w:val="13"/>
          <w:szCs w:val="13"/>
          <w:b w:val="1"/>
          <w:bCs w:val="1"/>
          <w:color w:val="auto"/>
        </w:rPr>
        <w:t>NSURANCE</w:t>
      </w:r>
      <w:r>
        <w:rPr>
          <w:rFonts w:ascii="Arial" w:cs="Arial" w:eastAsia="Arial" w:hAnsi="Arial"/>
          <w:sz w:val="20"/>
          <w:szCs w:val="20"/>
          <w:b w:val="1"/>
          <w:bCs w:val="1"/>
          <w:color w:val="auto"/>
        </w:rPr>
        <w:t xml:space="preserve">  C</w:t>
      </w:r>
      <w:r>
        <w:rPr>
          <w:rFonts w:ascii="Arial" w:cs="Arial" w:eastAsia="Arial" w:hAnsi="Arial"/>
          <w:sz w:val="13"/>
          <w:szCs w:val="13"/>
          <w:b w:val="1"/>
          <w:bCs w:val="1"/>
          <w:color w:val="auto"/>
        </w:rPr>
        <w:t>OMPANY  OF</w:t>
      </w:r>
      <w:r>
        <w:rPr>
          <w:rFonts w:ascii="Arial" w:cs="Arial" w:eastAsia="Arial" w:hAnsi="Arial"/>
          <w:sz w:val="20"/>
          <w:szCs w:val="20"/>
          <w:b w:val="1"/>
          <w:bCs w:val="1"/>
          <w:color w:val="auto"/>
        </w:rPr>
        <w:t xml:space="preserve">  A</w:t>
      </w:r>
      <w:r>
        <w:rPr>
          <w:rFonts w:ascii="Arial" w:cs="Arial" w:eastAsia="Arial" w:hAnsi="Arial"/>
          <w:sz w:val="13"/>
          <w:szCs w:val="13"/>
          <w:b w:val="1"/>
          <w:bCs w:val="1"/>
          <w:color w:val="auto"/>
        </w:rPr>
        <w:t>MERICA</w:t>
      </w:r>
      <w:r>
        <w:rPr>
          <w:rFonts w:ascii="Arial" w:cs="Arial" w:eastAsia="Arial" w:hAnsi="Arial"/>
          <w:sz w:val="20"/>
          <w:szCs w:val="20"/>
          <w:color w:val="auto"/>
        </w:rPr>
        <w:t>, or registered assigns, the principal sum of</w:t>
      </w:r>
      <w:r>
        <w:rPr>
          <w:rFonts w:ascii="Arial" w:cs="Arial" w:eastAsia="Arial" w:hAnsi="Arial"/>
          <w:sz w:val="20"/>
          <w:szCs w:val="20"/>
          <w:b w:val="1"/>
          <w:bCs w:val="1"/>
          <w:color w:val="auto"/>
        </w:rPr>
        <w:t xml:space="preserve"> T</w:t>
      </w:r>
      <w:r>
        <w:rPr>
          <w:rFonts w:ascii="Arial" w:cs="Arial" w:eastAsia="Arial" w:hAnsi="Arial"/>
          <w:sz w:val="13"/>
          <w:szCs w:val="13"/>
          <w:b w:val="1"/>
          <w:bCs w:val="1"/>
          <w:color w:val="auto"/>
        </w:rPr>
        <w:t>WENTY</w:t>
      </w:r>
      <w:r>
        <w:rPr>
          <w:rFonts w:ascii="Arial" w:cs="Arial" w:eastAsia="Arial" w:hAnsi="Arial"/>
          <w:sz w:val="20"/>
          <w:szCs w:val="20"/>
          <w:b w:val="1"/>
          <w:bCs w:val="1"/>
          <w:color w:val="auto"/>
        </w:rPr>
        <w:t>-S</w:t>
      </w:r>
      <w:r>
        <w:rPr>
          <w:rFonts w:ascii="Arial" w:cs="Arial" w:eastAsia="Arial" w:hAnsi="Arial"/>
          <w:sz w:val="13"/>
          <w:szCs w:val="13"/>
          <w:b w:val="1"/>
          <w:bCs w:val="1"/>
          <w:color w:val="auto"/>
        </w:rPr>
        <w:t>IX</w:t>
      </w:r>
    </w:p>
    <w:p>
      <w:pPr>
        <w:spacing w:after="0" w:line="13" w:lineRule="exact"/>
        <w:rPr>
          <w:sz w:val="20"/>
          <w:szCs w:val="20"/>
          <w:color w:val="auto"/>
        </w:rPr>
      </w:pPr>
    </w:p>
    <w:p>
      <w:pPr>
        <w:jc w:val="both"/>
        <w:ind w:left="200" w:right="219"/>
        <w:spacing w:after="0" w:line="269" w:lineRule="auto"/>
        <w:rPr>
          <w:sz w:val="20"/>
          <w:szCs w:val="20"/>
          <w:color w:val="auto"/>
        </w:rPr>
      </w:pPr>
      <w:r>
        <w:rPr>
          <w:rFonts w:ascii="Arial" w:cs="Arial" w:eastAsia="Arial" w:hAnsi="Arial"/>
          <w:sz w:val="19"/>
          <w:szCs w:val="19"/>
          <w:b w:val="1"/>
          <w:bCs w:val="1"/>
          <w:color w:val="auto"/>
        </w:rPr>
        <w:t>M</w:t>
      </w:r>
      <w:r>
        <w:rPr>
          <w:rFonts w:ascii="Arial" w:cs="Arial" w:eastAsia="Arial" w:hAnsi="Arial"/>
          <w:sz w:val="12"/>
          <w:szCs w:val="12"/>
          <w:b w:val="1"/>
          <w:bCs w:val="1"/>
          <w:color w:val="auto"/>
        </w:rPr>
        <w:t>ILLION</w:t>
      </w:r>
      <w:r>
        <w:rPr>
          <w:rFonts w:ascii="Arial" w:cs="Arial" w:eastAsia="Arial" w:hAnsi="Arial"/>
          <w:sz w:val="19"/>
          <w:szCs w:val="19"/>
          <w:b w:val="1"/>
          <w:bCs w:val="1"/>
          <w:color w:val="auto"/>
        </w:rPr>
        <w:t xml:space="preserve"> O</w:t>
      </w:r>
      <w:r>
        <w:rPr>
          <w:rFonts w:ascii="Arial" w:cs="Arial" w:eastAsia="Arial" w:hAnsi="Arial"/>
          <w:sz w:val="12"/>
          <w:szCs w:val="12"/>
          <w:b w:val="1"/>
          <w:bCs w:val="1"/>
          <w:color w:val="auto"/>
        </w:rPr>
        <w:t>NE</w:t>
      </w:r>
      <w:r>
        <w:rPr>
          <w:rFonts w:ascii="Arial" w:cs="Arial" w:eastAsia="Arial" w:hAnsi="Arial"/>
          <w:sz w:val="19"/>
          <w:szCs w:val="19"/>
          <w:b w:val="1"/>
          <w:bCs w:val="1"/>
          <w:color w:val="auto"/>
        </w:rPr>
        <w:t xml:space="preserve"> H</w:t>
      </w:r>
      <w:r>
        <w:rPr>
          <w:rFonts w:ascii="Arial" w:cs="Arial" w:eastAsia="Arial" w:hAnsi="Arial"/>
          <w:sz w:val="12"/>
          <w:szCs w:val="12"/>
          <w:b w:val="1"/>
          <w:bCs w:val="1"/>
          <w:color w:val="auto"/>
        </w:rPr>
        <w:t>UNDRED</w:t>
      </w:r>
      <w:r>
        <w:rPr>
          <w:rFonts w:ascii="Arial" w:cs="Arial" w:eastAsia="Arial" w:hAnsi="Arial"/>
          <w:sz w:val="19"/>
          <w:szCs w:val="19"/>
          <w:b w:val="1"/>
          <w:bCs w:val="1"/>
          <w:color w:val="auto"/>
        </w:rPr>
        <w:t xml:space="preserve"> T</w:t>
      </w:r>
      <w:r>
        <w:rPr>
          <w:rFonts w:ascii="Arial" w:cs="Arial" w:eastAsia="Arial" w:hAnsi="Arial"/>
          <w:sz w:val="12"/>
          <w:szCs w:val="12"/>
          <w:b w:val="1"/>
          <w:bCs w:val="1"/>
          <w:color w:val="auto"/>
        </w:rPr>
        <w:t>HOUSAND</w:t>
      </w:r>
      <w:r>
        <w:rPr>
          <w:rFonts w:ascii="Arial" w:cs="Arial" w:eastAsia="Arial" w:hAnsi="Arial"/>
          <w:sz w:val="19"/>
          <w:szCs w:val="19"/>
          <w:b w:val="1"/>
          <w:bCs w:val="1"/>
          <w:color w:val="auto"/>
        </w:rPr>
        <w:t xml:space="preserve"> D</w:t>
      </w:r>
      <w:r>
        <w:rPr>
          <w:rFonts w:ascii="Arial" w:cs="Arial" w:eastAsia="Arial" w:hAnsi="Arial"/>
          <w:sz w:val="12"/>
          <w:szCs w:val="12"/>
          <w:b w:val="1"/>
          <w:bCs w:val="1"/>
          <w:color w:val="auto"/>
        </w:rPr>
        <w:t>OLLARS</w:t>
      </w:r>
      <w:r>
        <w:rPr>
          <w:rFonts w:ascii="Arial" w:cs="Arial" w:eastAsia="Arial" w:hAnsi="Arial"/>
          <w:sz w:val="19"/>
          <w:szCs w:val="19"/>
          <w:b w:val="1"/>
          <w:bCs w:val="1"/>
          <w:color w:val="auto"/>
        </w:rPr>
        <w:t xml:space="preserve"> </w:t>
      </w:r>
      <w:r>
        <w:rPr>
          <w:rFonts w:ascii="Arial" w:cs="Arial" w:eastAsia="Arial" w:hAnsi="Arial"/>
          <w:sz w:val="19"/>
          <w:szCs w:val="19"/>
          <w:color w:val="auto"/>
        </w:rPr>
        <w:t>on the Final Maturity Date specified above, with interest</w:t>
      </w:r>
      <w:r>
        <w:rPr>
          <w:rFonts w:ascii="Arial" w:cs="Arial" w:eastAsia="Arial" w:hAnsi="Arial"/>
          <w:sz w:val="19"/>
          <w:szCs w:val="19"/>
          <w:b w:val="1"/>
          <w:bCs w:val="1"/>
          <w:color w:val="auto"/>
        </w:rPr>
        <w:t xml:space="preserve"> </w:t>
      </w:r>
      <w:r>
        <w:rPr>
          <w:rFonts w:ascii="Arial" w:cs="Arial" w:eastAsia="Arial" w:hAnsi="Arial"/>
          <w:sz w:val="19"/>
          <w:szCs w:val="19"/>
          <w:color w:val="auto"/>
        </w:rPr>
        <w:t>(computed on the basis of a 360-day year—30-day month) on the unpaid balance thereof at the Interest Rate per annum specified above from the date hereof, payable on each Interest Payment Date specified above and on the Final Maturity Date specified above, commencing with the Interest Payment Date next succeeding the date hereof. The Company agrees to pay interest on overdue principal (including any overdue optional prepayment of principal) and premium, if any, and (to the extent legally enforceable) on any overdue installment of interest, at the Overdue Rate after the due date, whether by acceleration or otherwise, until paid. “Overdue Rate” shall mean the lesser of (a) the maximum interest rate permitted by law, and (b) the greater of (ii) the Interest Rate specified above plus 2.00% per annum or (b) the rate of interest publicly announced by JPMorgan Chase Bank, National Association, from time to time in New York City as its Prime Rate plus 2.00% per annum.</w:t>
      </w:r>
    </w:p>
    <w:p>
      <w:pPr>
        <w:spacing w:after="0" w:line="107" w:lineRule="exact"/>
        <w:rPr>
          <w:sz w:val="20"/>
          <w:szCs w:val="20"/>
          <w:color w:val="auto"/>
        </w:rPr>
      </w:pPr>
    </w:p>
    <w:p>
      <w:pPr>
        <w:jc w:val="both"/>
        <w:ind w:left="200" w:right="219" w:firstLine="648"/>
        <w:spacing w:after="0" w:line="286" w:lineRule="auto"/>
        <w:rPr>
          <w:sz w:val="20"/>
          <w:szCs w:val="20"/>
          <w:color w:val="auto"/>
        </w:rPr>
      </w:pPr>
      <w:r>
        <w:rPr>
          <w:rFonts w:ascii="Arial" w:cs="Arial" w:eastAsia="Arial" w:hAnsi="Arial"/>
          <w:sz w:val="18"/>
          <w:szCs w:val="18"/>
          <w:color w:val="auto"/>
        </w:rPr>
        <w:t xml:space="preserve">Both the principal hereof and interest hereon are payable at the principal office of the Company in Grand Rapids, Michigan in coin or currency of the United States of America which at the time of payment shall be legal tender for the payment of public and private debts. If any amount of principal, premium, if any, or interest on or in respect of this Note becomes due and payable on any date which is not a Business Day, such amount shall be payable on the immediately succeeding Business Day without including the additional days elapsed in the computation of the interest payable on such next succeeding Business Day;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if the maturity date of this Note is a date other than a Business Day, the payment otherwise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due on such maturity date shall be made on the next succeeding Business Day and shall include the additional days elapsed in the computation of interest payable on such next succeeding Business Day. </w:t>
      </w:r>
      <w:r>
        <w:rPr>
          <w:rFonts w:ascii="Arial" w:cs="Arial" w:eastAsia="Arial" w:hAnsi="Arial"/>
          <w:sz w:val="18"/>
          <w:szCs w:val="18"/>
          <w:i w:val="1"/>
          <w:iCs w:val="1"/>
          <w:color w:val="auto"/>
        </w:rPr>
        <w:t xml:space="preserve">“Business Day” </w:t>
      </w:r>
      <w:r>
        <w:rPr>
          <w:rFonts w:ascii="Arial" w:cs="Arial" w:eastAsia="Arial" w:hAnsi="Arial"/>
          <w:sz w:val="18"/>
          <w:szCs w:val="18"/>
          <w:color w:val="auto"/>
        </w:rPr>
        <w:t>means any day other than a Saturday, Sunday or other day on which banks in either Grand</w:t>
      </w:r>
      <w:r>
        <w:rPr>
          <w:rFonts w:ascii="Arial" w:cs="Arial" w:eastAsia="Arial" w:hAnsi="Arial"/>
          <w:sz w:val="18"/>
          <w:szCs w:val="18"/>
          <w:i w:val="1"/>
          <w:iCs w:val="1"/>
          <w:color w:val="auto"/>
        </w:rPr>
        <w:t xml:space="preserve"> </w:t>
      </w:r>
      <w:r>
        <w:rPr>
          <w:rFonts w:ascii="Arial" w:cs="Arial" w:eastAsia="Arial" w:hAnsi="Arial"/>
          <w:sz w:val="18"/>
          <w:szCs w:val="18"/>
          <w:color w:val="auto"/>
        </w:rPr>
        <w:t>Rapids, Michigan or New York, New York are required by law to close or are customarily closed.</w:t>
      </w:r>
    </w:p>
    <w:p>
      <w:pPr>
        <w:spacing w:after="0" w:line="108" w:lineRule="exact"/>
        <w:rPr>
          <w:sz w:val="20"/>
          <w:szCs w:val="20"/>
          <w:color w:val="auto"/>
        </w:rPr>
      </w:pPr>
    </w:p>
    <w:p>
      <w:pPr>
        <w:jc w:val="both"/>
        <w:ind w:left="200" w:right="219" w:firstLine="648"/>
        <w:spacing w:after="0" w:line="291" w:lineRule="auto"/>
        <w:rPr>
          <w:sz w:val="20"/>
          <w:szCs w:val="20"/>
          <w:color w:val="auto"/>
        </w:rPr>
      </w:pPr>
      <w:r>
        <w:rPr>
          <w:rFonts w:ascii="Arial" w:cs="Arial" w:eastAsia="Arial" w:hAnsi="Arial"/>
          <w:sz w:val="18"/>
          <w:szCs w:val="18"/>
          <w:color w:val="auto"/>
        </w:rPr>
        <w:t>This Note is one of the 3.04% Series E Senior Notes, due August 10, 2032 of the Company in the original aggregate principal amount of $50,000,000, which, together with the 3.89% Series A Senior Notes, due December 17, 2022, of the Company in the original aggregate principal amount of $35,000,000, the 3.98% Series B Senior Notes, due December 17, 2024, of the Company in the original aggregate principal amount of $40,000,000, and any other Shelf Notes (as defined in the Note Agreement hereafter mentioned), are issued or to be issued under and pursuant to the terms and provisions of the Note Purchase and Private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460375</wp:posOffset>
            </wp:positionV>
            <wp:extent cx="545211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34" w:name="page35"/>
    <w:bookmarkEnd w:id="34"/>
    <w:p>
      <w:pPr>
        <w:jc w:val="right"/>
        <w:ind w:right="219"/>
        <w:spacing w:after="0"/>
        <w:rPr>
          <w:sz w:val="20"/>
          <w:szCs w:val="20"/>
          <w:color w:val="auto"/>
        </w:rPr>
      </w:pPr>
      <w:r>
        <w:rPr>
          <w:rFonts w:ascii="Arial" w:cs="Arial" w:eastAsia="Arial" w:hAnsi="Arial"/>
          <w:sz w:val="20"/>
          <w:szCs w:val="20"/>
          <w:b w:val="1"/>
          <w:bCs w:val="1"/>
          <w:color w:val="auto"/>
        </w:rPr>
        <w:t>Exhibit 10(k)</w:t>
      </w:r>
    </w:p>
    <w:p>
      <w:pPr>
        <w:spacing w:after="0" w:line="200" w:lineRule="exact"/>
        <w:rPr>
          <w:sz w:val="20"/>
          <w:szCs w:val="20"/>
          <w:color w:val="auto"/>
        </w:rPr>
      </w:pPr>
    </w:p>
    <w:p>
      <w:pPr>
        <w:spacing w:after="0" w:line="238" w:lineRule="exact"/>
        <w:rPr>
          <w:sz w:val="20"/>
          <w:szCs w:val="20"/>
          <w:color w:val="auto"/>
        </w:rPr>
      </w:pPr>
    </w:p>
    <w:p>
      <w:pPr>
        <w:jc w:val="both"/>
        <w:ind w:left="200" w:right="219"/>
        <w:spacing w:after="0" w:line="273" w:lineRule="auto"/>
        <w:rPr>
          <w:sz w:val="20"/>
          <w:szCs w:val="20"/>
          <w:color w:val="auto"/>
        </w:rPr>
      </w:pPr>
      <w:r>
        <w:rPr>
          <w:rFonts w:ascii="Arial" w:cs="Arial" w:eastAsia="Arial" w:hAnsi="Arial"/>
          <w:sz w:val="19"/>
          <w:szCs w:val="19"/>
          <w:color w:val="auto"/>
        </w:rPr>
        <w:t xml:space="preserve">Shelf Agreement, dated as of December 17, 2012 (the </w:t>
      </w:r>
      <w:r>
        <w:rPr>
          <w:rFonts w:ascii="Arial" w:cs="Arial" w:eastAsia="Arial" w:hAnsi="Arial"/>
          <w:sz w:val="19"/>
          <w:szCs w:val="19"/>
          <w:i w:val="1"/>
          <w:iCs w:val="1"/>
          <w:color w:val="auto"/>
        </w:rPr>
        <w:t>“Note Agreement”</w:t>
      </w:r>
      <w:r>
        <w:rPr>
          <w:rFonts w:ascii="Arial" w:cs="Arial" w:eastAsia="Arial" w:hAnsi="Arial"/>
          <w:sz w:val="19"/>
          <w:szCs w:val="19"/>
          <w:color w:val="auto"/>
        </w:rPr>
        <w:t>), between the Company, on the one hand, and PGIM, Inc. , the Initial Purchasers named in the Purchaser Schedule attached thereto and each Prudential Affiliate which becomes party thereto, on the other hand, and the holder hereof is entitled equally and ratably with the holders of all other Notes outstanding under the Note Agreement to all the benefits provided for thereby or referred to therein. Reference is hereby made to the Note Agreement for a statement of such rights and benefits.</w:t>
      </w:r>
    </w:p>
    <w:p>
      <w:pPr>
        <w:spacing w:after="0" w:line="115" w:lineRule="exact"/>
        <w:rPr>
          <w:sz w:val="20"/>
          <w:szCs w:val="20"/>
          <w:color w:val="auto"/>
        </w:rPr>
      </w:pPr>
    </w:p>
    <w:p>
      <w:pPr>
        <w:jc w:val="both"/>
        <w:ind w:left="200" w:right="239" w:firstLine="648"/>
        <w:spacing w:after="0" w:line="284" w:lineRule="auto"/>
        <w:rPr>
          <w:sz w:val="20"/>
          <w:szCs w:val="20"/>
          <w:color w:val="auto"/>
        </w:rPr>
      </w:pPr>
      <w:r>
        <w:rPr>
          <w:rFonts w:ascii="Arial" w:cs="Arial" w:eastAsia="Arial" w:hAnsi="Arial"/>
          <w:sz w:val="19"/>
          <w:szCs w:val="19"/>
          <w:color w:val="auto"/>
        </w:rPr>
        <w:t>This Note and the other Notes outstanding under the Note Agreement may be declared due prior to their expressed maturity dates and certain prepayments are required to be made thereon, all in the events, on the terms and in the manner and amounts as provided in the Note Agreements.</w:t>
      </w:r>
    </w:p>
    <w:p>
      <w:pPr>
        <w:spacing w:after="0" w:line="88" w:lineRule="exact"/>
        <w:rPr>
          <w:sz w:val="20"/>
          <w:szCs w:val="20"/>
          <w:color w:val="auto"/>
        </w:rPr>
      </w:pPr>
    </w:p>
    <w:p>
      <w:pPr>
        <w:jc w:val="both"/>
        <w:ind w:left="200" w:right="219" w:firstLine="648"/>
        <w:spacing w:after="0" w:line="264" w:lineRule="auto"/>
        <w:rPr>
          <w:sz w:val="20"/>
          <w:szCs w:val="20"/>
          <w:color w:val="auto"/>
        </w:rPr>
      </w:pPr>
      <w:r>
        <w:rPr>
          <w:rFonts w:ascii="Arial" w:cs="Arial" w:eastAsia="Arial" w:hAnsi="Arial"/>
          <w:sz w:val="20"/>
          <w:szCs w:val="20"/>
          <w:color w:val="auto"/>
        </w:rPr>
        <w:t>The Notes are not subject to prepayment or redemption at the option of the Company prior to their expressed maturity dates except on the terms and conditions and in the amounts and with the premium, if any, set forth in the Note Agreement.</w:t>
      </w:r>
    </w:p>
    <w:p>
      <w:pPr>
        <w:spacing w:after="0" w:line="119" w:lineRule="exact"/>
        <w:rPr>
          <w:sz w:val="20"/>
          <w:szCs w:val="20"/>
          <w:color w:val="auto"/>
        </w:rPr>
      </w:pPr>
    </w:p>
    <w:p>
      <w:pPr>
        <w:jc w:val="both"/>
        <w:ind w:left="200" w:right="219" w:firstLine="648"/>
        <w:spacing w:after="0" w:line="258" w:lineRule="auto"/>
        <w:rPr>
          <w:sz w:val="20"/>
          <w:szCs w:val="20"/>
          <w:color w:val="auto"/>
        </w:rPr>
      </w:pPr>
      <w:r>
        <w:rPr>
          <w:rFonts w:ascii="Arial" w:cs="Arial" w:eastAsia="Arial" w:hAnsi="Arial"/>
          <w:sz w:val="20"/>
          <w:szCs w:val="20"/>
          <w:color w:val="auto"/>
        </w:rPr>
        <w:t>This Note is registered on the books of the Company and is transferable only by surrender thereof at the principal office of the Company duly endorsed or accompanied by a written instrument of transfer duly executed by the registered holder of this Note or its attorney duly authorized in writing. Payment of or on account of principal, premium, if any, and interest on this Note shall be made only to or upon the order in writing of the registered holder.</w:t>
      </w:r>
    </w:p>
    <w:p>
      <w:pPr>
        <w:spacing w:after="0" w:line="127" w:lineRule="exact"/>
        <w:rPr>
          <w:sz w:val="20"/>
          <w:szCs w:val="20"/>
          <w:color w:val="auto"/>
        </w:rPr>
      </w:pPr>
    </w:p>
    <w:p>
      <w:pPr>
        <w:ind w:left="38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follows</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1082040</wp:posOffset>
            </wp:positionV>
            <wp:extent cx="545211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9">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35" w:name="page36"/>
    <w:bookmarkEnd w:id="35"/>
    <w:p>
      <w:pPr>
        <w:jc w:val="right"/>
        <w:ind w:right="219"/>
        <w:spacing w:after="0"/>
        <w:rPr>
          <w:sz w:val="20"/>
          <w:szCs w:val="20"/>
          <w:color w:val="auto"/>
        </w:rPr>
      </w:pPr>
      <w:r>
        <w:rPr>
          <w:rFonts w:ascii="Arial" w:cs="Arial" w:eastAsia="Arial" w:hAnsi="Arial"/>
          <w:sz w:val="20"/>
          <w:szCs w:val="20"/>
          <w:b w:val="1"/>
          <w:bCs w:val="1"/>
          <w:color w:val="auto"/>
        </w:rPr>
        <w:t>Exhibit 10(k)</w:t>
      </w:r>
    </w:p>
    <w:p>
      <w:pPr>
        <w:spacing w:after="0" w:line="200" w:lineRule="exact"/>
        <w:rPr>
          <w:sz w:val="20"/>
          <w:szCs w:val="20"/>
          <w:color w:val="auto"/>
        </w:rPr>
      </w:pPr>
    </w:p>
    <w:p>
      <w:pPr>
        <w:spacing w:after="0" w:line="232" w:lineRule="exact"/>
        <w:rPr>
          <w:sz w:val="20"/>
          <w:szCs w:val="20"/>
          <w:color w:val="auto"/>
        </w:rPr>
      </w:pPr>
    </w:p>
    <w:p>
      <w:pPr>
        <w:jc w:val="both"/>
        <w:ind w:left="200" w:right="219" w:firstLine="648"/>
        <w:spacing w:after="0" w:line="262" w:lineRule="auto"/>
        <w:rPr>
          <w:sz w:val="20"/>
          <w:szCs w:val="20"/>
          <w:color w:val="auto"/>
        </w:rPr>
      </w:pPr>
      <w:r>
        <w:rPr>
          <w:rFonts w:ascii="Arial" w:cs="Arial" w:eastAsia="Arial" w:hAnsi="Arial"/>
          <w:sz w:val="20"/>
          <w:szCs w:val="20"/>
          <w:b w:val="1"/>
          <w:bCs w:val="1"/>
          <w:color w:val="auto"/>
        </w:rPr>
        <w:t>This Note and said Note Agreement are governed by and construed in accordance with the law of Illinois (excluding any conflicts of law rules which would otherwise cause this note to be construed or enforced in accordance with the laws of any other jurisdiction), including all matters of construction, validity and performance.</w:t>
      </w:r>
    </w:p>
    <w:p>
      <w:pPr>
        <w:spacing w:after="0" w:line="122"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UFP I</w:t>
      </w:r>
      <w:r>
        <w:rPr>
          <w:rFonts w:ascii="Arial" w:cs="Arial" w:eastAsia="Arial" w:hAnsi="Arial"/>
          <w:sz w:val="13"/>
          <w:szCs w:val="13"/>
          <w:color w:val="auto"/>
        </w:rPr>
        <w:t>NDUSTRIES</w:t>
      </w:r>
      <w:r>
        <w:rPr>
          <w:rFonts w:ascii="Arial" w:cs="Arial" w:eastAsia="Arial" w:hAnsi="Arial"/>
          <w:sz w:val="20"/>
          <w:szCs w:val="20"/>
          <w:color w:val="auto"/>
        </w:rPr>
        <w:t>, I</w:t>
      </w:r>
      <w:r>
        <w:rPr>
          <w:rFonts w:ascii="Arial" w:cs="Arial" w:eastAsia="Arial" w:hAnsi="Arial"/>
          <w:sz w:val="13"/>
          <w:szCs w:val="13"/>
          <w:color w:val="auto"/>
        </w:rPr>
        <w:t>NC</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100"/>
        <w:spacing w:after="0"/>
        <w:rPr>
          <w:sz w:val="20"/>
          <w:szCs w:val="20"/>
          <w:color w:val="auto"/>
        </w:rPr>
      </w:pPr>
      <w:r>
        <w:rPr>
          <w:rFonts w:ascii="Arial" w:cs="Arial" w:eastAsia="Arial" w:hAnsi="Arial"/>
          <w:sz w:val="20"/>
          <w:szCs w:val="20"/>
          <w:color w:val="auto"/>
          <w:highlight w:val="white"/>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-31750</wp:posOffset>
            </wp:positionV>
            <wp:extent cx="278574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0">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jc w:val="center"/>
        <w:ind w:right="-14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768985</wp:posOffset>
            </wp:positionV>
            <wp:extent cx="545211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1">
                      <a:extLst>
                        <a:ext uri="{28A0092B-C50C-407E-A947-70E740481C1C}"/>
                      </a:extLst>
                    </a:blip>
                    <a:srcRect/>
                    <a:stretch>
                      <a:fillRect/>
                    </a:stretch>
                  </pic:blipFill>
                  <pic:spPr bwMode="auto">
                    <a:xfrm>
                      <a:off x="0" y="0"/>
                      <a:ext cx="5452110" cy="17145"/>
                    </a:xfrm>
                    <a:prstGeom prst="rect">
                      <a:avLst/>
                    </a:prstGeom>
                    <a:noFill/>
                  </pic:spPr>
                </pic:pic>
              </a:graphicData>
            </a:graphic>
          </wp:anchor>
        </w:drawing>
        <w:drawing>
          <wp:anchor simplePos="0" relativeHeight="251657728" behindDoc="1" locked="0" layoutInCell="0" allowOverlap="1">
            <wp:simplePos x="0" y="0"/>
            <wp:positionH relativeFrom="column">
              <wp:posOffset>2602865</wp:posOffset>
            </wp:positionH>
            <wp:positionV relativeFrom="paragraph">
              <wp:posOffset>-139065</wp:posOffset>
            </wp:positionV>
            <wp:extent cx="2983230" cy="146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2">
                      <a:extLst>
                        <a:ext uri="{28A0092B-C50C-407E-A947-70E740481C1C}"/>
                      </a:extLst>
                    </a:blip>
                    <a:srcRect/>
                    <a:stretch>
                      <a:fillRect/>
                    </a:stretch>
                  </pic:blipFill>
                  <pic:spPr bwMode="auto">
                    <a:xfrm>
                      <a:off x="0" y="0"/>
                      <a:ext cx="2983230" cy="146050"/>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36" w:name="page37"/>
    <w:bookmarkEnd w:id="36"/>
    <w:p>
      <w:pPr>
        <w:jc w:val="right"/>
        <w:ind w:right="219"/>
        <w:spacing w:after="0"/>
        <w:rPr>
          <w:sz w:val="20"/>
          <w:szCs w:val="20"/>
          <w:color w:val="auto"/>
        </w:rPr>
      </w:pPr>
      <w:r>
        <w:rPr>
          <w:rFonts w:ascii="Arial" w:cs="Arial" w:eastAsia="Arial" w:hAnsi="Arial"/>
          <w:sz w:val="20"/>
          <w:szCs w:val="20"/>
          <w:b w:val="1"/>
          <w:bCs w:val="1"/>
          <w:color w:val="auto"/>
        </w:rPr>
        <w:t>Exhibit 10(k)</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UFP INDUSTRIES, INC.</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3.04% SENIOR SERIES E NOTE DUE AUGUST 10, 2032</w:t>
      </w:r>
    </w:p>
    <w:p>
      <w:pPr>
        <w:spacing w:after="0" w:line="200" w:lineRule="exact"/>
        <w:rPr>
          <w:sz w:val="20"/>
          <w:szCs w:val="20"/>
          <w:color w:val="auto"/>
        </w:rPr>
      </w:pPr>
    </w:p>
    <w:p>
      <w:pPr>
        <w:spacing w:after="0" w:line="251" w:lineRule="exact"/>
        <w:rPr>
          <w:sz w:val="20"/>
          <w:szCs w:val="20"/>
          <w:color w:val="auto"/>
        </w:rPr>
      </w:pPr>
    </w:p>
    <w:p>
      <w:pPr>
        <w:ind w:left="200"/>
        <w:spacing w:after="0"/>
        <w:rPr>
          <w:sz w:val="20"/>
          <w:szCs w:val="20"/>
          <w:color w:val="auto"/>
        </w:rPr>
      </w:pPr>
      <w:r>
        <w:rPr>
          <w:rFonts w:ascii="Arial" w:cs="Arial" w:eastAsia="Arial" w:hAnsi="Arial"/>
          <w:sz w:val="20"/>
          <w:szCs w:val="20"/>
          <w:color w:val="auto"/>
        </w:rPr>
        <w:t>No. E-6</w:t>
      </w:r>
    </w:p>
    <w:p>
      <w:pPr>
        <w:spacing w:after="0" w:line="20" w:lineRule="exact"/>
        <w:rPr>
          <w:sz w:val="20"/>
          <w:szCs w:val="20"/>
          <w:color w:val="auto"/>
        </w:rPr>
      </w:pPr>
    </w:p>
    <w:p>
      <w:pPr>
        <w:ind w:left="200"/>
        <w:spacing w:after="0"/>
        <w:rPr>
          <w:sz w:val="20"/>
          <w:szCs w:val="20"/>
          <w:color w:val="auto"/>
        </w:rPr>
      </w:pPr>
      <w:r>
        <w:rPr>
          <w:rFonts w:ascii="Arial" w:cs="Arial" w:eastAsia="Arial" w:hAnsi="Arial"/>
          <w:sz w:val="20"/>
          <w:szCs w:val="20"/>
          <w:color w:val="auto"/>
        </w:rPr>
        <w:t>ORIGINAL PRINCIPAL AMOUNT: $8,900,000</w:t>
      </w:r>
    </w:p>
    <w:p>
      <w:pPr>
        <w:spacing w:after="0" w:line="13" w:lineRule="exact"/>
        <w:rPr>
          <w:sz w:val="20"/>
          <w:szCs w:val="20"/>
          <w:color w:val="auto"/>
        </w:rPr>
      </w:pPr>
    </w:p>
    <w:p>
      <w:pPr>
        <w:ind w:left="200"/>
        <w:spacing w:after="0"/>
        <w:rPr>
          <w:sz w:val="20"/>
          <w:szCs w:val="20"/>
          <w:color w:val="auto"/>
        </w:rPr>
      </w:pPr>
      <w:r>
        <w:rPr>
          <w:rFonts w:ascii="Arial" w:cs="Arial" w:eastAsia="Arial" w:hAnsi="Arial"/>
          <w:sz w:val="20"/>
          <w:szCs w:val="20"/>
          <w:color w:val="auto"/>
        </w:rPr>
        <w:t>ORIGINAL ISSUE DATE: August 10, 2020</w:t>
      </w:r>
    </w:p>
    <w:p>
      <w:pPr>
        <w:spacing w:after="0" w:line="13" w:lineRule="exact"/>
        <w:rPr>
          <w:sz w:val="20"/>
          <w:szCs w:val="20"/>
          <w:color w:val="auto"/>
        </w:rPr>
      </w:pPr>
    </w:p>
    <w:p>
      <w:pPr>
        <w:ind w:left="200"/>
        <w:spacing w:after="0"/>
        <w:rPr>
          <w:sz w:val="20"/>
          <w:szCs w:val="20"/>
          <w:color w:val="auto"/>
        </w:rPr>
      </w:pPr>
      <w:r>
        <w:rPr>
          <w:rFonts w:ascii="Arial" w:cs="Arial" w:eastAsia="Arial" w:hAnsi="Arial"/>
          <w:sz w:val="20"/>
          <w:szCs w:val="20"/>
          <w:color w:val="auto"/>
        </w:rPr>
        <w:t>INTEREST RATE: 3.04%</w:t>
      </w:r>
    </w:p>
    <w:p>
      <w:pPr>
        <w:spacing w:after="0" w:line="13" w:lineRule="exact"/>
        <w:rPr>
          <w:sz w:val="20"/>
          <w:szCs w:val="20"/>
          <w:color w:val="auto"/>
        </w:rPr>
      </w:pPr>
    </w:p>
    <w:p>
      <w:pPr>
        <w:ind w:left="200" w:right="579"/>
        <w:spacing w:after="0" w:line="253" w:lineRule="auto"/>
        <w:rPr>
          <w:sz w:val="20"/>
          <w:szCs w:val="20"/>
          <w:color w:val="auto"/>
        </w:rPr>
      </w:pPr>
      <w:r>
        <w:rPr>
          <w:rFonts w:ascii="Arial" w:cs="Arial" w:eastAsia="Arial" w:hAnsi="Arial"/>
          <w:sz w:val="20"/>
          <w:szCs w:val="20"/>
          <w:color w:val="auto"/>
        </w:rPr>
        <w:t>INTEREST PAYMENT DATES: Semi-annually, in arrears, on February 10 and August 10 of each year, commencing on February 10, 2021</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20"/>
          <w:szCs w:val="20"/>
          <w:color w:val="auto"/>
        </w:rPr>
        <w:t>FINAL MATURITY DATE: August 10, 2032</w:t>
      </w:r>
    </w:p>
    <w:p>
      <w:pPr>
        <w:spacing w:after="0" w:line="13" w:lineRule="exact"/>
        <w:rPr>
          <w:sz w:val="20"/>
          <w:szCs w:val="20"/>
          <w:color w:val="auto"/>
        </w:rPr>
      </w:pPr>
    </w:p>
    <w:p>
      <w:pPr>
        <w:ind w:left="200" w:right="1979"/>
        <w:spacing w:after="0" w:line="267" w:lineRule="auto"/>
        <w:rPr>
          <w:sz w:val="20"/>
          <w:szCs w:val="20"/>
          <w:color w:val="auto"/>
        </w:rPr>
      </w:pPr>
      <w:r>
        <w:rPr>
          <w:rFonts w:ascii="Arial" w:cs="Arial" w:eastAsia="Arial" w:hAnsi="Arial"/>
          <w:sz w:val="20"/>
          <w:szCs w:val="20"/>
          <w:color w:val="auto"/>
        </w:rPr>
        <w:t>PRINCIPAL PREPAYMENT DATES AND AMOUNTS: None, bullet due at maturity PPN 913543 D@0</w:t>
      </w:r>
    </w:p>
    <w:p>
      <w:pPr>
        <w:spacing w:after="0" w:line="115" w:lineRule="exact"/>
        <w:rPr>
          <w:sz w:val="20"/>
          <w:szCs w:val="20"/>
          <w:color w:val="auto"/>
        </w:rPr>
      </w:pPr>
    </w:p>
    <w:p>
      <w:pPr>
        <w:jc w:val="both"/>
        <w:ind w:left="200" w:right="219" w:firstLine="648"/>
        <w:spacing w:after="0" w:line="270" w:lineRule="auto"/>
        <w:rPr>
          <w:sz w:val="20"/>
          <w:szCs w:val="20"/>
          <w:color w:val="auto"/>
        </w:rPr>
      </w:pPr>
      <w:r>
        <w:rPr>
          <w:rFonts w:ascii="Arial" w:cs="Arial" w:eastAsia="Arial" w:hAnsi="Arial"/>
          <w:sz w:val="19"/>
          <w:szCs w:val="19"/>
          <w:color w:val="auto"/>
        </w:rPr>
        <w:t xml:space="preserve">FOR VALUE RECEIVED, the undersigned, UFP Industries, Inc. (f/k/a Universal Forest Products, Inc.), a Michigan corporation (herein called the “Company”), hereby promises to pay to </w:t>
      </w:r>
      <w:r>
        <w:rPr>
          <w:rFonts w:ascii="Arial" w:cs="Arial" w:eastAsia="Arial" w:hAnsi="Arial"/>
          <w:sz w:val="19"/>
          <w:szCs w:val="19"/>
          <w:b w:val="1"/>
          <w:bCs w:val="1"/>
          <w:color w:val="auto"/>
        </w:rPr>
        <w:t>T</w:t>
      </w:r>
      <w:r>
        <w:rPr>
          <w:rFonts w:ascii="Arial" w:cs="Arial" w:eastAsia="Arial" w:hAnsi="Arial"/>
          <w:sz w:val="12"/>
          <w:szCs w:val="12"/>
          <w:b w:val="1"/>
          <w:bCs w:val="1"/>
          <w:color w:val="auto"/>
        </w:rPr>
        <w:t>HE</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P</w:t>
      </w:r>
      <w:r>
        <w:rPr>
          <w:rFonts w:ascii="Arial" w:cs="Arial" w:eastAsia="Arial" w:hAnsi="Arial"/>
          <w:sz w:val="13"/>
          <w:szCs w:val="13"/>
          <w:b w:val="1"/>
          <w:bCs w:val="1"/>
          <w:color w:val="auto"/>
        </w:rPr>
        <w:t>RUDENTIAL</w:t>
      </w:r>
      <w:r>
        <w:rPr>
          <w:rFonts w:ascii="Arial" w:cs="Arial" w:eastAsia="Arial" w:hAnsi="Arial"/>
          <w:sz w:val="20"/>
          <w:szCs w:val="20"/>
          <w:b w:val="1"/>
          <w:bCs w:val="1"/>
          <w:color w:val="auto"/>
        </w:rPr>
        <w:t xml:space="preserve"> I</w:t>
      </w:r>
      <w:r>
        <w:rPr>
          <w:rFonts w:ascii="Arial" w:cs="Arial" w:eastAsia="Arial" w:hAnsi="Arial"/>
          <w:sz w:val="13"/>
          <w:szCs w:val="13"/>
          <w:b w:val="1"/>
          <w:bCs w:val="1"/>
          <w:color w:val="auto"/>
        </w:rPr>
        <w:t>NSURANCE</w:t>
      </w:r>
      <w:r>
        <w:rPr>
          <w:rFonts w:ascii="Arial" w:cs="Arial" w:eastAsia="Arial" w:hAnsi="Arial"/>
          <w:sz w:val="20"/>
          <w:szCs w:val="20"/>
          <w:b w:val="1"/>
          <w:bCs w:val="1"/>
          <w:color w:val="auto"/>
        </w:rPr>
        <w:t xml:space="preserve"> C</w:t>
      </w:r>
      <w:r>
        <w:rPr>
          <w:rFonts w:ascii="Arial" w:cs="Arial" w:eastAsia="Arial" w:hAnsi="Arial"/>
          <w:sz w:val="13"/>
          <w:szCs w:val="13"/>
          <w:b w:val="1"/>
          <w:bCs w:val="1"/>
          <w:color w:val="auto"/>
        </w:rPr>
        <w:t>OMPANY OF</w:t>
      </w:r>
      <w:r>
        <w:rPr>
          <w:rFonts w:ascii="Arial" w:cs="Arial" w:eastAsia="Arial" w:hAnsi="Arial"/>
          <w:sz w:val="20"/>
          <w:szCs w:val="20"/>
          <w:b w:val="1"/>
          <w:bCs w:val="1"/>
          <w:color w:val="auto"/>
        </w:rPr>
        <w:t xml:space="preserve"> A</w:t>
      </w:r>
      <w:r>
        <w:rPr>
          <w:rFonts w:ascii="Arial" w:cs="Arial" w:eastAsia="Arial" w:hAnsi="Arial"/>
          <w:sz w:val="13"/>
          <w:szCs w:val="13"/>
          <w:b w:val="1"/>
          <w:bCs w:val="1"/>
          <w:color w:val="auto"/>
        </w:rPr>
        <w:t>MERICA</w:t>
      </w:r>
      <w:r>
        <w:rPr>
          <w:rFonts w:ascii="Arial" w:cs="Arial" w:eastAsia="Arial" w:hAnsi="Arial"/>
          <w:sz w:val="20"/>
          <w:szCs w:val="20"/>
          <w:color w:val="auto"/>
        </w:rPr>
        <w:t>, or registered assigns, the principal sum of</w:t>
      </w:r>
      <w:r>
        <w:rPr>
          <w:rFonts w:ascii="Arial" w:cs="Arial" w:eastAsia="Arial" w:hAnsi="Arial"/>
          <w:sz w:val="20"/>
          <w:szCs w:val="20"/>
          <w:b w:val="1"/>
          <w:bCs w:val="1"/>
          <w:color w:val="auto"/>
        </w:rPr>
        <w:t xml:space="preserve"> E</w:t>
      </w:r>
      <w:r>
        <w:rPr>
          <w:rFonts w:ascii="Arial" w:cs="Arial" w:eastAsia="Arial" w:hAnsi="Arial"/>
          <w:sz w:val="13"/>
          <w:szCs w:val="13"/>
          <w:b w:val="1"/>
          <w:bCs w:val="1"/>
          <w:color w:val="auto"/>
        </w:rPr>
        <w:t>IGHT</w:t>
      </w:r>
      <w:r>
        <w:rPr>
          <w:rFonts w:ascii="Arial" w:cs="Arial" w:eastAsia="Arial" w:hAnsi="Arial"/>
          <w:sz w:val="20"/>
          <w:szCs w:val="20"/>
          <w:b w:val="1"/>
          <w:bCs w:val="1"/>
          <w:color w:val="auto"/>
        </w:rPr>
        <w:t xml:space="preserve"> M</w:t>
      </w:r>
      <w:r>
        <w:rPr>
          <w:rFonts w:ascii="Arial" w:cs="Arial" w:eastAsia="Arial" w:hAnsi="Arial"/>
          <w:sz w:val="13"/>
          <w:szCs w:val="13"/>
          <w:b w:val="1"/>
          <w:bCs w:val="1"/>
          <w:color w:val="auto"/>
        </w:rPr>
        <w:t>ILLION</w:t>
      </w:r>
    </w:p>
    <w:p>
      <w:pPr>
        <w:spacing w:after="0" w:line="13" w:lineRule="exact"/>
        <w:rPr>
          <w:sz w:val="20"/>
          <w:szCs w:val="20"/>
          <w:color w:val="auto"/>
        </w:rPr>
      </w:pPr>
    </w:p>
    <w:p>
      <w:pPr>
        <w:jc w:val="both"/>
        <w:ind w:left="200" w:right="219"/>
        <w:spacing w:after="0" w:line="269" w:lineRule="auto"/>
        <w:rPr>
          <w:sz w:val="20"/>
          <w:szCs w:val="20"/>
          <w:color w:val="auto"/>
        </w:rPr>
      </w:pPr>
      <w:r>
        <w:rPr>
          <w:rFonts w:ascii="Arial" w:cs="Arial" w:eastAsia="Arial" w:hAnsi="Arial"/>
          <w:sz w:val="19"/>
          <w:szCs w:val="19"/>
          <w:b w:val="1"/>
          <w:bCs w:val="1"/>
          <w:color w:val="auto"/>
        </w:rPr>
        <w:t>N</w:t>
      </w:r>
      <w:r>
        <w:rPr>
          <w:rFonts w:ascii="Arial" w:cs="Arial" w:eastAsia="Arial" w:hAnsi="Arial"/>
          <w:sz w:val="12"/>
          <w:szCs w:val="12"/>
          <w:b w:val="1"/>
          <w:bCs w:val="1"/>
          <w:color w:val="auto"/>
        </w:rPr>
        <w:t>INE</w:t>
      </w:r>
      <w:r>
        <w:rPr>
          <w:rFonts w:ascii="Arial" w:cs="Arial" w:eastAsia="Arial" w:hAnsi="Arial"/>
          <w:sz w:val="19"/>
          <w:szCs w:val="19"/>
          <w:b w:val="1"/>
          <w:bCs w:val="1"/>
          <w:color w:val="auto"/>
        </w:rPr>
        <w:t xml:space="preserve"> H</w:t>
      </w:r>
      <w:r>
        <w:rPr>
          <w:rFonts w:ascii="Arial" w:cs="Arial" w:eastAsia="Arial" w:hAnsi="Arial"/>
          <w:sz w:val="12"/>
          <w:szCs w:val="12"/>
          <w:b w:val="1"/>
          <w:bCs w:val="1"/>
          <w:color w:val="auto"/>
        </w:rPr>
        <w:t>UNDRED</w:t>
      </w:r>
      <w:r>
        <w:rPr>
          <w:rFonts w:ascii="Arial" w:cs="Arial" w:eastAsia="Arial" w:hAnsi="Arial"/>
          <w:sz w:val="19"/>
          <w:szCs w:val="19"/>
          <w:b w:val="1"/>
          <w:bCs w:val="1"/>
          <w:color w:val="auto"/>
        </w:rPr>
        <w:t xml:space="preserve"> T</w:t>
      </w:r>
      <w:r>
        <w:rPr>
          <w:rFonts w:ascii="Arial" w:cs="Arial" w:eastAsia="Arial" w:hAnsi="Arial"/>
          <w:sz w:val="12"/>
          <w:szCs w:val="12"/>
          <w:b w:val="1"/>
          <w:bCs w:val="1"/>
          <w:color w:val="auto"/>
        </w:rPr>
        <w:t>HOUSAND</w:t>
      </w:r>
      <w:r>
        <w:rPr>
          <w:rFonts w:ascii="Arial" w:cs="Arial" w:eastAsia="Arial" w:hAnsi="Arial"/>
          <w:sz w:val="19"/>
          <w:szCs w:val="19"/>
          <w:b w:val="1"/>
          <w:bCs w:val="1"/>
          <w:color w:val="auto"/>
        </w:rPr>
        <w:t xml:space="preserve"> D</w:t>
      </w:r>
      <w:r>
        <w:rPr>
          <w:rFonts w:ascii="Arial" w:cs="Arial" w:eastAsia="Arial" w:hAnsi="Arial"/>
          <w:sz w:val="12"/>
          <w:szCs w:val="12"/>
          <w:b w:val="1"/>
          <w:bCs w:val="1"/>
          <w:color w:val="auto"/>
        </w:rPr>
        <w:t>OLLARS</w:t>
      </w:r>
      <w:r>
        <w:rPr>
          <w:rFonts w:ascii="Arial" w:cs="Arial" w:eastAsia="Arial" w:hAnsi="Arial"/>
          <w:sz w:val="19"/>
          <w:szCs w:val="19"/>
          <w:b w:val="1"/>
          <w:bCs w:val="1"/>
          <w:color w:val="auto"/>
        </w:rPr>
        <w:t xml:space="preserve"> </w:t>
      </w:r>
      <w:r>
        <w:rPr>
          <w:rFonts w:ascii="Arial" w:cs="Arial" w:eastAsia="Arial" w:hAnsi="Arial"/>
          <w:sz w:val="19"/>
          <w:szCs w:val="19"/>
          <w:color w:val="auto"/>
        </w:rPr>
        <w:t>on the Final Maturity Date specified above, with interest (computed on</w:t>
      </w:r>
      <w:r>
        <w:rPr>
          <w:rFonts w:ascii="Arial" w:cs="Arial" w:eastAsia="Arial" w:hAnsi="Arial"/>
          <w:sz w:val="19"/>
          <w:szCs w:val="19"/>
          <w:b w:val="1"/>
          <w:bCs w:val="1"/>
          <w:color w:val="auto"/>
        </w:rPr>
        <w:t xml:space="preserve"> </w:t>
      </w:r>
      <w:r>
        <w:rPr>
          <w:rFonts w:ascii="Arial" w:cs="Arial" w:eastAsia="Arial" w:hAnsi="Arial"/>
          <w:sz w:val="19"/>
          <w:szCs w:val="19"/>
          <w:color w:val="auto"/>
        </w:rPr>
        <w:t>the basis of a 360-day year—30-day month) on the unpaid balance thereof at the Interest Rate per annum specified above from the date hereof, payable on each Interest Payment Date specified above and on the Final Maturity Date specified above, commencing with the Interest Payment Date next succeeding the date hereof. The Company agrees to pay interest on overdue principal (including any overdue optional prepayment of principal) and premium, if any, and (to the extent legally enforceable) on any overdue installment of interest, at the Overdue Rate after the due date, whether by acceleration or otherwise, until paid. “Overdue Rate” shall mean the lesser of (a) the maximum interest rate permitted by law, and (b) the greater of (ii) the Interest Rate specified above plus 2.00% per annum or (b) the rate of interest publicly announced by JPMorgan Chase Bank, National Association, from time to time in New York City as its Prime Rate plus 2.00% per annum.</w:t>
      </w:r>
    </w:p>
    <w:p>
      <w:pPr>
        <w:spacing w:after="0" w:line="107" w:lineRule="exact"/>
        <w:rPr>
          <w:sz w:val="20"/>
          <w:szCs w:val="20"/>
          <w:color w:val="auto"/>
        </w:rPr>
      </w:pPr>
    </w:p>
    <w:p>
      <w:pPr>
        <w:jc w:val="both"/>
        <w:ind w:left="200" w:right="219" w:firstLine="648"/>
        <w:spacing w:after="0" w:line="286" w:lineRule="auto"/>
        <w:rPr>
          <w:sz w:val="20"/>
          <w:szCs w:val="20"/>
          <w:color w:val="auto"/>
        </w:rPr>
      </w:pPr>
      <w:r>
        <w:rPr>
          <w:rFonts w:ascii="Arial" w:cs="Arial" w:eastAsia="Arial" w:hAnsi="Arial"/>
          <w:sz w:val="18"/>
          <w:szCs w:val="18"/>
          <w:color w:val="auto"/>
        </w:rPr>
        <w:t xml:space="preserve">Both the principal hereof and interest hereon are payable at the principal office of the Company in Grand Rapids, Michigan in coin or currency of the United States of America which at the time of payment shall be legal tender for the payment of public and private debts. If any amount of principal, premium, if any, or interest on or in respect of this Note becomes due and payable on any date which is not a Business Day, such amount shall be payable on the immediately succeeding Business Day without including the additional days elapsed in the computation of the interest payable on such next succeeding Business Day;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if the maturity date of this Note is a date other than a Business Day, the payment otherwise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due on such maturity date shall be made on the next succeeding Business Day and shall include the additional days elapsed in the computation of interest payable on such next succeeding Business Day. </w:t>
      </w:r>
      <w:r>
        <w:rPr>
          <w:rFonts w:ascii="Arial" w:cs="Arial" w:eastAsia="Arial" w:hAnsi="Arial"/>
          <w:sz w:val="18"/>
          <w:szCs w:val="18"/>
          <w:i w:val="1"/>
          <w:iCs w:val="1"/>
          <w:color w:val="auto"/>
        </w:rPr>
        <w:t xml:space="preserve">“Business Day” </w:t>
      </w:r>
      <w:r>
        <w:rPr>
          <w:rFonts w:ascii="Arial" w:cs="Arial" w:eastAsia="Arial" w:hAnsi="Arial"/>
          <w:sz w:val="18"/>
          <w:szCs w:val="18"/>
          <w:color w:val="auto"/>
        </w:rPr>
        <w:t>means any day other than a Saturday, Sunday or other day on which banks in either Grand</w:t>
      </w:r>
      <w:r>
        <w:rPr>
          <w:rFonts w:ascii="Arial" w:cs="Arial" w:eastAsia="Arial" w:hAnsi="Arial"/>
          <w:sz w:val="18"/>
          <w:szCs w:val="18"/>
          <w:i w:val="1"/>
          <w:iCs w:val="1"/>
          <w:color w:val="auto"/>
        </w:rPr>
        <w:t xml:space="preserve"> </w:t>
      </w:r>
      <w:r>
        <w:rPr>
          <w:rFonts w:ascii="Arial" w:cs="Arial" w:eastAsia="Arial" w:hAnsi="Arial"/>
          <w:sz w:val="18"/>
          <w:szCs w:val="18"/>
          <w:color w:val="auto"/>
        </w:rPr>
        <w:t>Rapids, Michigan or New York, New York are required by law to close or are customarily closed.</w:t>
      </w:r>
    </w:p>
    <w:p>
      <w:pPr>
        <w:spacing w:after="0" w:line="108" w:lineRule="exact"/>
        <w:rPr>
          <w:sz w:val="20"/>
          <w:szCs w:val="20"/>
          <w:color w:val="auto"/>
        </w:rPr>
      </w:pPr>
    </w:p>
    <w:p>
      <w:pPr>
        <w:jc w:val="both"/>
        <w:ind w:left="200" w:right="219" w:firstLine="648"/>
        <w:spacing w:after="0" w:line="291" w:lineRule="auto"/>
        <w:rPr>
          <w:sz w:val="20"/>
          <w:szCs w:val="20"/>
          <w:color w:val="auto"/>
        </w:rPr>
      </w:pPr>
      <w:r>
        <w:rPr>
          <w:rFonts w:ascii="Arial" w:cs="Arial" w:eastAsia="Arial" w:hAnsi="Arial"/>
          <w:sz w:val="18"/>
          <w:szCs w:val="18"/>
          <w:color w:val="auto"/>
        </w:rPr>
        <w:t>This Note is one of the 3.04% Series E Senior Notes, due August 10, 2032 of the Company in the original aggregate principal amount of $50,000,000, which, together with the 3.89% Series A Senior Notes, due December 17, 2022, of the Company in the original aggregate principal amount of $35,000,000, the 3.98% Series B Senior Notes, due December 17, 2024, of the Company in the original aggregate principal amount of $40,000,000, and any other Shelf Notes (as defined in the Note Agreement hereafter mentioned), are issued or to be issued under and pursuant to the terms and provisions of the Note Purchase and Private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460375</wp:posOffset>
            </wp:positionV>
            <wp:extent cx="545211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37" w:name="page38"/>
    <w:bookmarkEnd w:id="37"/>
    <w:p>
      <w:pPr>
        <w:jc w:val="right"/>
        <w:ind w:right="219"/>
        <w:spacing w:after="0"/>
        <w:rPr>
          <w:sz w:val="20"/>
          <w:szCs w:val="20"/>
          <w:color w:val="auto"/>
        </w:rPr>
      </w:pPr>
      <w:r>
        <w:rPr>
          <w:rFonts w:ascii="Arial" w:cs="Arial" w:eastAsia="Arial" w:hAnsi="Arial"/>
          <w:sz w:val="20"/>
          <w:szCs w:val="20"/>
          <w:b w:val="1"/>
          <w:bCs w:val="1"/>
          <w:color w:val="auto"/>
        </w:rPr>
        <w:t>Exhibit 10(k)</w:t>
      </w:r>
    </w:p>
    <w:p>
      <w:pPr>
        <w:spacing w:after="0" w:line="200" w:lineRule="exact"/>
        <w:rPr>
          <w:sz w:val="20"/>
          <w:szCs w:val="20"/>
          <w:color w:val="auto"/>
        </w:rPr>
      </w:pPr>
    </w:p>
    <w:p>
      <w:pPr>
        <w:spacing w:after="0" w:line="238" w:lineRule="exact"/>
        <w:rPr>
          <w:sz w:val="20"/>
          <w:szCs w:val="20"/>
          <w:color w:val="auto"/>
        </w:rPr>
      </w:pPr>
    </w:p>
    <w:p>
      <w:pPr>
        <w:jc w:val="both"/>
        <w:ind w:left="200" w:right="219"/>
        <w:spacing w:after="0" w:line="273" w:lineRule="auto"/>
        <w:rPr>
          <w:sz w:val="20"/>
          <w:szCs w:val="20"/>
          <w:color w:val="auto"/>
        </w:rPr>
      </w:pPr>
      <w:r>
        <w:rPr>
          <w:rFonts w:ascii="Arial" w:cs="Arial" w:eastAsia="Arial" w:hAnsi="Arial"/>
          <w:sz w:val="19"/>
          <w:szCs w:val="19"/>
          <w:color w:val="auto"/>
        </w:rPr>
        <w:t xml:space="preserve">Shelf Agreement, dated as of December 17, 2012 (the </w:t>
      </w:r>
      <w:r>
        <w:rPr>
          <w:rFonts w:ascii="Arial" w:cs="Arial" w:eastAsia="Arial" w:hAnsi="Arial"/>
          <w:sz w:val="19"/>
          <w:szCs w:val="19"/>
          <w:i w:val="1"/>
          <w:iCs w:val="1"/>
          <w:color w:val="auto"/>
        </w:rPr>
        <w:t>“Note Agreement”</w:t>
      </w:r>
      <w:r>
        <w:rPr>
          <w:rFonts w:ascii="Arial" w:cs="Arial" w:eastAsia="Arial" w:hAnsi="Arial"/>
          <w:sz w:val="19"/>
          <w:szCs w:val="19"/>
          <w:color w:val="auto"/>
        </w:rPr>
        <w:t>), between the Company, on the one hand, and PGIM, Inc. , the Initial Purchasers named in the Purchaser Schedule attached thereto and each Prudential Affiliate which becomes party thereto, on the other hand, and the holder hereof is entitled equally and ratably with the holders of all other Notes outstanding under the Note Agreement to all the benefits provided for thereby or referred to therein. Reference is hereby made to the Note Agreement for a statement of such rights and benefits.</w:t>
      </w:r>
    </w:p>
    <w:p>
      <w:pPr>
        <w:spacing w:after="0" w:line="115" w:lineRule="exact"/>
        <w:rPr>
          <w:sz w:val="20"/>
          <w:szCs w:val="20"/>
          <w:color w:val="auto"/>
        </w:rPr>
      </w:pPr>
    </w:p>
    <w:p>
      <w:pPr>
        <w:jc w:val="both"/>
        <w:ind w:left="200" w:right="239" w:firstLine="648"/>
        <w:spacing w:after="0" w:line="284" w:lineRule="auto"/>
        <w:rPr>
          <w:sz w:val="20"/>
          <w:szCs w:val="20"/>
          <w:color w:val="auto"/>
        </w:rPr>
      </w:pPr>
      <w:r>
        <w:rPr>
          <w:rFonts w:ascii="Arial" w:cs="Arial" w:eastAsia="Arial" w:hAnsi="Arial"/>
          <w:sz w:val="19"/>
          <w:szCs w:val="19"/>
          <w:color w:val="auto"/>
        </w:rPr>
        <w:t>This Note and the other Notes outstanding under the Note Agreement may be declared due prior to their expressed maturity dates and certain prepayments are required to be made thereon, all in the events, on the terms and in the manner and amounts as provided in the Note Agreements.</w:t>
      </w:r>
    </w:p>
    <w:p>
      <w:pPr>
        <w:spacing w:after="0" w:line="88" w:lineRule="exact"/>
        <w:rPr>
          <w:sz w:val="20"/>
          <w:szCs w:val="20"/>
          <w:color w:val="auto"/>
        </w:rPr>
      </w:pPr>
    </w:p>
    <w:p>
      <w:pPr>
        <w:jc w:val="both"/>
        <w:ind w:left="200" w:right="219" w:firstLine="648"/>
        <w:spacing w:after="0" w:line="264" w:lineRule="auto"/>
        <w:rPr>
          <w:sz w:val="20"/>
          <w:szCs w:val="20"/>
          <w:color w:val="auto"/>
        </w:rPr>
      </w:pPr>
      <w:r>
        <w:rPr>
          <w:rFonts w:ascii="Arial" w:cs="Arial" w:eastAsia="Arial" w:hAnsi="Arial"/>
          <w:sz w:val="20"/>
          <w:szCs w:val="20"/>
          <w:color w:val="auto"/>
        </w:rPr>
        <w:t>The Notes are not subject to prepayment or redemption at the option of the Company prior to their expressed maturity dates except on the terms and conditions and in the amounts and with the premium, if any, set forth in the Note Agreement.</w:t>
      </w:r>
    </w:p>
    <w:p>
      <w:pPr>
        <w:spacing w:after="0" w:line="119" w:lineRule="exact"/>
        <w:rPr>
          <w:sz w:val="20"/>
          <w:szCs w:val="20"/>
          <w:color w:val="auto"/>
        </w:rPr>
      </w:pPr>
    </w:p>
    <w:p>
      <w:pPr>
        <w:jc w:val="both"/>
        <w:ind w:left="200" w:right="219" w:firstLine="648"/>
        <w:spacing w:after="0" w:line="258" w:lineRule="auto"/>
        <w:rPr>
          <w:sz w:val="20"/>
          <w:szCs w:val="20"/>
          <w:color w:val="auto"/>
        </w:rPr>
      </w:pPr>
      <w:r>
        <w:rPr>
          <w:rFonts w:ascii="Arial" w:cs="Arial" w:eastAsia="Arial" w:hAnsi="Arial"/>
          <w:sz w:val="20"/>
          <w:szCs w:val="20"/>
          <w:color w:val="auto"/>
        </w:rPr>
        <w:t>This Note is registered on the books of the Company and is transferable only by surrender thereof at the principal office of the Company duly endorsed or accompanied by a written instrument of transfer duly executed by the registered holder of this Note or its attorney duly authorized in writing. Payment of or on account of principal, premium, if any, and interest on this Note shall be made only to or upon the order in writing of the registered holder.</w:t>
      </w:r>
    </w:p>
    <w:p>
      <w:pPr>
        <w:spacing w:after="0" w:line="127" w:lineRule="exact"/>
        <w:rPr>
          <w:sz w:val="20"/>
          <w:szCs w:val="20"/>
          <w:color w:val="auto"/>
        </w:rPr>
      </w:pPr>
    </w:p>
    <w:p>
      <w:pPr>
        <w:ind w:left="38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follows</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584835</wp:posOffset>
            </wp:positionV>
            <wp:extent cx="545211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38" w:name="page39"/>
    <w:bookmarkEnd w:id="38"/>
    <w:p>
      <w:pPr>
        <w:jc w:val="right"/>
        <w:ind w:right="219"/>
        <w:spacing w:after="0"/>
        <w:rPr>
          <w:sz w:val="20"/>
          <w:szCs w:val="20"/>
          <w:color w:val="auto"/>
        </w:rPr>
      </w:pPr>
      <w:r>
        <w:rPr>
          <w:rFonts w:ascii="Arial" w:cs="Arial" w:eastAsia="Arial" w:hAnsi="Arial"/>
          <w:sz w:val="20"/>
          <w:szCs w:val="20"/>
          <w:b w:val="1"/>
          <w:bCs w:val="1"/>
          <w:color w:val="auto"/>
        </w:rPr>
        <w:t>Exhibit 10(k)</w:t>
      </w:r>
    </w:p>
    <w:p>
      <w:pPr>
        <w:spacing w:after="0" w:line="200" w:lineRule="exact"/>
        <w:rPr>
          <w:sz w:val="20"/>
          <w:szCs w:val="20"/>
          <w:color w:val="auto"/>
        </w:rPr>
      </w:pPr>
    </w:p>
    <w:p>
      <w:pPr>
        <w:spacing w:after="0" w:line="232" w:lineRule="exact"/>
        <w:rPr>
          <w:sz w:val="20"/>
          <w:szCs w:val="20"/>
          <w:color w:val="auto"/>
        </w:rPr>
      </w:pPr>
    </w:p>
    <w:p>
      <w:pPr>
        <w:jc w:val="both"/>
        <w:ind w:left="200" w:right="219" w:firstLine="648"/>
        <w:spacing w:after="0" w:line="262" w:lineRule="auto"/>
        <w:rPr>
          <w:sz w:val="20"/>
          <w:szCs w:val="20"/>
          <w:color w:val="auto"/>
        </w:rPr>
      </w:pPr>
      <w:r>
        <w:rPr>
          <w:rFonts w:ascii="Arial" w:cs="Arial" w:eastAsia="Arial" w:hAnsi="Arial"/>
          <w:sz w:val="20"/>
          <w:szCs w:val="20"/>
          <w:b w:val="1"/>
          <w:bCs w:val="1"/>
          <w:color w:val="auto"/>
        </w:rPr>
        <w:t>This Note and said Note Agreement are governed by and construed in accordance with the law of Illinois (excluding any conflicts of law rules which would otherwise cause this note to be construed or enforced in accordance with the laws of any other jurisdiction), including all matters of construction, validity and performance.</w:t>
      </w:r>
    </w:p>
    <w:p>
      <w:pPr>
        <w:spacing w:after="0" w:line="122"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UFP I</w:t>
      </w:r>
      <w:r>
        <w:rPr>
          <w:rFonts w:ascii="Arial" w:cs="Arial" w:eastAsia="Arial" w:hAnsi="Arial"/>
          <w:sz w:val="13"/>
          <w:szCs w:val="13"/>
          <w:color w:val="auto"/>
        </w:rPr>
        <w:t>NDUSTRIES</w:t>
      </w:r>
      <w:r>
        <w:rPr>
          <w:rFonts w:ascii="Arial" w:cs="Arial" w:eastAsia="Arial" w:hAnsi="Arial"/>
          <w:sz w:val="20"/>
          <w:szCs w:val="20"/>
          <w:color w:val="auto"/>
        </w:rPr>
        <w:t>, I</w:t>
      </w:r>
      <w:r>
        <w:rPr>
          <w:rFonts w:ascii="Arial" w:cs="Arial" w:eastAsia="Arial" w:hAnsi="Arial"/>
          <w:sz w:val="13"/>
          <w:szCs w:val="13"/>
          <w:color w:val="auto"/>
        </w:rPr>
        <w:t>NC</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100"/>
        <w:spacing w:after="0"/>
        <w:rPr>
          <w:sz w:val="20"/>
          <w:szCs w:val="20"/>
          <w:color w:val="auto"/>
        </w:rPr>
      </w:pPr>
      <w:r>
        <w:rPr>
          <w:rFonts w:ascii="Arial" w:cs="Arial" w:eastAsia="Arial" w:hAnsi="Arial"/>
          <w:sz w:val="20"/>
          <w:szCs w:val="20"/>
          <w:color w:val="auto"/>
          <w:highlight w:val="white"/>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-31750</wp:posOffset>
            </wp:positionV>
            <wp:extent cx="278574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5">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jc w:val="center"/>
        <w:ind w:right="-14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5912485</wp:posOffset>
            </wp:positionV>
            <wp:extent cx="545211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6">
                      <a:extLst>
                        <a:ext uri="{28A0092B-C50C-407E-A947-70E740481C1C}"/>
                      </a:extLst>
                    </a:blip>
                    <a:srcRect/>
                    <a:stretch>
                      <a:fillRect/>
                    </a:stretch>
                  </pic:blipFill>
                  <pic:spPr bwMode="auto">
                    <a:xfrm>
                      <a:off x="0" y="0"/>
                      <a:ext cx="5452110" cy="25400"/>
                    </a:xfrm>
                    <a:prstGeom prst="rect">
                      <a:avLst/>
                    </a:prstGeom>
                    <a:noFill/>
                  </pic:spPr>
                </pic:pic>
              </a:graphicData>
            </a:graphic>
          </wp:anchor>
        </w:drawing>
        <w:drawing>
          <wp:anchor simplePos="0" relativeHeight="251657728" behindDoc="1" locked="0" layoutInCell="0" allowOverlap="1">
            <wp:simplePos x="0" y="0"/>
            <wp:positionH relativeFrom="column">
              <wp:posOffset>2602865</wp:posOffset>
            </wp:positionH>
            <wp:positionV relativeFrom="paragraph">
              <wp:posOffset>-139065</wp:posOffset>
            </wp:positionV>
            <wp:extent cx="2983230" cy="1454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7">
                      <a:extLst>
                        <a:ext uri="{28A0092B-C50C-407E-A947-70E740481C1C}"/>
                      </a:extLst>
                    </a:blip>
                    <a:srcRect/>
                    <a:stretch>
                      <a:fillRect/>
                    </a:stretch>
                  </pic:blipFill>
                  <pic:spPr bwMode="auto">
                    <a:xfrm>
                      <a:off x="0" y="0"/>
                      <a:ext cx="2983230" cy="145415"/>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39" w:name="page40"/>
    <w:bookmarkEnd w:id="39"/>
    <w:p>
      <w:pPr>
        <w:jc w:val="right"/>
        <w:ind w:right="219"/>
        <w:spacing w:after="0"/>
        <w:rPr>
          <w:sz w:val="20"/>
          <w:szCs w:val="20"/>
          <w:color w:val="auto"/>
        </w:rPr>
      </w:pPr>
      <w:r>
        <w:rPr>
          <w:rFonts w:ascii="Arial" w:cs="Arial" w:eastAsia="Arial" w:hAnsi="Arial"/>
          <w:sz w:val="20"/>
          <w:szCs w:val="20"/>
          <w:b w:val="1"/>
          <w:bCs w:val="1"/>
          <w:color w:val="auto"/>
        </w:rPr>
        <w:t>Exhibit 10(k)</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UFP INDUSTRIES, INC.</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3.08% SENIOR SERIES F NOTE DUE AUGUST 10, 2033</w:t>
      </w:r>
    </w:p>
    <w:p>
      <w:pPr>
        <w:spacing w:after="0" w:line="200" w:lineRule="exact"/>
        <w:rPr>
          <w:sz w:val="20"/>
          <w:szCs w:val="20"/>
          <w:color w:val="auto"/>
        </w:rPr>
      </w:pPr>
    </w:p>
    <w:p>
      <w:pPr>
        <w:spacing w:after="0" w:line="251" w:lineRule="exact"/>
        <w:rPr>
          <w:sz w:val="20"/>
          <w:szCs w:val="20"/>
          <w:color w:val="auto"/>
        </w:rPr>
      </w:pPr>
    </w:p>
    <w:p>
      <w:pPr>
        <w:ind w:left="200"/>
        <w:spacing w:after="0"/>
        <w:rPr>
          <w:sz w:val="20"/>
          <w:szCs w:val="20"/>
          <w:color w:val="auto"/>
        </w:rPr>
      </w:pPr>
      <w:r>
        <w:rPr>
          <w:rFonts w:ascii="Arial" w:cs="Arial" w:eastAsia="Arial" w:hAnsi="Arial"/>
          <w:sz w:val="20"/>
          <w:szCs w:val="20"/>
          <w:color w:val="auto"/>
        </w:rPr>
        <w:t>No. F-1</w:t>
      </w:r>
    </w:p>
    <w:p>
      <w:pPr>
        <w:spacing w:after="0" w:line="20" w:lineRule="exact"/>
        <w:rPr>
          <w:sz w:val="20"/>
          <w:szCs w:val="20"/>
          <w:color w:val="auto"/>
        </w:rPr>
      </w:pPr>
    </w:p>
    <w:p>
      <w:pPr>
        <w:ind w:left="200"/>
        <w:spacing w:after="0"/>
        <w:rPr>
          <w:sz w:val="20"/>
          <w:szCs w:val="20"/>
          <w:color w:val="auto"/>
        </w:rPr>
      </w:pPr>
      <w:r>
        <w:rPr>
          <w:rFonts w:ascii="Arial" w:cs="Arial" w:eastAsia="Arial" w:hAnsi="Arial"/>
          <w:sz w:val="20"/>
          <w:szCs w:val="20"/>
          <w:color w:val="auto"/>
        </w:rPr>
        <w:t>ORIGINAL PRINCIPAL AMOUNT: $1,600,000</w:t>
      </w:r>
    </w:p>
    <w:p>
      <w:pPr>
        <w:spacing w:after="0" w:line="13" w:lineRule="exact"/>
        <w:rPr>
          <w:sz w:val="20"/>
          <w:szCs w:val="20"/>
          <w:color w:val="auto"/>
        </w:rPr>
      </w:pPr>
    </w:p>
    <w:p>
      <w:pPr>
        <w:ind w:left="200"/>
        <w:spacing w:after="0"/>
        <w:rPr>
          <w:sz w:val="20"/>
          <w:szCs w:val="20"/>
          <w:color w:val="auto"/>
        </w:rPr>
      </w:pPr>
      <w:r>
        <w:rPr>
          <w:rFonts w:ascii="Arial" w:cs="Arial" w:eastAsia="Arial" w:hAnsi="Arial"/>
          <w:sz w:val="20"/>
          <w:szCs w:val="20"/>
          <w:color w:val="auto"/>
        </w:rPr>
        <w:t>ORIGINAL ISSUE DATE: August 10, 2020</w:t>
      </w:r>
    </w:p>
    <w:p>
      <w:pPr>
        <w:spacing w:after="0" w:line="13" w:lineRule="exact"/>
        <w:rPr>
          <w:sz w:val="20"/>
          <w:szCs w:val="20"/>
          <w:color w:val="auto"/>
        </w:rPr>
      </w:pPr>
    </w:p>
    <w:p>
      <w:pPr>
        <w:ind w:left="200"/>
        <w:spacing w:after="0"/>
        <w:rPr>
          <w:sz w:val="20"/>
          <w:szCs w:val="20"/>
          <w:color w:val="auto"/>
        </w:rPr>
      </w:pPr>
      <w:r>
        <w:rPr>
          <w:rFonts w:ascii="Arial" w:cs="Arial" w:eastAsia="Arial" w:hAnsi="Arial"/>
          <w:sz w:val="20"/>
          <w:szCs w:val="20"/>
          <w:color w:val="auto"/>
        </w:rPr>
        <w:t>INTEREST RATE: 3.08%</w:t>
      </w:r>
    </w:p>
    <w:p>
      <w:pPr>
        <w:spacing w:after="0" w:line="13" w:lineRule="exact"/>
        <w:rPr>
          <w:sz w:val="20"/>
          <w:szCs w:val="20"/>
          <w:color w:val="auto"/>
        </w:rPr>
      </w:pPr>
    </w:p>
    <w:p>
      <w:pPr>
        <w:ind w:left="200" w:right="579"/>
        <w:spacing w:after="0" w:line="253" w:lineRule="auto"/>
        <w:rPr>
          <w:sz w:val="20"/>
          <w:szCs w:val="20"/>
          <w:color w:val="auto"/>
        </w:rPr>
      </w:pPr>
      <w:r>
        <w:rPr>
          <w:rFonts w:ascii="Arial" w:cs="Arial" w:eastAsia="Arial" w:hAnsi="Arial"/>
          <w:sz w:val="20"/>
          <w:szCs w:val="20"/>
          <w:color w:val="auto"/>
        </w:rPr>
        <w:t>INTEREST PAYMENT DATES: Semi-annually, in arrears, on February 10 and August 10 of each year, commencing on February 10, 2021</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20"/>
          <w:szCs w:val="20"/>
          <w:color w:val="auto"/>
        </w:rPr>
        <w:t>FINAL MATURITY DATE: August 10, 2033</w:t>
      </w:r>
    </w:p>
    <w:p>
      <w:pPr>
        <w:spacing w:after="0" w:line="13" w:lineRule="exact"/>
        <w:rPr>
          <w:sz w:val="20"/>
          <w:szCs w:val="20"/>
          <w:color w:val="auto"/>
        </w:rPr>
      </w:pPr>
    </w:p>
    <w:p>
      <w:pPr>
        <w:ind w:left="200" w:right="1979"/>
        <w:spacing w:after="0" w:line="267" w:lineRule="auto"/>
        <w:rPr>
          <w:sz w:val="20"/>
          <w:szCs w:val="20"/>
          <w:color w:val="auto"/>
        </w:rPr>
      </w:pPr>
      <w:r>
        <w:rPr>
          <w:rFonts w:ascii="Arial" w:cs="Arial" w:eastAsia="Arial" w:hAnsi="Arial"/>
          <w:sz w:val="20"/>
          <w:szCs w:val="20"/>
          <w:color w:val="auto"/>
        </w:rPr>
        <w:t>PRINCIPAL PREPAYMENT DATES AND AMOUNTS: None, bullet due at maturity PPN 913543 D#8</w:t>
      </w:r>
    </w:p>
    <w:p>
      <w:pPr>
        <w:spacing w:after="0" w:line="115" w:lineRule="exact"/>
        <w:rPr>
          <w:sz w:val="20"/>
          <w:szCs w:val="20"/>
          <w:color w:val="auto"/>
        </w:rPr>
      </w:pPr>
    </w:p>
    <w:p>
      <w:pPr>
        <w:jc w:val="both"/>
        <w:ind w:left="200" w:right="219" w:firstLine="648"/>
        <w:spacing w:after="0" w:line="269" w:lineRule="auto"/>
        <w:rPr>
          <w:sz w:val="20"/>
          <w:szCs w:val="20"/>
          <w:color w:val="auto"/>
        </w:rPr>
      </w:pPr>
      <w:r>
        <w:rPr>
          <w:rFonts w:ascii="Arial" w:cs="Arial" w:eastAsia="Arial" w:hAnsi="Arial"/>
          <w:sz w:val="19"/>
          <w:szCs w:val="19"/>
          <w:color w:val="auto"/>
        </w:rPr>
        <w:t xml:space="preserve">FOR VALUE RECEIVED, the undersigned, UFP Industries, Inc. (f/k/a Universal Forest Products, Inc.), a Michigan corporation (herein called the “Company”), hereby promises to pay to </w:t>
      </w:r>
      <w:r>
        <w:rPr>
          <w:rFonts w:ascii="Arial" w:cs="Arial" w:eastAsia="Arial" w:hAnsi="Arial"/>
          <w:sz w:val="19"/>
          <w:szCs w:val="19"/>
          <w:b w:val="1"/>
          <w:bCs w:val="1"/>
          <w:color w:val="auto"/>
        </w:rPr>
        <w:t>P</w:t>
      </w:r>
      <w:r>
        <w:rPr>
          <w:rFonts w:ascii="Arial" w:cs="Arial" w:eastAsia="Arial" w:hAnsi="Arial"/>
          <w:sz w:val="12"/>
          <w:szCs w:val="12"/>
          <w:b w:val="1"/>
          <w:bCs w:val="1"/>
          <w:color w:val="auto"/>
        </w:rPr>
        <w:t>RUCO</w:t>
      </w:r>
      <w:r>
        <w:rPr>
          <w:rFonts w:ascii="Arial" w:cs="Arial" w:eastAsia="Arial" w:hAnsi="Arial"/>
          <w:sz w:val="19"/>
          <w:szCs w:val="19"/>
          <w:b w:val="1"/>
          <w:bCs w:val="1"/>
          <w:color w:val="auto"/>
        </w:rPr>
        <w:t xml:space="preserve"> L</w:t>
      </w:r>
      <w:r>
        <w:rPr>
          <w:rFonts w:ascii="Arial" w:cs="Arial" w:eastAsia="Arial" w:hAnsi="Arial"/>
          <w:sz w:val="12"/>
          <w:szCs w:val="12"/>
          <w:b w:val="1"/>
          <w:bCs w:val="1"/>
          <w:color w:val="auto"/>
        </w:rPr>
        <w:t>IFE</w:t>
      </w:r>
      <w:r>
        <w:rPr>
          <w:rFonts w:ascii="Arial" w:cs="Arial" w:eastAsia="Arial" w:hAnsi="Arial"/>
          <w:sz w:val="19"/>
          <w:szCs w:val="19"/>
          <w:b w:val="1"/>
          <w:bCs w:val="1"/>
          <w:color w:val="auto"/>
        </w:rPr>
        <w:t xml:space="preserve"> I</w:t>
      </w:r>
      <w:r>
        <w:rPr>
          <w:rFonts w:ascii="Arial" w:cs="Arial" w:eastAsia="Arial" w:hAnsi="Arial"/>
          <w:sz w:val="12"/>
          <w:szCs w:val="12"/>
          <w:b w:val="1"/>
          <w:bCs w:val="1"/>
          <w:color w:val="auto"/>
        </w:rPr>
        <w:t>NSURANCE</w:t>
      </w:r>
      <w:r>
        <w:rPr>
          <w:rFonts w:ascii="Arial" w:cs="Arial" w:eastAsia="Arial" w:hAnsi="Arial"/>
          <w:sz w:val="19"/>
          <w:szCs w:val="19"/>
          <w:b w:val="1"/>
          <w:bCs w:val="1"/>
          <w:color w:val="auto"/>
        </w:rPr>
        <w:t xml:space="preserve"> C</w:t>
      </w:r>
      <w:r>
        <w:rPr>
          <w:rFonts w:ascii="Arial" w:cs="Arial" w:eastAsia="Arial" w:hAnsi="Arial"/>
          <w:sz w:val="12"/>
          <w:szCs w:val="12"/>
          <w:b w:val="1"/>
          <w:bCs w:val="1"/>
          <w:color w:val="auto"/>
        </w:rPr>
        <w:t>OMPANY</w:t>
      </w:r>
      <w:r>
        <w:rPr>
          <w:rFonts w:ascii="Arial" w:cs="Arial" w:eastAsia="Arial" w:hAnsi="Arial"/>
          <w:sz w:val="19"/>
          <w:szCs w:val="19"/>
          <w:color w:val="auto"/>
        </w:rPr>
        <w:t>, or registered assigns, the principal sum of</w:t>
      </w:r>
      <w:r>
        <w:rPr>
          <w:rFonts w:ascii="Arial" w:cs="Arial" w:eastAsia="Arial" w:hAnsi="Arial"/>
          <w:sz w:val="19"/>
          <w:szCs w:val="19"/>
          <w:b w:val="1"/>
          <w:bCs w:val="1"/>
          <w:color w:val="auto"/>
        </w:rPr>
        <w:t xml:space="preserve"> O</w:t>
      </w:r>
      <w:r>
        <w:rPr>
          <w:rFonts w:ascii="Arial" w:cs="Arial" w:eastAsia="Arial" w:hAnsi="Arial"/>
          <w:sz w:val="12"/>
          <w:szCs w:val="12"/>
          <w:b w:val="1"/>
          <w:bCs w:val="1"/>
          <w:color w:val="auto"/>
        </w:rPr>
        <w:t>NE</w:t>
      </w:r>
      <w:r>
        <w:rPr>
          <w:rFonts w:ascii="Arial" w:cs="Arial" w:eastAsia="Arial" w:hAnsi="Arial"/>
          <w:sz w:val="19"/>
          <w:szCs w:val="19"/>
          <w:b w:val="1"/>
          <w:bCs w:val="1"/>
          <w:color w:val="auto"/>
        </w:rPr>
        <w:t xml:space="preserve"> M</w:t>
      </w:r>
      <w:r>
        <w:rPr>
          <w:rFonts w:ascii="Arial" w:cs="Arial" w:eastAsia="Arial" w:hAnsi="Arial"/>
          <w:sz w:val="12"/>
          <w:szCs w:val="12"/>
          <w:b w:val="1"/>
          <w:bCs w:val="1"/>
          <w:color w:val="auto"/>
        </w:rPr>
        <w:t>ILLION</w:t>
      </w:r>
      <w:r>
        <w:rPr>
          <w:rFonts w:ascii="Arial" w:cs="Arial" w:eastAsia="Arial" w:hAnsi="Arial"/>
          <w:sz w:val="19"/>
          <w:szCs w:val="19"/>
          <w:b w:val="1"/>
          <w:bCs w:val="1"/>
          <w:color w:val="auto"/>
        </w:rPr>
        <w:t xml:space="preserve"> S</w:t>
      </w:r>
      <w:r>
        <w:rPr>
          <w:rFonts w:ascii="Arial" w:cs="Arial" w:eastAsia="Arial" w:hAnsi="Arial"/>
          <w:sz w:val="12"/>
          <w:szCs w:val="12"/>
          <w:b w:val="1"/>
          <w:bCs w:val="1"/>
          <w:color w:val="auto"/>
        </w:rPr>
        <w:t>IX</w:t>
      </w:r>
      <w:r>
        <w:rPr>
          <w:rFonts w:ascii="Arial" w:cs="Arial" w:eastAsia="Arial" w:hAnsi="Arial"/>
          <w:sz w:val="19"/>
          <w:szCs w:val="19"/>
          <w:b w:val="1"/>
          <w:bCs w:val="1"/>
          <w:color w:val="auto"/>
        </w:rPr>
        <w:t xml:space="preserve"> H</w:t>
      </w:r>
      <w:r>
        <w:rPr>
          <w:rFonts w:ascii="Arial" w:cs="Arial" w:eastAsia="Arial" w:hAnsi="Arial"/>
          <w:sz w:val="12"/>
          <w:szCs w:val="12"/>
          <w:b w:val="1"/>
          <w:bCs w:val="1"/>
          <w:color w:val="auto"/>
        </w:rPr>
        <w:t>UNDRED</w:t>
      </w:r>
      <w:r>
        <w:rPr>
          <w:rFonts w:ascii="Arial" w:cs="Arial" w:eastAsia="Arial" w:hAnsi="Arial"/>
          <w:sz w:val="19"/>
          <w:szCs w:val="19"/>
          <w:b w:val="1"/>
          <w:bCs w:val="1"/>
          <w:color w:val="auto"/>
        </w:rPr>
        <w:t xml:space="preserve"> T</w:t>
      </w:r>
      <w:r>
        <w:rPr>
          <w:rFonts w:ascii="Arial" w:cs="Arial" w:eastAsia="Arial" w:hAnsi="Arial"/>
          <w:sz w:val="12"/>
          <w:szCs w:val="12"/>
          <w:b w:val="1"/>
          <w:bCs w:val="1"/>
          <w:color w:val="auto"/>
        </w:rPr>
        <w:t>HOUSAND</w:t>
      </w:r>
      <w:r>
        <w:rPr>
          <w:rFonts w:ascii="Arial" w:cs="Arial" w:eastAsia="Arial" w:hAnsi="Arial"/>
          <w:sz w:val="19"/>
          <w:szCs w:val="19"/>
          <w:b w:val="1"/>
          <w:bCs w:val="1"/>
          <w:color w:val="auto"/>
        </w:rPr>
        <w:t xml:space="preserve"> D</w:t>
      </w:r>
      <w:r>
        <w:rPr>
          <w:rFonts w:ascii="Arial" w:cs="Arial" w:eastAsia="Arial" w:hAnsi="Arial"/>
          <w:sz w:val="12"/>
          <w:szCs w:val="12"/>
          <w:b w:val="1"/>
          <w:bCs w:val="1"/>
          <w:color w:val="auto"/>
        </w:rPr>
        <w:t>OLLARS</w:t>
      </w:r>
      <w:r>
        <w:rPr>
          <w:rFonts w:ascii="Arial" w:cs="Arial" w:eastAsia="Arial" w:hAnsi="Arial"/>
          <w:sz w:val="19"/>
          <w:szCs w:val="19"/>
          <w:b w:val="1"/>
          <w:bCs w:val="1"/>
          <w:color w:val="auto"/>
        </w:rPr>
        <w:t xml:space="preserve"> </w:t>
      </w:r>
      <w:r>
        <w:rPr>
          <w:rFonts w:ascii="Arial" w:cs="Arial" w:eastAsia="Arial" w:hAnsi="Arial"/>
          <w:sz w:val="19"/>
          <w:szCs w:val="19"/>
          <w:color w:val="auto"/>
        </w:rPr>
        <w:t>on the Final Maturity Date specified above, with interest (computed on the basis of a</w:t>
      </w:r>
      <w:r>
        <w:rPr>
          <w:rFonts w:ascii="Arial" w:cs="Arial" w:eastAsia="Arial" w:hAnsi="Arial"/>
          <w:sz w:val="19"/>
          <w:szCs w:val="19"/>
          <w:b w:val="1"/>
          <w:bCs w:val="1"/>
          <w:color w:val="auto"/>
        </w:rPr>
        <w:t xml:space="preserve"> </w:t>
      </w:r>
      <w:r>
        <w:rPr>
          <w:rFonts w:ascii="Arial" w:cs="Arial" w:eastAsia="Arial" w:hAnsi="Arial"/>
          <w:sz w:val="19"/>
          <w:szCs w:val="19"/>
          <w:color w:val="auto"/>
        </w:rPr>
        <w:t>360-day year—30-day month) on the unpaid balance thereof at the Interest Rate per annum specified above from the date hereof, payable on each Interest Payment Date specified above and on the Final Maturity Date specified above, commencing with the Interest Payment Date next succeeding the date hereof. The Company agrees to pay interest on overdue principal (including any overdue optional prepayment of principal) and premium, if any, and (to the extent legally enforceable) on any overdue installment of interest, at the Overdue Rate after the due date, whether by acceleration or otherwise, until paid. “Overdue Rate” shall mean the lesser of (a) the maximum interest rate permitted by law, and (b) the greater of (ii) the Interest Rate specified above plus 2.00% per annum or (b) the rate of interest publicly announced by JPMorgan Chase Bank, National Association, from time to time in New York City as its Prime Rate plus 2.00% per annum.</w:t>
      </w:r>
    </w:p>
    <w:p>
      <w:pPr>
        <w:spacing w:after="0" w:line="109" w:lineRule="exact"/>
        <w:rPr>
          <w:sz w:val="20"/>
          <w:szCs w:val="20"/>
          <w:color w:val="auto"/>
        </w:rPr>
      </w:pPr>
    </w:p>
    <w:p>
      <w:pPr>
        <w:jc w:val="both"/>
        <w:ind w:left="200" w:right="219" w:firstLine="648"/>
        <w:spacing w:after="0" w:line="286" w:lineRule="auto"/>
        <w:rPr>
          <w:sz w:val="20"/>
          <w:szCs w:val="20"/>
          <w:color w:val="auto"/>
        </w:rPr>
      </w:pPr>
      <w:r>
        <w:rPr>
          <w:rFonts w:ascii="Arial" w:cs="Arial" w:eastAsia="Arial" w:hAnsi="Arial"/>
          <w:sz w:val="18"/>
          <w:szCs w:val="18"/>
          <w:color w:val="auto"/>
        </w:rPr>
        <w:t xml:space="preserve">Both the principal hereof and interest hereon are payable at the principal office of the Company in Grand Rapids, Michigan in coin or currency of the United States of America which at the time of payment shall be legal tender for the payment of public and private debts. If any amount of principal, premium, if any, or interest on or in respect of this Note becomes due and payable on any date which is not a Business Day, such amount shall be payable on the immediately succeeding Business Day without including the additional days elapsed in the computation of the interest payable on such next succeeding Business Day;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if the maturity date of this Note is a date other than a Business Day, the payment otherwise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due on such maturity date shall be made on the next succeeding Business Day and shall include the additional days elapsed in the computation of interest payable on such next succeeding Business Day. </w:t>
      </w:r>
      <w:r>
        <w:rPr>
          <w:rFonts w:ascii="Arial" w:cs="Arial" w:eastAsia="Arial" w:hAnsi="Arial"/>
          <w:sz w:val="18"/>
          <w:szCs w:val="18"/>
          <w:i w:val="1"/>
          <w:iCs w:val="1"/>
          <w:color w:val="auto"/>
        </w:rPr>
        <w:t xml:space="preserve">“Business Day” </w:t>
      </w:r>
      <w:r>
        <w:rPr>
          <w:rFonts w:ascii="Arial" w:cs="Arial" w:eastAsia="Arial" w:hAnsi="Arial"/>
          <w:sz w:val="18"/>
          <w:szCs w:val="18"/>
          <w:color w:val="auto"/>
        </w:rPr>
        <w:t>means any day other than a Saturday, Sunday or other day on which banks in either Grand</w:t>
      </w:r>
      <w:r>
        <w:rPr>
          <w:rFonts w:ascii="Arial" w:cs="Arial" w:eastAsia="Arial" w:hAnsi="Arial"/>
          <w:sz w:val="18"/>
          <w:szCs w:val="18"/>
          <w:i w:val="1"/>
          <w:iCs w:val="1"/>
          <w:color w:val="auto"/>
        </w:rPr>
        <w:t xml:space="preserve"> </w:t>
      </w:r>
      <w:r>
        <w:rPr>
          <w:rFonts w:ascii="Arial" w:cs="Arial" w:eastAsia="Arial" w:hAnsi="Arial"/>
          <w:sz w:val="18"/>
          <w:szCs w:val="18"/>
          <w:color w:val="auto"/>
        </w:rPr>
        <w:t>Rapids, Michigan or New York, New York are required by law to close or are customarily closed.</w:t>
      </w:r>
    </w:p>
    <w:p>
      <w:pPr>
        <w:spacing w:after="0" w:line="108" w:lineRule="exact"/>
        <w:rPr>
          <w:sz w:val="20"/>
          <w:szCs w:val="20"/>
          <w:color w:val="auto"/>
        </w:rPr>
      </w:pPr>
    </w:p>
    <w:p>
      <w:pPr>
        <w:jc w:val="both"/>
        <w:ind w:left="200" w:right="219" w:firstLine="648"/>
        <w:spacing w:after="0" w:line="291" w:lineRule="auto"/>
        <w:rPr>
          <w:sz w:val="20"/>
          <w:szCs w:val="20"/>
          <w:color w:val="auto"/>
        </w:rPr>
      </w:pPr>
      <w:r>
        <w:rPr>
          <w:rFonts w:ascii="Arial" w:cs="Arial" w:eastAsia="Arial" w:hAnsi="Arial"/>
          <w:sz w:val="18"/>
          <w:szCs w:val="18"/>
          <w:color w:val="auto"/>
        </w:rPr>
        <w:t>This Note is one of the 3.08% Series F Senior Notes, due August 10, 2033 of the Company in the original aggregate principal amount of $50,000,000, which, together with the 3.89% Series A Senior Notes, due December 17, 2022, of the Company in the original aggregate principal amount of $35,000,000, the 3.98% Series B Senior Notes, due December 17, 2024, of the Company in the original aggregate principal amount of $40,000,000, and any other Shelf Notes (as defined in the Note Agreement hereafter mentioned), are issued or to be issued under and pursuant to the terms and provisions of the Note Purchase and Private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460375</wp:posOffset>
            </wp:positionV>
            <wp:extent cx="545211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40" w:name="page41"/>
    <w:bookmarkEnd w:id="40"/>
    <w:p>
      <w:pPr>
        <w:jc w:val="right"/>
        <w:ind w:right="219"/>
        <w:spacing w:after="0"/>
        <w:rPr>
          <w:sz w:val="20"/>
          <w:szCs w:val="20"/>
          <w:color w:val="auto"/>
        </w:rPr>
      </w:pPr>
      <w:r>
        <w:rPr>
          <w:rFonts w:ascii="Arial" w:cs="Arial" w:eastAsia="Arial" w:hAnsi="Arial"/>
          <w:sz w:val="20"/>
          <w:szCs w:val="20"/>
          <w:b w:val="1"/>
          <w:bCs w:val="1"/>
          <w:color w:val="auto"/>
        </w:rPr>
        <w:t>Exhibit 10(k)</w:t>
      </w:r>
    </w:p>
    <w:p>
      <w:pPr>
        <w:spacing w:after="0" w:line="200" w:lineRule="exact"/>
        <w:rPr>
          <w:sz w:val="20"/>
          <w:szCs w:val="20"/>
          <w:color w:val="auto"/>
        </w:rPr>
      </w:pPr>
    </w:p>
    <w:p>
      <w:pPr>
        <w:spacing w:after="0" w:line="238" w:lineRule="exact"/>
        <w:rPr>
          <w:sz w:val="20"/>
          <w:szCs w:val="20"/>
          <w:color w:val="auto"/>
        </w:rPr>
      </w:pPr>
    </w:p>
    <w:p>
      <w:pPr>
        <w:jc w:val="both"/>
        <w:ind w:left="200" w:right="219"/>
        <w:spacing w:after="0" w:line="273" w:lineRule="auto"/>
        <w:rPr>
          <w:sz w:val="20"/>
          <w:szCs w:val="20"/>
          <w:color w:val="auto"/>
        </w:rPr>
      </w:pPr>
      <w:r>
        <w:rPr>
          <w:rFonts w:ascii="Arial" w:cs="Arial" w:eastAsia="Arial" w:hAnsi="Arial"/>
          <w:sz w:val="19"/>
          <w:szCs w:val="19"/>
          <w:color w:val="auto"/>
        </w:rPr>
        <w:t xml:space="preserve">Shelf Agreement, dated as of December 17, 2012 (the </w:t>
      </w:r>
      <w:r>
        <w:rPr>
          <w:rFonts w:ascii="Arial" w:cs="Arial" w:eastAsia="Arial" w:hAnsi="Arial"/>
          <w:sz w:val="19"/>
          <w:szCs w:val="19"/>
          <w:i w:val="1"/>
          <w:iCs w:val="1"/>
          <w:color w:val="auto"/>
        </w:rPr>
        <w:t>“Note Agreement”</w:t>
      </w:r>
      <w:r>
        <w:rPr>
          <w:rFonts w:ascii="Arial" w:cs="Arial" w:eastAsia="Arial" w:hAnsi="Arial"/>
          <w:sz w:val="19"/>
          <w:szCs w:val="19"/>
          <w:color w:val="auto"/>
        </w:rPr>
        <w:t>), between the Company, on the one hand, and PGIM, Inc. , the Initial Purchasers named in the Purchaser Schedule attached thereto and each Prudential Affiliate which becomes party thereto, on the other hand, and the holder hereof is entitled equally and ratably with the holders of all other Notes outstanding under the Note Agreement to all the benefits provided for thereby or referred to therein. Reference is hereby made to the Note Agreement for a statement of such rights and benefits.</w:t>
      </w:r>
    </w:p>
    <w:p>
      <w:pPr>
        <w:spacing w:after="0" w:line="115" w:lineRule="exact"/>
        <w:rPr>
          <w:sz w:val="20"/>
          <w:szCs w:val="20"/>
          <w:color w:val="auto"/>
        </w:rPr>
      </w:pPr>
    </w:p>
    <w:p>
      <w:pPr>
        <w:jc w:val="both"/>
        <w:ind w:left="200" w:right="239" w:firstLine="648"/>
        <w:spacing w:after="0" w:line="284" w:lineRule="auto"/>
        <w:rPr>
          <w:sz w:val="20"/>
          <w:szCs w:val="20"/>
          <w:color w:val="auto"/>
        </w:rPr>
      </w:pPr>
      <w:r>
        <w:rPr>
          <w:rFonts w:ascii="Arial" w:cs="Arial" w:eastAsia="Arial" w:hAnsi="Arial"/>
          <w:sz w:val="19"/>
          <w:szCs w:val="19"/>
          <w:color w:val="auto"/>
        </w:rPr>
        <w:t>This Note and the other Notes outstanding under the Note Agreement may be declared due prior to their expressed maturity dates and certain prepayments are required to be made thereon, all in the events, on the terms and in the manner and amounts as provided in the Note Agreements.</w:t>
      </w:r>
    </w:p>
    <w:p>
      <w:pPr>
        <w:spacing w:after="0" w:line="88" w:lineRule="exact"/>
        <w:rPr>
          <w:sz w:val="20"/>
          <w:szCs w:val="20"/>
          <w:color w:val="auto"/>
        </w:rPr>
      </w:pPr>
    </w:p>
    <w:p>
      <w:pPr>
        <w:jc w:val="both"/>
        <w:ind w:left="200" w:right="219" w:firstLine="648"/>
        <w:spacing w:after="0" w:line="264" w:lineRule="auto"/>
        <w:rPr>
          <w:sz w:val="20"/>
          <w:szCs w:val="20"/>
          <w:color w:val="auto"/>
        </w:rPr>
      </w:pPr>
      <w:r>
        <w:rPr>
          <w:rFonts w:ascii="Arial" w:cs="Arial" w:eastAsia="Arial" w:hAnsi="Arial"/>
          <w:sz w:val="20"/>
          <w:szCs w:val="20"/>
          <w:color w:val="auto"/>
        </w:rPr>
        <w:t>The Notes are not subject to prepayment or redemption at the option of the Company prior to their expressed maturity dates except on the terms and conditions and in the amounts and with the premium, if any, set forth in the Note Agreement.</w:t>
      </w:r>
    </w:p>
    <w:p>
      <w:pPr>
        <w:spacing w:after="0" w:line="119" w:lineRule="exact"/>
        <w:rPr>
          <w:sz w:val="20"/>
          <w:szCs w:val="20"/>
          <w:color w:val="auto"/>
        </w:rPr>
      </w:pPr>
    </w:p>
    <w:p>
      <w:pPr>
        <w:jc w:val="both"/>
        <w:ind w:left="200" w:right="219" w:firstLine="648"/>
        <w:spacing w:after="0" w:line="258" w:lineRule="auto"/>
        <w:rPr>
          <w:sz w:val="20"/>
          <w:szCs w:val="20"/>
          <w:color w:val="auto"/>
        </w:rPr>
      </w:pPr>
      <w:r>
        <w:rPr>
          <w:rFonts w:ascii="Arial" w:cs="Arial" w:eastAsia="Arial" w:hAnsi="Arial"/>
          <w:sz w:val="20"/>
          <w:szCs w:val="20"/>
          <w:color w:val="auto"/>
        </w:rPr>
        <w:t>This Note is registered on the books of the Company and is transferable only by surrender thereof at the principal office of the Company duly endorsed or accompanied by a written instrument of transfer duly executed by the registered holder of this Note or its attorney duly authorized in writing. Payment of or on account of principal, premium, if any, and interest on this Note shall be made only to or upon the order in writing of the registered holder.</w:t>
      </w:r>
    </w:p>
    <w:p>
      <w:pPr>
        <w:spacing w:after="0" w:line="127" w:lineRule="exact"/>
        <w:rPr>
          <w:sz w:val="20"/>
          <w:szCs w:val="20"/>
          <w:color w:val="auto"/>
        </w:rPr>
      </w:pPr>
    </w:p>
    <w:p>
      <w:pPr>
        <w:ind w:left="38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follows</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833120</wp:posOffset>
            </wp:positionV>
            <wp:extent cx="545211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41" w:name="page42"/>
    <w:bookmarkEnd w:id="41"/>
    <w:p>
      <w:pPr>
        <w:jc w:val="right"/>
        <w:ind w:right="219"/>
        <w:spacing w:after="0"/>
        <w:rPr>
          <w:sz w:val="20"/>
          <w:szCs w:val="20"/>
          <w:color w:val="auto"/>
        </w:rPr>
      </w:pPr>
      <w:r>
        <w:rPr>
          <w:rFonts w:ascii="Arial" w:cs="Arial" w:eastAsia="Arial" w:hAnsi="Arial"/>
          <w:sz w:val="20"/>
          <w:szCs w:val="20"/>
          <w:b w:val="1"/>
          <w:bCs w:val="1"/>
          <w:color w:val="auto"/>
        </w:rPr>
        <w:t>Exhibit 10(k)</w:t>
      </w:r>
    </w:p>
    <w:p>
      <w:pPr>
        <w:spacing w:after="0" w:line="200" w:lineRule="exact"/>
        <w:rPr>
          <w:sz w:val="20"/>
          <w:szCs w:val="20"/>
          <w:color w:val="auto"/>
        </w:rPr>
      </w:pPr>
    </w:p>
    <w:p>
      <w:pPr>
        <w:spacing w:after="0" w:line="232" w:lineRule="exact"/>
        <w:rPr>
          <w:sz w:val="20"/>
          <w:szCs w:val="20"/>
          <w:color w:val="auto"/>
        </w:rPr>
      </w:pPr>
    </w:p>
    <w:p>
      <w:pPr>
        <w:jc w:val="both"/>
        <w:ind w:left="200" w:right="219" w:firstLine="648"/>
        <w:spacing w:after="0" w:line="262" w:lineRule="auto"/>
        <w:rPr>
          <w:sz w:val="20"/>
          <w:szCs w:val="20"/>
          <w:color w:val="auto"/>
        </w:rPr>
      </w:pPr>
      <w:r>
        <w:rPr>
          <w:rFonts w:ascii="Arial" w:cs="Arial" w:eastAsia="Arial" w:hAnsi="Arial"/>
          <w:sz w:val="20"/>
          <w:szCs w:val="20"/>
          <w:b w:val="1"/>
          <w:bCs w:val="1"/>
          <w:color w:val="auto"/>
        </w:rPr>
        <w:t>This Note and said Note Agreement are governed by and construed in accordance with the law of Illinois (excluding any conflicts of law rules which would otherwise cause this note to be construed or enforced in accordance with the laws of any other jurisdiction), including all matters of construction, validity and performance.</w:t>
      </w:r>
    </w:p>
    <w:p>
      <w:pPr>
        <w:spacing w:after="0" w:line="122"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UFP I</w:t>
      </w:r>
      <w:r>
        <w:rPr>
          <w:rFonts w:ascii="Arial" w:cs="Arial" w:eastAsia="Arial" w:hAnsi="Arial"/>
          <w:sz w:val="13"/>
          <w:szCs w:val="13"/>
          <w:color w:val="auto"/>
        </w:rPr>
        <w:t>NDUSTRIES</w:t>
      </w:r>
      <w:r>
        <w:rPr>
          <w:rFonts w:ascii="Arial" w:cs="Arial" w:eastAsia="Arial" w:hAnsi="Arial"/>
          <w:sz w:val="20"/>
          <w:szCs w:val="20"/>
          <w:color w:val="auto"/>
        </w:rPr>
        <w:t>, I</w:t>
      </w:r>
      <w:r>
        <w:rPr>
          <w:rFonts w:ascii="Arial" w:cs="Arial" w:eastAsia="Arial" w:hAnsi="Arial"/>
          <w:sz w:val="13"/>
          <w:szCs w:val="13"/>
          <w:color w:val="auto"/>
        </w:rPr>
        <w:t>NC</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100"/>
        <w:spacing w:after="0"/>
        <w:rPr>
          <w:sz w:val="20"/>
          <w:szCs w:val="20"/>
          <w:color w:val="auto"/>
        </w:rPr>
      </w:pPr>
      <w:r>
        <w:rPr>
          <w:rFonts w:ascii="Arial" w:cs="Arial" w:eastAsia="Arial" w:hAnsi="Arial"/>
          <w:sz w:val="20"/>
          <w:szCs w:val="20"/>
          <w:color w:val="auto"/>
          <w:highlight w:val="white"/>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-31750</wp:posOffset>
            </wp:positionV>
            <wp:extent cx="278574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0">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jc w:val="center"/>
        <w:ind w:right="-14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768985</wp:posOffset>
            </wp:positionV>
            <wp:extent cx="545211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1">
                      <a:extLst>
                        <a:ext uri="{28A0092B-C50C-407E-A947-70E740481C1C}"/>
                      </a:extLst>
                    </a:blip>
                    <a:srcRect/>
                    <a:stretch>
                      <a:fillRect/>
                    </a:stretch>
                  </pic:blipFill>
                  <pic:spPr bwMode="auto">
                    <a:xfrm>
                      <a:off x="0" y="0"/>
                      <a:ext cx="5452110" cy="17145"/>
                    </a:xfrm>
                    <a:prstGeom prst="rect">
                      <a:avLst/>
                    </a:prstGeom>
                    <a:noFill/>
                  </pic:spPr>
                </pic:pic>
              </a:graphicData>
            </a:graphic>
          </wp:anchor>
        </w:drawing>
        <w:drawing>
          <wp:anchor simplePos="0" relativeHeight="251657728" behindDoc="1" locked="0" layoutInCell="0" allowOverlap="1">
            <wp:simplePos x="0" y="0"/>
            <wp:positionH relativeFrom="column">
              <wp:posOffset>2602865</wp:posOffset>
            </wp:positionH>
            <wp:positionV relativeFrom="paragraph">
              <wp:posOffset>-139065</wp:posOffset>
            </wp:positionV>
            <wp:extent cx="2983230" cy="1454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2">
                      <a:extLst>
                        <a:ext uri="{28A0092B-C50C-407E-A947-70E740481C1C}"/>
                      </a:extLst>
                    </a:blip>
                    <a:srcRect/>
                    <a:stretch>
                      <a:fillRect/>
                    </a:stretch>
                  </pic:blipFill>
                  <pic:spPr bwMode="auto">
                    <a:xfrm>
                      <a:off x="0" y="0"/>
                      <a:ext cx="2983230" cy="145415"/>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42" w:name="page43"/>
    <w:bookmarkEnd w:id="42"/>
    <w:p>
      <w:pPr>
        <w:jc w:val="right"/>
        <w:ind w:right="219"/>
        <w:spacing w:after="0"/>
        <w:rPr>
          <w:sz w:val="20"/>
          <w:szCs w:val="20"/>
          <w:color w:val="auto"/>
        </w:rPr>
      </w:pPr>
      <w:r>
        <w:rPr>
          <w:rFonts w:ascii="Arial" w:cs="Arial" w:eastAsia="Arial" w:hAnsi="Arial"/>
          <w:sz w:val="20"/>
          <w:szCs w:val="20"/>
          <w:b w:val="1"/>
          <w:bCs w:val="1"/>
          <w:color w:val="auto"/>
        </w:rPr>
        <w:t>Exhibit 10(k)</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UFP INDUSTRIES, INC.</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3.08% SENIOR SERIES F NOTE DUE AUGUST 10, 2033</w:t>
      </w:r>
    </w:p>
    <w:p>
      <w:pPr>
        <w:spacing w:after="0" w:line="200" w:lineRule="exact"/>
        <w:rPr>
          <w:sz w:val="20"/>
          <w:szCs w:val="20"/>
          <w:color w:val="auto"/>
        </w:rPr>
      </w:pPr>
    </w:p>
    <w:p>
      <w:pPr>
        <w:spacing w:after="0" w:line="251" w:lineRule="exact"/>
        <w:rPr>
          <w:sz w:val="20"/>
          <w:szCs w:val="20"/>
          <w:color w:val="auto"/>
        </w:rPr>
      </w:pPr>
    </w:p>
    <w:p>
      <w:pPr>
        <w:ind w:left="200"/>
        <w:spacing w:after="0"/>
        <w:rPr>
          <w:sz w:val="20"/>
          <w:szCs w:val="20"/>
          <w:color w:val="auto"/>
        </w:rPr>
      </w:pPr>
      <w:r>
        <w:rPr>
          <w:rFonts w:ascii="Arial" w:cs="Arial" w:eastAsia="Arial" w:hAnsi="Arial"/>
          <w:sz w:val="20"/>
          <w:szCs w:val="20"/>
          <w:color w:val="auto"/>
        </w:rPr>
        <w:t>No. F-2</w:t>
      </w:r>
    </w:p>
    <w:p>
      <w:pPr>
        <w:spacing w:after="0" w:line="20" w:lineRule="exact"/>
        <w:rPr>
          <w:sz w:val="20"/>
          <w:szCs w:val="20"/>
          <w:color w:val="auto"/>
        </w:rPr>
      </w:pPr>
    </w:p>
    <w:p>
      <w:pPr>
        <w:ind w:left="200"/>
        <w:spacing w:after="0"/>
        <w:rPr>
          <w:sz w:val="20"/>
          <w:szCs w:val="20"/>
          <w:color w:val="auto"/>
        </w:rPr>
      </w:pPr>
      <w:r>
        <w:rPr>
          <w:rFonts w:ascii="Arial" w:cs="Arial" w:eastAsia="Arial" w:hAnsi="Arial"/>
          <w:sz w:val="20"/>
          <w:szCs w:val="20"/>
          <w:color w:val="auto"/>
        </w:rPr>
        <w:t>ORIGINAL PRINCIPAL AMOUNT: $43,400,000</w:t>
      </w:r>
    </w:p>
    <w:p>
      <w:pPr>
        <w:spacing w:after="0" w:line="13" w:lineRule="exact"/>
        <w:rPr>
          <w:sz w:val="20"/>
          <w:szCs w:val="20"/>
          <w:color w:val="auto"/>
        </w:rPr>
      </w:pPr>
    </w:p>
    <w:p>
      <w:pPr>
        <w:ind w:left="200"/>
        <w:spacing w:after="0"/>
        <w:rPr>
          <w:sz w:val="20"/>
          <w:szCs w:val="20"/>
          <w:color w:val="auto"/>
        </w:rPr>
      </w:pPr>
      <w:r>
        <w:rPr>
          <w:rFonts w:ascii="Arial" w:cs="Arial" w:eastAsia="Arial" w:hAnsi="Arial"/>
          <w:sz w:val="20"/>
          <w:szCs w:val="20"/>
          <w:color w:val="auto"/>
        </w:rPr>
        <w:t>ORIGINAL ISSUE DATE: August 10, 2020</w:t>
      </w:r>
    </w:p>
    <w:p>
      <w:pPr>
        <w:spacing w:after="0" w:line="13" w:lineRule="exact"/>
        <w:rPr>
          <w:sz w:val="20"/>
          <w:szCs w:val="20"/>
          <w:color w:val="auto"/>
        </w:rPr>
      </w:pPr>
    </w:p>
    <w:p>
      <w:pPr>
        <w:ind w:left="200"/>
        <w:spacing w:after="0"/>
        <w:rPr>
          <w:sz w:val="20"/>
          <w:szCs w:val="20"/>
          <w:color w:val="auto"/>
        </w:rPr>
      </w:pPr>
      <w:r>
        <w:rPr>
          <w:rFonts w:ascii="Arial" w:cs="Arial" w:eastAsia="Arial" w:hAnsi="Arial"/>
          <w:sz w:val="20"/>
          <w:szCs w:val="20"/>
          <w:color w:val="auto"/>
        </w:rPr>
        <w:t>INTEREST RATE: 3.08%</w:t>
      </w:r>
    </w:p>
    <w:p>
      <w:pPr>
        <w:spacing w:after="0" w:line="13" w:lineRule="exact"/>
        <w:rPr>
          <w:sz w:val="20"/>
          <w:szCs w:val="20"/>
          <w:color w:val="auto"/>
        </w:rPr>
      </w:pPr>
    </w:p>
    <w:p>
      <w:pPr>
        <w:ind w:left="200" w:right="579"/>
        <w:spacing w:after="0" w:line="253" w:lineRule="auto"/>
        <w:rPr>
          <w:sz w:val="20"/>
          <w:szCs w:val="20"/>
          <w:color w:val="auto"/>
        </w:rPr>
      </w:pPr>
      <w:r>
        <w:rPr>
          <w:rFonts w:ascii="Arial" w:cs="Arial" w:eastAsia="Arial" w:hAnsi="Arial"/>
          <w:sz w:val="20"/>
          <w:szCs w:val="20"/>
          <w:color w:val="auto"/>
        </w:rPr>
        <w:t>INTEREST PAYMENT DATES: Semi-annually, in arrears, on February 10 and August 10 of each year, commencing on February 10, 2021</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20"/>
          <w:szCs w:val="20"/>
          <w:color w:val="auto"/>
        </w:rPr>
        <w:t>FINAL MATURITY DATE: August 10, 2033</w:t>
      </w:r>
    </w:p>
    <w:p>
      <w:pPr>
        <w:spacing w:after="0" w:line="13" w:lineRule="exact"/>
        <w:rPr>
          <w:sz w:val="20"/>
          <w:szCs w:val="20"/>
          <w:color w:val="auto"/>
        </w:rPr>
      </w:pPr>
    </w:p>
    <w:p>
      <w:pPr>
        <w:ind w:left="200" w:right="1979"/>
        <w:spacing w:after="0" w:line="267" w:lineRule="auto"/>
        <w:rPr>
          <w:sz w:val="20"/>
          <w:szCs w:val="20"/>
          <w:color w:val="auto"/>
        </w:rPr>
      </w:pPr>
      <w:r>
        <w:rPr>
          <w:rFonts w:ascii="Arial" w:cs="Arial" w:eastAsia="Arial" w:hAnsi="Arial"/>
          <w:sz w:val="20"/>
          <w:szCs w:val="20"/>
          <w:color w:val="auto"/>
        </w:rPr>
        <w:t>PRINCIPAL PREPAYMENT DATES AND AMOUNTS: None, bullet due at maturity PPN 913543 D#8</w:t>
      </w:r>
    </w:p>
    <w:p>
      <w:pPr>
        <w:spacing w:after="0" w:line="115" w:lineRule="exact"/>
        <w:rPr>
          <w:sz w:val="20"/>
          <w:szCs w:val="20"/>
          <w:color w:val="auto"/>
        </w:rPr>
      </w:pPr>
    </w:p>
    <w:p>
      <w:pPr>
        <w:jc w:val="both"/>
        <w:ind w:left="200" w:right="219" w:firstLine="648"/>
        <w:spacing w:after="0" w:line="270" w:lineRule="auto"/>
        <w:rPr>
          <w:sz w:val="20"/>
          <w:szCs w:val="20"/>
          <w:color w:val="auto"/>
        </w:rPr>
      </w:pPr>
      <w:r>
        <w:rPr>
          <w:rFonts w:ascii="Arial" w:cs="Arial" w:eastAsia="Arial" w:hAnsi="Arial"/>
          <w:sz w:val="19"/>
          <w:szCs w:val="19"/>
          <w:color w:val="auto"/>
        </w:rPr>
        <w:t xml:space="preserve">FOR VALUE RECEIVED, the undersigned, UFP Industries, Inc. (f/k/a Universal Forest Products, Inc.), a Michigan corporation (herein called the “Company”), hereby promises to pay to </w:t>
      </w:r>
      <w:r>
        <w:rPr>
          <w:rFonts w:ascii="Arial" w:cs="Arial" w:eastAsia="Arial" w:hAnsi="Arial"/>
          <w:sz w:val="19"/>
          <w:szCs w:val="19"/>
          <w:b w:val="1"/>
          <w:bCs w:val="1"/>
          <w:color w:val="auto"/>
        </w:rPr>
        <w:t>T</w:t>
      </w:r>
      <w:r>
        <w:rPr>
          <w:rFonts w:ascii="Arial" w:cs="Arial" w:eastAsia="Arial" w:hAnsi="Arial"/>
          <w:sz w:val="12"/>
          <w:szCs w:val="12"/>
          <w:b w:val="1"/>
          <w:bCs w:val="1"/>
          <w:color w:val="auto"/>
        </w:rPr>
        <w:t>HE</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P</w:t>
      </w:r>
      <w:r>
        <w:rPr>
          <w:rFonts w:ascii="Arial" w:cs="Arial" w:eastAsia="Arial" w:hAnsi="Arial"/>
          <w:sz w:val="13"/>
          <w:szCs w:val="13"/>
          <w:b w:val="1"/>
          <w:bCs w:val="1"/>
          <w:color w:val="auto"/>
        </w:rPr>
        <w:t>RUDENTIAL</w:t>
      </w:r>
      <w:r>
        <w:rPr>
          <w:rFonts w:ascii="Arial" w:cs="Arial" w:eastAsia="Arial" w:hAnsi="Arial"/>
          <w:sz w:val="20"/>
          <w:szCs w:val="20"/>
          <w:b w:val="1"/>
          <w:bCs w:val="1"/>
          <w:color w:val="auto"/>
        </w:rPr>
        <w:t xml:space="preserve"> I</w:t>
      </w:r>
      <w:r>
        <w:rPr>
          <w:rFonts w:ascii="Arial" w:cs="Arial" w:eastAsia="Arial" w:hAnsi="Arial"/>
          <w:sz w:val="13"/>
          <w:szCs w:val="13"/>
          <w:b w:val="1"/>
          <w:bCs w:val="1"/>
          <w:color w:val="auto"/>
        </w:rPr>
        <w:t>NSURANCE</w:t>
      </w:r>
      <w:r>
        <w:rPr>
          <w:rFonts w:ascii="Arial" w:cs="Arial" w:eastAsia="Arial" w:hAnsi="Arial"/>
          <w:sz w:val="20"/>
          <w:szCs w:val="20"/>
          <w:b w:val="1"/>
          <w:bCs w:val="1"/>
          <w:color w:val="auto"/>
        </w:rPr>
        <w:t xml:space="preserve"> C</w:t>
      </w:r>
      <w:r>
        <w:rPr>
          <w:rFonts w:ascii="Arial" w:cs="Arial" w:eastAsia="Arial" w:hAnsi="Arial"/>
          <w:sz w:val="13"/>
          <w:szCs w:val="13"/>
          <w:b w:val="1"/>
          <w:bCs w:val="1"/>
          <w:color w:val="auto"/>
        </w:rPr>
        <w:t>OMPANY OF</w:t>
      </w:r>
      <w:r>
        <w:rPr>
          <w:rFonts w:ascii="Arial" w:cs="Arial" w:eastAsia="Arial" w:hAnsi="Arial"/>
          <w:sz w:val="20"/>
          <w:szCs w:val="20"/>
          <w:b w:val="1"/>
          <w:bCs w:val="1"/>
          <w:color w:val="auto"/>
        </w:rPr>
        <w:t xml:space="preserve"> A</w:t>
      </w:r>
      <w:r>
        <w:rPr>
          <w:rFonts w:ascii="Arial" w:cs="Arial" w:eastAsia="Arial" w:hAnsi="Arial"/>
          <w:sz w:val="13"/>
          <w:szCs w:val="13"/>
          <w:b w:val="1"/>
          <w:bCs w:val="1"/>
          <w:color w:val="auto"/>
        </w:rPr>
        <w:t>MERICA</w:t>
      </w:r>
      <w:r>
        <w:rPr>
          <w:rFonts w:ascii="Arial" w:cs="Arial" w:eastAsia="Arial" w:hAnsi="Arial"/>
          <w:sz w:val="20"/>
          <w:szCs w:val="20"/>
          <w:color w:val="auto"/>
        </w:rPr>
        <w:t>, or registered assigns, the principal sum of</w:t>
      </w:r>
      <w:r>
        <w:rPr>
          <w:rFonts w:ascii="Arial" w:cs="Arial" w:eastAsia="Arial" w:hAnsi="Arial"/>
          <w:sz w:val="20"/>
          <w:szCs w:val="20"/>
          <w:b w:val="1"/>
          <w:bCs w:val="1"/>
          <w:color w:val="auto"/>
        </w:rPr>
        <w:t xml:space="preserve"> F</w:t>
      </w:r>
      <w:r>
        <w:rPr>
          <w:rFonts w:ascii="Arial" w:cs="Arial" w:eastAsia="Arial" w:hAnsi="Arial"/>
          <w:sz w:val="13"/>
          <w:szCs w:val="13"/>
          <w:b w:val="1"/>
          <w:bCs w:val="1"/>
          <w:color w:val="auto"/>
        </w:rPr>
        <w:t>ORTY</w:t>
      </w:r>
      <w:r>
        <w:rPr>
          <w:rFonts w:ascii="Arial" w:cs="Arial" w:eastAsia="Arial" w:hAnsi="Arial"/>
          <w:sz w:val="20"/>
          <w:szCs w:val="20"/>
          <w:b w:val="1"/>
          <w:bCs w:val="1"/>
          <w:color w:val="auto"/>
        </w:rPr>
        <w:t>-T</w:t>
      </w:r>
      <w:r>
        <w:rPr>
          <w:rFonts w:ascii="Arial" w:cs="Arial" w:eastAsia="Arial" w:hAnsi="Arial"/>
          <w:sz w:val="13"/>
          <w:szCs w:val="13"/>
          <w:b w:val="1"/>
          <w:bCs w:val="1"/>
          <w:color w:val="auto"/>
        </w:rPr>
        <w:t>HREE</w:t>
      </w:r>
    </w:p>
    <w:p>
      <w:pPr>
        <w:spacing w:after="0" w:line="13" w:lineRule="exact"/>
        <w:rPr>
          <w:sz w:val="20"/>
          <w:szCs w:val="20"/>
          <w:color w:val="auto"/>
        </w:rPr>
      </w:pPr>
    </w:p>
    <w:p>
      <w:pPr>
        <w:jc w:val="both"/>
        <w:ind w:left="200" w:right="219"/>
        <w:spacing w:after="0" w:line="269" w:lineRule="auto"/>
        <w:rPr>
          <w:sz w:val="20"/>
          <w:szCs w:val="20"/>
          <w:color w:val="auto"/>
        </w:rPr>
      </w:pPr>
      <w:r>
        <w:rPr>
          <w:rFonts w:ascii="Arial" w:cs="Arial" w:eastAsia="Arial" w:hAnsi="Arial"/>
          <w:sz w:val="19"/>
          <w:szCs w:val="19"/>
          <w:b w:val="1"/>
          <w:bCs w:val="1"/>
          <w:color w:val="auto"/>
        </w:rPr>
        <w:t>M</w:t>
      </w:r>
      <w:r>
        <w:rPr>
          <w:rFonts w:ascii="Arial" w:cs="Arial" w:eastAsia="Arial" w:hAnsi="Arial"/>
          <w:sz w:val="12"/>
          <w:szCs w:val="12"/>
          <w:b w:val="1"/>
          <w:bCs w:val="1"/>
          <w:color w:val="auto"/>
        </w:rPr>
        <w:t>ILLION</w:t>
      </w:r>
      <w:r>
        <w:rPr>
          <w:rFonts w:ascii="Arial" w:cs="Arial" w:eastAsia="Arial" w:hAnsi="Arial"/>
          <w:sz w:val="19"/>
          <w:szCs w:val="19"/>
          <w:b w:val="1"/>
          <w:bCs w:val="1"/>
          <w:color w:val="auto"/>
        </w:rPr>
        <w:t xml:space="preserve"> F</w:t>
      </w:r>
      <w:r>
        <w:rPr>
          <w:rFonts w:ascii="Arial" w:cs="Arial" w:eastAsia="Arial" w:hAnsi="Arial"/>
          <w:sz w:val="12"/>
          <w:szCs w:val="12"/>
          <w:b w:val="1"/>
          <w:bCs w:val="1"/>
          <w:color w:val="auto"/>
        </w:rPr>
        <w:t>OUR</w:t>
      </w:r>
      <w:r>
        <w:rPr>
          <w:rFonts w:ascii="Arial" w:cs="Arial" w:eastAsia="Arial" w:hAnsi="Arial"/>
          <w:sz w:val="19"/>
          <w:szCs w:val="19"/>
          <w:b w:val="1"/>
          <w:bCs w:val="1"/>
          <w:color w:val="auto"/>
        </w:rPr>
        <w:t xml:space="preserve"> H</w:t>
      </w:r>
      <w:r>
        <w:rPr>
          <w:rFonts w:ascii="Arial" w:cs="Arial" w:eastAsia="Arial" w:hAnsi="Arial"/>
          <w:sz w:val="12"/>
          <w:szCs w:val="12"/>
          <w:b w:val="1"/>
          <w:bCs w:val="1"/>
          <w:color w:val="auto"/>
        </w:rPr>
        <w:t>UNDRED</w:t>
      </w:r>
      <w:r>
        <w:rPr>
          <w:rFonts w:ascii="Arial" w:cs="Arial" w:eastAsia="Arial" w:hAnsi="Arial"/>
          <w:sz w:val="19"/>
          <w:szCs w:val="19"/>
          <w:b w:val="1"/>
          <w:bCs w:val="1"/>
          <w:color w:val="auto"/>
        </w:rPr>
        <w:t xml:space="preserve"> T</w:t>
      </w:r>
      <w:r>
        <w:rPr>
          <w:rFonts w:ascii="Arial" w:cs="Arial" w:eastAsia="Arial" w:hAnsi="Arial"/>
          <w:sz w:val="12"/>
          <w:szCs w:val="12"/>
          <w:b w:val="1"/>
          <w:bCs w:val="1"/>
          <w:color w:val="auto"/>
        </w:rPr>
        <w:t>HOUSAND</w:t>
      </w:r>
      <w:r>
        <w:rPr>
          <w:rFonts w:ascii="Arial" w:cs="Arial" w:eastAsia="Arial" w:hAnsi="Arial"/>
          <w:sz w:val="19"/>
          <w:szCs w:val="19"/>
          <w:b w:val="1"/>
          <w:bCs w:val="1"/>
          <w:color w:val="auto"/>
        </w:rPr>
        <w:t xml:space="preserve"> D</w:t>
      </w:r>
      <w:r>
        <w:rPr>
          <w:rFonts w:ascii="Arial" w:cs="Arial" w:eastAsia="Arial" w:hAnsi="Arial"/>
          <w:sz w:val="12"/>
          <w:szCs w:val="12"/>
          <w:b w:val="1"/>
          <w:bCs w:val="1"/>
          <w:color w:val="auto"/>
        </w:rPr>
        <w:t>OLLARS</w:t>
      </w:r>
      <w:r>
        <w:rPr>
          <w:rFonts w:ascii="Arial" w:cs="Arial" w:eastAsia="Arial" w:hAnsi="Arial"/>
          <w:sz w:val="19"/>
          <w:szCs w:val="19"/>
          <w:b w:val="1"/>
          <w:bCs w:val="1"/>
          <w:color w:val="auto"/>
        </w:rPr>
        <w:t xml:space="preserve"> </w:t>
      </w:r>
      <w:r>
        <w:rPr>
          <w:rFonts w:ascii="Arial" w:cs="Arial" w:eastAsia="Arial" w:hAnsi="Arial"/>
          <w:sz w:val="19"/>
          <w:szCs w:val="19"/>
          <w:color w:val="auto"/>
        </w:rPr>
        <w:t>on the Final Maturity Date specified above, with interest</w:t>
      </w:r>
      <w:r>
        <w:rPr>
          <w:rFonts w:ascii="Arial" w:cs="Arial" w:eastAsia="Arial" w:hAnsi="Arial"/>
          <w:sz w:val="19"/>
          <w:szCs w:val="19"/>
          <w:b w:val="1"/>
          <w:bCs w:val="1"/>
          <w:color w:val="auto"/>
        </w:rPr>
        <w:t xml:space="preserve"> </w:t>
      </w:r>
      <w:r>
        <w:rPr>
          <w:rFonts w:ascii="Arial" w:cs="Arial" w:eastAsia="Arial" w:hAnsi="Arial"/>
          <w:sz w:val="19"/>
          <w:szCs w:val="19"/>
          <w:color w:val="auto"/>
        </w:rPr>
        <w:t>(computed on the basis of a 360-day year—30-day month) on the unpaid balance thereof at the Interest Rate per annum specified above from the date hereof, payable on each Interest Payment Date specified above and on the Final Maturity Date specified above, commencing with the Interest Payment Date next succeeding the date hereof. The Company agrees to pay interest on overdue principal (including any overdue optional prepayment of principal) and premium, if any, and (to the extent legally enforceable) on any overdue installment of interest, at the Overdue Rate after the due date, whether by acceleration or otherwise, until paid. “Overdue Rate” shall mean the lesser of (a) the maximum interest rate permitted by law, and (b) the greater of (ii) the Interest Rate specified above plus 2.00% per annum or (b) the rate of interest publicly announced by JPMorgan Chase Bank, National Association, from time to time in New York City as its Prime Rate plus 2.00% per annum.</w:t>
      </w:r>
    </w:p>
    <w:p>
      <w:pPr>
        <w:spacing w:after="0" w:line="107" w:lineRule="exact"/>
        <w:rPr>
          <w:sz w:val="20"/>
          <w:szCs w:val="20"/>
          <w:color w:val="auto"/>
        </w:rPr>
      </w:pPr>
    </w:p>
    <w:p>
      <w:pPr>
        <w:jc w:val="both"/>
        <w:ind w:left="200" w:right="219" w:firstLine="648"/>
        <w:spacing w:after="0" w:line="286" w:lineRule="auto"/>
        <w:rPr>
          <w:sz w:val="20"/>
          <w:szCs w:val="20"/>
          <w:color w:val="auto"/>
        </w:rPr>
      </w:pPr>
      <w:r>
        <w:rPr>
          <w:rFonts w:ascii="Arial" w:cs="Arial" w:eastAsia="Arial" w:hAnsi="Arial"/>
          <w:sz w:val="18"/>
          <w:szCs w:val="18"/>
          <w:color w:val="auto"/>
        </w:rPr>
        <w:t xml:space="preserve">Both the principal hereof and interest hereon are payable at the principal office of the Company in Grand Rapids, Michigan in coin or currency of the United States of America which at the time of payment shall be legal tender for the payment of public and private debts. If any amount of principal, premium, if any, or interest on or in respect of this Note becomes due and payable on any date which is not a Business Day, such amount shall be payable on the immediately succeeding Business Day without including the additional days elapsed in the computation of the interest payable on such next succeeding Business Day;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if the maturity date of this Note is a date other than a Business Day, the payment otherwise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due on such maturity date shall be made on the next succeeding Business Day and shall include the additional days elapsed in the computation of interest payable on such next succeeding Business Day. </w:t>
      </w:r>
      <w:r>
        <w:rPr>
          <w:rFonts w:ascii="Arial" w:cs="Arial" w:eastAsia="Arial" w:hAnsi="Arial"/>
          <w:sz w:val="18"/>
          <w:szCs w:val="18"/>
          <w:i w:val="1"/>
          <w:iCs w:val="1"/>
          <w:color w:val="auto"/>
        </w:rPr>
        <w:t xml:space="preserve">“Business Day” </w:t>
      </w:r>
      <w:r>
        <w:rPr>
          <w:rFonts w:ascii="Arial" w:cs="Arial" w:eastAsia="Arial" w:hAnsi="Arial"/>
          <w:sz w:val="18"/>
          <w:szCs w:val="18"/>
          <w:color w:val="auto"/>
        </w:rPr>
        <w:t>means any day other than a Saturday, Sunday or other day on which banks in either Grand</w:t>
      </w:r>
      <w:r>
        <w:rPr>
          <w:rFonts w:ascii="Arial" w:cs="Arial" w:eastAsia="Arial" w:hAnsi="Arial"/>
          <w:sz w:val="18"/>
          <w:szCs w:val="18"/>
          <w:i w:val="1"/>
          <w:iCs w:val="1"/>
          <w:color w:val="auto"/>
        </w:rPr>
        <w:t xml:space="preserve"> </w:t>
      </w:r>
      <w:r>
        <w:rPr>
          <w:rFonts w:ascii="Arial" w:cs="Arial" w:eastAsia="Arial" w:hAnsi="Arial"/>
          <w:sz w:val="18"/>
          <w:szCs w:val="18"/>
          <w:color w:val="auto"/>
        </w:rPr>
        <w:t>Rapids, Michigan or New York, New York are required by law to close or are customarily closed.</w:t>
      </w:r>
    </w:p>
    <w:p>
      <w:pPr>
        <w:spacing w:after="0" w:line="108" w:lineRule="exact"/>
        <w:rPr>
          <w:sz w:val="20"/>
          <w:szCs w:val="20"/>
          <w:color w:val="auto"/>
        </w:rPr>
      </w:pPr>
    </w:p>
    <w:p>
      <w:pPr>
        <w:jc w:val="both"/>
        <w:ind w:left="200" w:right="219" w:firstLine="648"/>
        <w:spacing w:after="0" w:line="291" w:lineRule="auto"/>
        <w:rPr>
          <w:sz w:val="20"/>
          <w:szCs w:val="20"/>
          <w:color w:val="auto"/>
        </w:rPr>
      </w:pPr>
      <w:r>
        <w:rPr>
          <w:rFonts w:ascii="Arial" w:cs="Arial" w:eastAsia="Arial" w:hAnsi="Arial"/>
          <w:sz w:val="18"/>
          <w:szCs w:val="18"/>
          <w:color w:val="auto"/>
        </w:rPr>
        <w:t>This Note is one of the 3.08% Series F Senior Notes, due August 10, 2033 of the Company in the original aggregate principal amount of $50,000,000, which, together with the 3.89% Series A Senior Notes, due December 17, 2022, of the Company in the original aggregate principal amount of $35,000,000, the 3.98% Series B Senior Notes, due December 17, 2024, of the Company in the original aggregate principal amount of $40,000,000, and any other Shelf Notes (as defined in the Note Agreement hereafter mentioned), are issued or to be issued under and pursuant to the terms and provisions of the Note Purchase and Private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460375</wp:posOffset>
            </wp:positionV>
            <wp:extent cx="545211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43" w:name="page44"/>
    <w:bookmarkEnd w:id="43"/>
    <w:p>
      <w:pPr>
        <w:jc w:val="right"/>
        <w:ind w:right="219"/>
        <w:spacing w:after="0"/>
        <w:rPr>
          <w:sz w:val="20"/>
          <w:szCs w:val="20"/>
          <w:color w:val="auto"/>
        </w:rPr>
      </w:pPr>
      <w:r>
        <w:rPr>
          <w:rFonts w:ascii="Arial" w:cs="Arial" w:eastAsia="Arial" w:hAnsi="Arial"/>
          <w:sz w:val="20"/>
          <w:szCs w:val="20"/>
          <w:b w:val="1"/>
          <w:bCs w:val="1"/>
          <w:color w:val="auto"/>
        </w:rPr>
        <w:t>Exhibit 10(k)</w:t>
      </w:r>
    </w:p>
    <w:p>
      <w:pPr>
        <w:spacing w:after="0" w:line="200" w:lineRule="exact"/>
        <w:rPr>
          <w:sz w:val="20"/>
          <w:szCs w:val="20"/>
          <w:color w:val="auto"/>
        </w:rPr>
      </w:pPr>
    </w:p>
    <w:p>
      <w:pPr>
        <w:spacing w:after="0" w:line="238" w:lineRule="exact"/>
        <w:rPr>
          <w:sz w:val="20"/>
          <w:szCs w:val="20"/>
          <w:color w:val="auto"/>
        </w:rPr>
      </w:pPr>
    </w:p>
    <w:p>
      <w:pPr>
        <w:jc w:val="both"/>
        <w:ind w:left="200" w:right="219"/>
        <w:spacing w:after="0" w:line="273" w:lineRule="auto"/>
        <w:rPr>
          <w:sz w:val="20"/>
          <w:szCs w:val="20"/>
          <w:color w:val="auto"/>
        </w:rPr>
      </w:pPr>
      <w:r>
        <w:rPr>
          <w:rFonts w:ascii="Arial" w:cs="Arial" w:eastAsia="Arial" w:hAnsi="Arial"/>
          <w:sz w:val="19"/>
          <w:szCs w:val="19"/>
          <w:color w:val="auto"/>
        </w:rPr>
        <w:t xml:space="preserve">Shelf Agreement, dated as of December 17, 2012 (the </w:t>
      </w:r>
      <w:r>
        <w:rPr>
          <w:rFonts w:ascii="Arial" w:cs="Arial" w:eastAsia="Arial" w:hAnsi="Arial"/>
          <w:sz w:val="19"/>
          <w:szCs w:val="19"/>
          <w:i w:val="1"/>
          <w:iCs w:val="1"/>
          <w:color w:val="auto"/>
        </w:rPr>
        <w:t>“Note Agreement”</w:t>
      </w:r>
      <w:r>
        <w:rPr>
          <w:rFonts w:ascii="Arial" w:cs="Arial" w:eastAsia="Arial" w:hAnsi="Arial"/>
          <w:sz w:val="19"/>
          <w:szCs w:val="19"/>
          <w:color w:val="auto"/>
        </w:rPr>
        <w:t>), between the Company, on the one hand, and PGIM, Inc. , the Initial Purchasers named in the Purchaser Schedule attached thereto and each Prudential Affiliate which becomes party thereto, on the other hand, and the holder hereof is entitled equally and ratably with the holders of all other Notes outstanding under the Note Agreement to all the benefits provided for thereby or referred to therein. Reference is hereby made to the Note Agreement for a statement of such rights and benefits.</w:t>
      </w:r>
    </w:p>
    <w:p>
      <w:pPr>
        <w:spacing w:after="0" w:line="115" w:lineRule="exact"/>
        <w:rPr>
          <w:sz w:val="20"/>
          <w:szCs w:val="20"/>
          <w:color w:val="auto"/>
        </w:rPr>
      </w:pPr>
    </w:p>
    <w:p>
      <w:pPr>
        <w:jc w:val="both"/>
        <w:ind w:left="200" w:right="239" w:firstLine="648"/>
        <w:spacing w:after="0" w:line="284" w:lineRule="auto"/>
        <w:rPr>
          <w:sz w:val="20"/>
          <w:szCs w:val="20"/>
          <w:color w:val="auto"/>
        </w:rPr>
      </w:pPr>
      <w:r>
        <w:rPr>
          <w:rFonts w:ascii="Arial" w:cs="Arial" w:eastAsia="Arial" w:hAnsi="Arial"/>
          <w:sz w:val="19"/>
          <w:szCs w:val="19"/>
          <w:color w:val="auto"/>
        </w:rPr>
        <w:t>This Note and the other Notes outstanding under the Note Agreement may be declared due prior to their expressed maturity dates and certain prepayments are required to be made thereon, all in the events, on the terms and in the manner and amounts as provided in the Note Agreements.</w:t>
      </w:r>
    </w:p>
    <w:p>
      <w:pPr>
        <w:spacing w:after="0" w:line="88" w:lineRule="exact"/>
        <w:rPr>
          <w:sz w:val="20"/>
          <w:szCs w:val="20"/>
          <w:color w:val="auto"/>
        </w:rPr>
      </w:pPr>
    </w:p>
    <w:p>
      <w:pPr>
        <w:jc w:val="both"/>
        <w:ind w:left="200" w:right="219" w:firstLine="648"/>
        <w:spacing w:after="0" w:line="264" w:lineRule="auto"/>
        <w:rPr>
          <w:sz w:val="20"/>
          <w:szCs w:val="20"/>
          <w:color w:val="auto"/>
        </w:rPr>
      </w:pPr>
      <w:r>
        <w:rPr>
          <w:rFonts w:ascii="Arial" w:cs="Arial" w:eastAsia="Arial" w:hAnsi="Arial"/>
          <w:sz w:val="20"/>
          <w:szCs w:val="20"/>
          <w:color w:val="auto"/>
        </w:rPr>
        <w:t>The Notes are not subject to prepayment or redemption at the option of the Company prior to their expressed maturity dates except on the terms and conditions and in the amounts and with the premium, if any, set forth in the Note Agreement.</w:t>
      </w:r>
    </w:p>
    <w:p>
      <w:pPr>
        <w:spacing w:after="0" w:line="119" w:lineRule="exact"/>
        <w:rPr>
          <w:sz w:val="20"/>
          <w:szCs w:val="20"/>
          <w:color w:val="auto"/>
        </w:rPr>
      </w:pPr>
    </w:p>
    <w:p>
      <w:pPr>
        <w:jc w:val="both"/>
        <w:ind w:left="200" w:right="219" w:firstLine="648"/>
        <w:spacing w:after="0" w:line="258" w:lineRule="auto"/>
        <w:rPr>
          <w:sz w:val="20"/>
          <w:szCs w:val="20"/>
          <w:color w:val="auto"/>
        </w:rPr>
      </w:pPr>
      <w:r>
        <w:rPr>
          <w:rFonts w:ascii="Arial" w:cs="Arial" w:eastAsia="Arial" w:hAnsi="Arial"/>
          <w:sz w:val="20"/>
          <w:szCs w:val="20"/>
          <w:color w:val="auto"/>
        </w:rPr>
        <w:t>This Note is registered on the books of the Company and is transferable only by surrender thereof at the principal office of the Company duly endorsed or accompanied by a written instrument of transfer duly executed by the registered holder of this Note or its attorney duly authorized in writing. Payment of or on account of principal, premium, if any, and interest on this Note shall be made only to or upon the order in writing of the registered holder.</w:t>
      </w:r>
    </w:p>
    <w:p>
      <w:pPr>
        <w:spacing w:after="0" w:line="127" w:lineRule="exact"/>
        <w:rPr>
          <w:sz w:val="20"/>
          <w:szCs w:val="20"/>
          <w:color w:val="auto"/>
        </w:rPr>
      </w:pPr>
    </w:p>
    <w:p>
      <w:pPr>
        <w:ind w:left="38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follows</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833120</wp:posOffset>
            </wp:positionV>
            <wp:extent cx="5452110"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44" w:name="page45"/>
    <w:bookmarkEnd w:id="44"/>
    <w:p>
      <w:pPr>
        <w:jc w:val="right"/>
        <w:ind w:right="219"/>
        <w:spacing w:after="0"/>
        <w:rPr>
          <w:sz w:val="20"/>
          <w:szCs w:val="20"/>
          <w:color w:val="auto"/>
        </w:rPr>
      </w:pPr>
      <w:r>
        <w:rPr>
          <w:rFonts w:ascii="Arial" w:cs="Arial" w:eastAsia="Arial" w:hAnsi="Arial"/>
          <w:sz w:val="20"/>
          <w:szCs w:val="20"/>
          <w:b w:val="1"/>
          <w:bCs w:val="1"/>
          <w:color w:val="auto"/>
        </w:rPr>
        <w:t>Exhibit 10(k)</w:t>
      </w:r>
    </w:p>
    <w:p>
      <w:pPr>
        <w:spacing w:after="0" w:line="200" w:lineRule="exact"/>
        <w:rPr>
          <w:sz w:val="20"/>
          <w:szCs w:val="20"/>
          <w:color w:val="auto"/>
        </w:rPr>
      </w:pPr>
    </w:p>
    <w:p>
      <w:pPr>
        <w:spacing w:after="0" w:line="232" w:lineRule="exact"/>
        <w:rPr>
          <w:sz w:val="20"/>
          <w:szCs w:val="20"/>
          <w:color w:val="auto"/>
        </w:rPr>
      </w:pPr>
    </w:p>
    <w:p>
      <w:pPr>
        <w:jc w:val="both"/>
        <w:ind w:left="200" w:right="219" w:firstLine="648"/>
        <w:spacing w:after="0" w:line="262" w:lineRule="auto"/>
        <w:rPr>
          <w:sz w:val="20"/>
          <w:szCs w:val="20"/>
          <w:color w:val="auto"/>
        </w:rPr>
      </w:pPr>
      <w:r>
        <w:rPr>
          <w:rFonts w:ascii="Arial" w:cs="Arial" w:eastAsia="Arial" w:hAnsi="Arial"/>
          <w:sz w:val="20"/>
          <w:szCs w:val="20"/>
          <w:b w:val="1"/>
          <w:bCs w:val="1"/>
          <w:color w:val="auto"/>
        </w:rPr>
        <w:t>This Note and said Note Agreement are governed by and construed in accordance with the law of Illinois (excluding any conflicts of law rules which would otherwise cause this note to be construed or enforced in accordance with the laws of any other jurisdiction), including all matters of construction, validity and performance.</w:t>
      </w:r>
    </w:p>
    <w:p>
      <w:pPr>
        <w:spacing w:after="0" w:line="122"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UFP I</w:t>
      </w:r>
      <w:r>
        <w:rPr>
          <w:rFonts w:ascii="Arial" w:cs="Arial" w:eastAsia="Arial" w:hAnsi="Arial"/>
          <w:sz w:val="13"/>
          <w:szCs w:val="13"/>
          <w:color w:val="auto"/>
        </w:rPr>
        <w:t>NDUSTRIES</w:t>
      </w:r>
      <w:r>
        <w:rPr>
          <w:rFonts w:ascii="Arial" w:cs="Arial" w:eastAsia="Arial" w:hAnsi="Arial"/>
          <w:sz w:val="20"/>
          <w:szCs w:val="20"/>
          <w:color w:val="auto"/>
        </w:rPr>
        <w:t>, I</w:t>
      </w:r>
      <w:r>
        <w:rPr>
          <w:rFonts w:ascii="Arial" w:cs="Arial" w:eastAsia="Arial" w:hAnsi="Arial"/>
          <w:sz w:val="13"/>
          <w:szCs w:val="13"/>
          <w:color w:val="auto"/>
        </w:rPr>
        <w:t>NC</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100"/>
        <w:spacing w:after="0"/>
        <w:rPr>
          <w:sz w:val="20"/>
          <w:szCs w:val="20"/>
          <w:color w:val="auto"/>
        </w:rPr>
      </w:pPr>
      <w:r>
        <w:rPr>
          <w:rFonts w:ascii="Arial" w:cs="Arial" w:eastAsia="Arial" w:hAnsi="Arial"/>
          <w:sz w:val="20"/>
          <w:szCs w:val="20"/>
          <w:color w:val="auto"/>
          <w:highlight w:val="white"/>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-31750</wp:posOffset>
            </wp:positionV>
            <wp:extent cx="278574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5">
                      <a:extLst>
                        <a:ext uri="{28A0092B-C50C-407E-A947-70E740481C1C}"/>
                      </a:extLst>
                    </a:blip>
                    <a:srcRect/>
                    <a:stretch>
                      <a:fillRect/>
                    </a:stretch>
                  </pic:blipFill>
                  <pic:spPr bwMode="auto">
                    <a:xfrm>
                      <a:off x="0" y="0"/>
                      <a:ext cx="2785745" cy="8890"/>
                    </a:xfrm>
                    <a:prstGeom prst="rect">
                      <a:avLst/>
                    </a:prstGeom>
                    <a:noFill/>
                  </pic:spPr>
                </pic:pic>
              </a:graphicData>
            </a:graphic>
          </wp:anchor>
        </w:drawing>
      </w:r>
    </w:p>
    <w:p>
      <w:pPr>
        <w:jc w:val="center"/>
        <w:ind w:right="-14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1009015</wp:posOffset>
            </wp:positionV>
            <wp:extent cx="545211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6">
                      <a:extLst>
                        <a:ext uri="{28A0092B-C50C-407E-A947-70E740481C1C}"/>
                      </a:extLst>
                    </a:blip>
                    <a:srcRect/>
                    <a:stretch>
                      <a:fillRect/>
                    </a:stretch>
                  </pic:blipFill>
                  <pic:spPr bwMode="auto">
                    <a:xfrm>
                      <a:off x="0" y="0"/>
                      <a:ext cx="5452110" cy="26035"/>
                    </a:xfrm>
                    <a:prstGeom prst="rect">
                      <a:avLst/>
                    </a:prstGeom>
                    <a:noFill/>
                  </pic:spPr>
                </pic:pic>
              </a:graphicData>
            </a:graphic>
          </wp:anchor>
        </w:drawing>
        <w:drawing>
          <wp:anchor simplePos="0" relativeHeight="251657728" behindDoc="1" locked="0" layoutInCell="0" allowOverlap="1">
            <wp:simplePos x="0" y="0"/>
            <wp:positionH relativeFrom="column">
              <wp:posOffset>2602865</wp:posOffset>
            </wp:positionH>
            <wp:positionV relativeFrom="paragraph">
              <wp:posOffset>-139065</wp:posOffset>
            </wp:positionV>
            <wp:extent cx="2983230" cy="1454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7">
                      <a:extLst>
                        <a:ext uri="{28A0092B-C50C-407E-A947-70E740481C1C}"/>
                      </a:extLst>
                    </a:blip>
                    <a:srcRect/>
                    <a:stretch>
                      <a:fillRect/>
                    </a:stretch>
                  </pic:blipFill>
                  <pic:spPr bwMode="auto">
                    <a:xfrm>
                      <a:off x="0" y="0"/>
                      <a:ext cx="2983230" cy="145415"/>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45" w:name="page46"/>
    <w:bookmarkEnd w:id="45"/>
    <w:p>
      <w:pPr>
        <w:jc w:val="right"/>
        <w:ind w:right="219"/>
        <w:spacing w:after="0"/>
        <w:rPr>
          <w:sz w:val="20"/>
          <w:szCs w:val="20"/>
          <w:color w:val="auto"/>
        </w:rPr>
      </w:pPr>
      <w:r>
        <w:rPr>
          <w:rFonts w:ascii="Arial" w:cs="Arial" w:eastAsia="Arial" w:hAnsi="Arial"/>
          <w:sz w:val="20"/>
          <w:szCs w:val="20"/>
          <w:b w:val="1"/>
          <w:bCs w:val="1"/>
          <w:color w:val="auto"/>
        </w:rPr>
        <w:t>Exhibit 10(k)</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UFP INDUSTRIES, INC.</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3.08% SENIOR SERIES F NOTE DUE AUGUST 10, 2033</w:t>
      </w:r>
    </w:p>
    <w:p>
      <w:pPr>
        <w:spacing w:after="0" w:line="200" w:lineRule="exact"/>
        <w:rPr>
          <w:sz w:val="20"/>
          <w:szCs w:val="20"/>
          <w:color w:val="auto"/>
        </w:rPr>
      </w:pPr>
    </w:p>
    <w:p>
      <w:pPr>
        <w:spacing w:after="0" w:line="251" w:lineRule="exact"/>
        <w:rPr>
          <w:sz w:val="20"/>
          <w:szCs w:val="20"/>
          <w:color w:val="auto"/>
        </w:rPr>
      </w:pPr>
    </w:p>
    <w:p>
      <w:pPr>
        <w:ind w:left="200"/>
        <w:spacing w:after="0"/>
        <w:rPr>
          <w:sz w:val="20"/>
          <w:szCs w:val="20"/>
          <w:color w:val="auto"/>
        </w:rPr>
      </w:pPr>
      <w:r>
        <w:rPr>
          <w:rFonts w:ascii="Arial" w:cs="Arial" w:eastAsia="Arial" w:hAnsi="Arial"/>
          <w:sz w:val="20"/>
          <w:szCs w:val="20"/>
          <w:color w:val="auto"/>
        </w:rPr>
        <w:t>No. F-3</w:t>
      </w:r>
    </w:p>
    <w:p>
      <w:pPr>
        <w:spacing w:after="0" w:line="20" w:lineRule="exact"/>
        <w:rPr>
          <w:sz w:val="20"/>
          <w:szCs w:val="20"/>
          <w:color w:val="auto"/>
        </w:rPr>
      </w:pPr>
    </w:p>
    <w:p>
      <w:pPr>
        <w:ind w:left="200"/>
        <w:spacing w:after="0"/>
        <w:rPr>
          <w:sz w:val="20"/>
          <w:szCs w:val="20"/>
          <w:color w:val="auto"/>
        </w:rPr>
      </w:pPr>
      <w:r>
        <w:rPr>
          <w:rFonts w:ascii="Arial" w:cs="Arial" w:eastAsia="Arial" w:hAnsi="Arial"/>
          <w:sz w:val="20"/>
          <w:szCs w:val="20"/>
          <w:color w:val="auto"/>
        </w:rPr>
        <w:t>ORIGINAL PRINCIPAL AMOUNT: $5,000,000</w:t>
      </w:r>
    </w:p>
    <w:p>
      <w:pPr>
        <w:spacing w:after="0" w:line="13" w:lineRule="exact"/>
        <w:rPr>
          <w:sz w:val="20"/>
          <w:szCs w:val="20"/>
          <w:color w:val="auto"/>
        </w:rPr>
      </w:pPr>
    </w:p>
    <w:p>
      <w:pPr>
        <w:ind w:left="200"/>
        <w:spacing w:after="0"/>
        <w:rPr>
          <w:sz w:val="20"/>
          <w:szCs w:val="20"/>
          <w:color w:val="auto"/>
        </w:rPr>
      </w:pPr>
      <w:r>
        <w:rPr>
          <w:rFonts w:ascii="Arial" w:cs="Arial" w:eastAsia="Arial" w:hAnsi="Arial"/>
          <w:sz w:val="20"/>
          <w:szCs w:val="20"/>
          <w:color w:val="auto"/>
        </w:rPr>
        <w:t>ORIGINAL ISSUE DATE: August 10, 2020</w:t>
      </w:r>
    </w:p>
    <w:p>
      <w:pPr>
        <w:spacing w:after="0" w:line="13" w:lineRule="exact"/>
        <w:rPr>
          <w:sz w:val="20"/>
          <w:szCs w:val="20"/>
          <w:color w:val="auto"/>
        </w:rPr>
      </w:pPr>
    </w:p>
    <w:p>
      <w:pPr>
        <w:ind w:left="200"/>
        <w:spacing w:after="0"/>
        <w:rPr>
          <w:sz w:val="20"/>
          <w:szCs w:val="20"/>
          <w:color w:val="auto"/>
        </w:rPr>
      </w:pPr>
      <w:r>
        <w:rPr>
          <w:rFonts w:ascii="Arial" w:cs="Arial" w:eastAsia="Arial" w:hAnsi="Arial"/>
          <w:sz w:val="20"/>
          <w:szCs w:val="20"/>
          <w:color w:val="auto"/>
        </w:rPr>
        <w:t>INTEREST RATE: 3.08%</w:t>
      </w:r>
    </w:p>
    <w:p>
      <w:pPr>
        <w:spacing w:after="0" w:line="13" w:lineRule="exact"/>
        <w:rPr>
          <w:sz w:val="20"/>
          <w:szCs w:val="20"/>
          <w:color w:val="auto"/>
        </w:rPr>
      </w:pPr>
    </w:p>
    <w:p>
      <w:pPr>
        <w:ind w:left="200" w:right="579"/>
        <w:spacing w:after="0" w:line="253" w:lineRule="auto"/>
        <w:rPr>
          <w:sz w:val="20"/>
          <w:szCs w:val="20"/>
          <w:color w:val="auto"/>
        </w:rPr>
      </w:pPr>
      <w:r>
        <w:rPr>
          <w:rFonts w:ascii="Arial" w:cs="Arial" w:eastAsia="Arial" w:hAnsi="Arial"/>
          <w:sz w:val="20"/>
          <w:szCs w:val="20"/>
          <w:color w:val="auto"/>
        </w:rPr>
        <w:t>INTEREST PAYMENT DATES: Semi-annually, in arrears, on February 10 and August 10 of each year, commencing on February 10, 2021</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20"/>
          <w:szCs w:val="20"/>
          <w:color w:val="auto"/>
        </w:rPr>
        <w:t>FINAL MATURITY DATE: August 10, 2033</w:t>
      </w:r>
    </w:p>
    <w:p>
      <w:pPr>
        <w:spacing w:after="0" w:line="13" w:lineRule="exact"/>
        <w:rPr>
          <w:sz w:val="20"/>
          <w:szCs w:val="20"/>
          <w:color w:val="auto"/>
        </w:rPr>
      </w:pPr>
    </w:p>
    <w:p>
      <w:pPr>
        <w:ind w:left="200" w:right="1979"/>
        <w:spacing w:after="0" w:line="267" w:lineRule="auto"/>
        <w:rPr>
          <w:sz w:val="20"/>
          <w:szCs w:val="20"/>
          <w:color w:val="auto"/>
        </w:rPr>
      </w:pPr>
      <w:r>
        <w:rPr>
          <w:rFonts w:ascii="Arial" w:cs="Arial" w:eastAsia="Arial" w:hAnsi="Arial"/>
          <w:sz w:val="20"/>
          <w:szCs w:val="20"/>
          <w:color w:val="auto"/>
        </w:rPr>
        <w:t>PRINCIPAL PREPAYMENT DATES AND AMOUNTS: None, bullet due at maturity PPN 913543 D#8</w:t>
      </w:r>
    </w:p>
    <w:p>
      <w:pPr>
        <w:spacing w:after="0" w:line="115" w:lineRule="exact"/>
        <w:rPr>
          <w:sz w:val="20"/>
          <w:szCs w:val="20"/>
          <w:color w:val="auto"/>
        </w:rPr>
      </w:pPr>
    </w:p>
    <w:p>
      <w:pPr>
        <w:jc w:val="both"/>
        <w:ind w:left="200" w:right="219" w:firstLine="648"/>
        <w:spacing w:after="0" w:line="270" w:lineRule="auto"/>
        <w:rPr>
          <w:sz w:val="20"/>
          <w:szCs w:val="20"/>
          <w:color w:val="auto"/>
        </w:rPr>
      </w:pPr>
      <w:r>
        <w:rPr>
          <w:rFonts w:ascii="Arial" w:cs="Arial" w:eastAsia="Arial" w:hAnsi="Arial"/>
          <w:sz w:val="19"/>
          <w:szCs w:val="19"/>
          <w:color w:val="auto"/>
        </w:rPr>
        <w:t xml:space="preserve">FOR VALUE RECEIVED, the undersigned, UFP Industries, Inc. (f/k/a Universal Forest Products, Inc.), a Michigan corporation (herein called the “Company”), hereby promises to pay to </w:t>
      </w:r>
      <w:r>
        <w:rPr>
          <w:rFonts w:ascii="Arial" w:cs="Arial" w:eastAsia="Arial" w:hAnsi="Arial"/>
          <w:sz w:val="19"/>
          <w:szCs w:val="19"/>
          <w:b w:val="1"/>
          <w:bCs w:val="1"/>
          <w:color w:val="auto"/>
        </w:rPr>
        <w:t>T</w:t>
      </w:r>
      <w:r>
        <w:rPr>
          <w:rFonts w:ascii="Arial" w:cs="Arial" w:eastAsia="Arial" w:hAnsi="Arial"/>
          <w:sz w:val="12"/>
          <w:szCs w:val="12"/>
          <w:b w:val="1"/>
          <w:bCs w:val="1"/>
          <w:color w:val="auto"/>
        </w:rPr>
        <w:t>HE</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P</w:t>
      </w:r>
      <w:r>
        <w:rPr>
          <w:rFonts w:ascii="Arial" w:cs="Arial" w:eastAsia="Arial" w:hAnsi="Arial"/>
          <w:sz w:val="13"/>
          <w:szCs w:val="13"/>
          <w:b w:val="1"/>
          <w:bCs w:val="1"/>
          <w:color w:val="auto"/>
        </w:rPr>
        <w:t>RUDENTIAL</w:t>
      </w:r>
      <w:r>
        <w:rPr>
          <w:rFonts w:ascii="Arial" w:cs="Arial" w:eastAsia="Arial" w:hAnsi="Arial"/>
          <w:sz w:val="20"/>
          <w:szCs w:val="20"/>
          <w:b w:val="1"/>
          <w:bCs w:val="1"/>
          <w:color w:val="auto"/>
        </w:rPr>
        <w:t xml:space="preserve"> I</w:t>
      </w:r>
      <w:r>
        <w:rPr>
          <w:rFonts w:ascii="Arial" w:cs="Arial" w:eastAsia="Arial" w:hAnsi="Arial"/>
          <w:sz w:val="13"/>
          <w:szCs w:val="13"/>
          <w:b w:val="1"/>
          <w:bCs w:val="1"/>
          <w:color w:val="auto"/>
        </w:rPr>
        <w:t>NSURANCE</w:t>
      </w:r>
      <w:r>
        <w:rPr>
          <w:rFonts w:ascii="Arial" w:cs="Arial" w:eastAsia="Arial" w:hAnsi="Arial"/>
          <w:sz w:val="20"/>
          <w:szCs w:val="20"/>
          <w:b w:val="1"/>
          <w:bCs w:val="1"/>
          <w:color w:val="auto"/>
        </w:rPr>
        <w:t xml:space="preserve"> C</w:t>
      </w:r>
      <w:r>
        <w:rPr>
          <w:rFonts w:ascii="Arial" w:cs="Arial" w:eastAsia="Arial" w:hAnsi="Arial"/>
          <w:sz w:val="13"/>
          <w:szCs w:val="13"/>
          <w:b w:val="1"/>
          <w:bCs w:val="1"/>
          <w:color w:val="auto"/>
        </w:rPr>
        <w:t>OMPANY OF</w:t>
      </w:r>
      <w:r>
        <w:rPr>
          <w:rFonts w:ascii="Arial" w:cs="Arial" w:eastAsia="Arial" w:hAnsi="Arial"/>
          <w:sz w:val="20"/>
          <w:szCs w:val="20"/>
          <w:b w:val="1"/>
          <w:bCs w:val="1"/>
          <w:color w:val="auto"/>
        </w:rPr>
        <w:t xml:space="preserve"> A</w:t>
      </w:r>
      <w:r>
        <w:rPr>
          <w:rFonts w:ascii="Arial" w:cs="Arial" w:eastAsia="Arial" w:hAnsi="Arial"/>
          <w:sz w:val="13"/>
          <w:szCs w:val="13"/>
          <w:b w:val="1"/>
          <w:bCs w:val="1"/>
          <w:color w:val="auto"/>
        </w:rPr>
        <w:t>MERICA</w:t>
      </w:r>
      <w:r>
        <w:rPr>
          <w:rFonts w:ascii="Arial" w:cs="Arial" w:eastAsia="Arial" w:hAnsi="Arial"/>
          <w:sz w:val="20"/>
          <w:szCs w:val="20"/>
          <w:color w:val="auto"/>
        </w:rPr>
        <w:t>, or registered assigns, the principal sum of</w:t>
      </w:r>
      <w:r>
        <w:rPr>
          <w:rFonts w:ascii="Arial" w:cs="Arial" w:eastAsia="Arial" w:hAnsi="Arial"/>
          <w:sz w:val="20"/>
          <w:szCs w:val="20"/>
          <w:b w:val="1"/>
          <w:bCs w:val="1"/>
          <w:color w:val="auto"/>
        </w:rPr>
        <w:t xml:space="preserve"> F</w:t>
      </w:r>
      <w:r>
        <w:rPr>
          <w:rFonts w:ascii="Arial" w:cs="Arial" w:eastAsia="Arial" w:hAnsi="Arial"/>
          <w:sz w:val="13"/>
          <w:szCs w:val="13"/>
          <w:b w:val="1"/>
          <w:bCs w:val="1"/>
          <w:color w:val="auto"/>
        </w:rPr>
        <w:t>IVE</w:t>
      </w:r>
      <w:r>
        <w:rPr>
          <w:rFonts w:ascii="Arial" w:cs="Arial" w:eastAsia="Arial" w:hAnsi="Arial"/>
          <w:sz w:val="20"/>
          <w:szCs w:val="20"/>
          <w:b w:val="1"/>
          <w:bCs w:val="1"/>
          <w:color w:val="auto"/>
        </w:rPr>
        <w:t xml:space="preserve"> M</w:t>
      </w:r>
      <w:r>
        <w:rPr>
          <w:rFonts w:ascii="Arial" w:cs="Arial" w:eastAsia="Arial" w:hAnsi="Arial"/>
          <w:sz w:val="13"/>
          <w:szCs w:val="13"/>
          <w:b w:val="1"/>
          <w:bCs w:val="1"/>
          <w:color w:val="auto"/>
        </w:rPr>
        <w:t>ILLION</w:t>
      </w:r>
    </w:p>
    <w:p>
      <w:pPr>
        <w:spacing w:after="0" w:line="13" w:lineRule="exact"/>
        <w:rPr>
          <w:sz w:val="20"/>
          <w:szCs w:val="20"/>
          <w:color w:val="auto"/>
        </w:rPr>
      </w:pPr>
    </w:p>
    <w:p>
      <w:pPr>
        <w:jc w:val="both"/>
        <w:ind w:left="200" w:right="219"/>
        <w:spacing w:after="0" w:line="316" w:lineRule="auto"/>
        <w:rPr>
          <w:sz w:val="20"/>
          <w:szCs w:val="20"/>
          <w:color w:val="auto"/>
        </w:rPr>
      </w:pPr>
      <w:r>
        <w:rPr>
          <w:rFonts w:ascii="Arial" w:cs="Arial" w:eastAsia="Arial" w:hAnsi="Arial"/>
          <w:sz w:val="16"/>
          <w:szCs w:val="16"/>
          <w:b w:val="1"/>
          <w:bCs w:val="1"/>
          <w:color w:val="auto"/>
        </w:rPr>
        <w:t>D</w:t>
      </w:r>
      <w:r>
        <w:rPr>
          <w:rFonts w:ascii="Arial" w:cs="Arial" w:eastAsia="Arial" w:hAnsi="Arial"/>
          <w:sz w:val="11"/>
          <w:szCs w:val="11"/>
          <w:b w:val="1"/>
          <w:bCs w:val="1"/>
          <w:color w:val="auto"/>
        </w:rPr>
        <w:t>OLLARS</w:t>
      </w:r>
      <w:r>
        <w:rPr>
          <w:rFonts w:ascii="Arial" w:cs="Arial" w:eastAsia="Arial" w:hAnsi="Arial"/>
          <w:sz w:val="16"/>
          <w:szCs w:val="16"/>
          <w:b w:val="1"/>
          <w:bCs w:val="1"/>
          <w:color w:val="auto"/>
        </w:rPr>
        <w:t xml:space="preserve"> </w:t>
      </w:r>
      <w:r>
        <w:rPr>
          <w:rFonts w:ascii="Arial" w:cs="Arial" w:eastAsia="Arial" w:hAnsi="Arial"/>
          <w:sz w:val="16"/>
          <w:szCs w:val="16"/>
          <w:color w:val="auto"/>
        </w:rPr>
        <w:t>on the Final Maturity Date specified above, with interest (computed on the basis of a 360-day year</w:t>
      </w:r>
      <w:r>
        <w:rPr>
          <w:rFonts w:ascii="Arial" w:cs="Arial" w:eastAsia="Arial" w:hAnsi="Arial"/>
          <w:sz w:val="16"/>
          <w:szCs w:val="16"/>
          <w:b w:val="1"/>
          <w:bCs w:val="1"/>
          <w:color w:val="auto"/>
        </w:rPr>
        <w:t xml:space="preserve"> </w:t>
      </w:r>
      <w:r>
        <w:rPr>
          <w:rFonts w:ascii="Arial" w:cs="Arial" w:eastAsia="Arial" w:hAnsi="Arial"/>
          <w:sz w:val="16"/>
          <w:szCs w:val="16"/>
          <w:color w:val="auto"/>
        </w:rPr>
        <w:t>—30-day month) on the unpaid balance thereof at the Interest Rate per annum specified above from the date hereof, payable on each Interest Payment Date specified above and on the Final Maturity Date specified above, commencing with the Interest Payment Date next succeeding the date hereof. The Company agrees to pay interest on overdue principal (including any overdue optional prepayment of principal) and premium, if any, and (to the extent legally enforceable) on any overdue installment of interest, at the Overdue Rate after the due date, whether by acceleration or otherwise, until paid. “Overdue Rate” shall mean the lesser of</w:t>
      </w:r>
    </w:p>
    <w:p>
      <w:pPr>
        <w:spacing w:after="0" w:line="5" w:lineRule="exact"/>
        <w:rPr>
          <w:sz w:val="20"/>
          <w:szCs w:val="20"/>
          <w:color w:val="auto"/>
        </w:rPr>
      </w:pPr>
    </w:p>
    <w:p>
      <w:pPr>
        <w:jc w:val="both"/>
        <w:ind w:left="200" w:right="219" w:firstLine="9"/>
        <w:spacing w:after="0" w:line="280" w:lineRule="auto"/>
        <w:tabs>
          <w:tab w:leader="none" w:pos="479" w:val="left"/>
        </w:tabs>
        <w:numPr>
          <w:ilvl w:val="0"/>
          <w:numId w:val="16"/>
        </w:numPr>
        <w:rPr>
          <w:rFonts w:ascii="Arial" w:cs="Arial" w:eastAsia="Arial" w:hAnsi="Arial"/>
          <w:sz w:val="19"/>
          <w:szCs w:val="19"/>
          <w:color w:val="auto"/>
        </w:rPr>
      </w:pPr>
      <w:r>
        <w:rPr>
          <w:rFonts w:ascii="Arial" w:cs="Arial" w:eastAsia="Arial" w:hAnsi="Arial"/>
          <w:sz w:val="19"/>
          <w:szCs w:val="19"/>
          <w:color w:val="auto"/>
        </w:rPr>
        <w:t>the maximum interest rate permitted by law, and (b) the greater of (ii) the Interest Rate specified above plus 2.00% per annum or (b) the rate of interest publicly announced by JPMorgan Chase Bank, National Association, from time to time in New York City as its Prime Rate plus 2.00% per annum.</w:t>
      </w:r>
    </w:p>
    <w:p>
      <w:pPr>
        <w:spacing w:after="0" w:line="92" w:lineRule="exact"/>
        <w:rPr>
          <w:sz w:val="20"/>
          <w:szCs w:val="20"/>
          <w:color w:val="auto"/>
        </w:rPr>
      </w:pPr>
    </w:p>
    <w:p>
      <w:pPr>
        <w:jc w:val="both"/>
        <w:ind w:left="200" w:right="219" w:firstLine="648"/>
        <w:spacing w:after="0" w:line="286" w:lineRule="auto"/>
        <w:rPr>
          <w:sz w:val="20"/>
          <w:szCs w:val="20"/>
          <w:color w:val="auto"/>
        </w:rPr>
      </w:pPr>
      <w:r>
        <w:rPr>
          <w:rFonts w:ascii="Arial" w:cs="Arial" w:eastAsia="Arial" w:hAnsi="Arial"/>
          <w:sz w:val="18"/>
          <w:szCs w:val="18"/>
          <w:color w:val="auto"/>
        </w:rPr>
        <w:t xml:space="preserve">Both the principal hereof and interest hereon are payable at the principal office of the Company in Grand Rapids, Michigan in coin or currency of the United States of America which at the time of payment shall be legal tender for the payment of public and private debts. If any amount of principal, premium, if any, or interest on or in respect of this Note becomes due and payable on any date which is not a Business Day, such amount shall be payable on the immediately succeeding Business Day without including the additional days elapsed in the computation of the interest payable on such next succeeding Business Day;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if the maturity date of this Note is a date other than a Business Day, the payment otherwise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due on such maturity date shall be made on the next succeeding Business Day and shall include the additional days elapsed in the computation of interest payable on such next succeeding Business Day. </w:t>
      </w:r>
      <w:r>
        <w:rPr>
          <w:rFonts w:ascii="Arial" w:cs="Arial" w:eastAsia="Arial" w:hAnsi="Arial"/>
          <w:sz w:val="18"/>
          <w:szCs w:val="18"/>
          <w:i w:val="1"/>
          <w:iCs w:val="1"/>
          <w:color w:val="auto"/>
        </w:rPr>
        <w:t xml:space="preserve">“Business Day” </w:t>
      </w:r>
      <w:r>
        <w:rPr>
          <w:rFonts w:ascii="Arial" w:cs="Arial" w:eastAsia="Arial" w:hAnsi="Arial"/>
          <w:sz w:val="18"/>
          <w:szCs w:val="18"/>
          <w:color w:val="auto"/>
        </w:rPr>
        <w:t>means any day other than a Saturday, Sunday or other day on which banks in either Grand</w:t>
      </w:r>
      <w:r>
        <w:rPr>
          <w:rFonts w:ascii="Arial" w:cs="Arial" w:eastAsia="Arial" w:hAnsi="Arial"/>
          <w:sz w:val="18"/>
          <w:szCs w:val="18"/>
          <w:i w:val="1"/>
          <w:iCs w:val="1"/>
          <w:color w:val="auto"/>
        </w:rPr>
        <w:t xml:space="preserve"> </w:t>
      </w:r>
      <w:r>
        <w:rPr>
          <w:rFonts w:ascii="Arial" w:cs="Arial" w:eastAsia="Arial" w:hAnsi="Arial"/>
          <w:sz w:val="18"/>
          <w:szCs w:val="18"/>
          <w:color w:val="auto"/>
        </w:rPr>
        <w:t>Rapids, Michigan or New York, New York are required by law to close or are customarily closed.</w:t>
      </w:r>
    </w:p>
    <w:p>
      <w:pPr>
        <w:spacing w:after="0" w:line="108" w:lineRule="exact"/>
        <w:rPr>
          <w:sz w:val="20"/>
          <w:szCs w:val="20"/>
          <w:color w:val="auto"/>
        </w:rPr>
      </w:pPr>
    </w:p>
    <w:p>
      <w:pPr>
        <w:jc w:val="both"/>
        <w:ind w:left="200" w:right="219" w:firstLine="648"/>
        <w:spacing w:after="0" w:line="290" w:lineRule="auto"/>
        <w:rPr>
          <w:sz w:val="20"/>
          <w:szCs w:val="20"/>
          <w:color w:val="auto"/>
        </w:rPr>
      </w:pPr>
      <w:r>
        <w:rPr>
          <w:rFonts w:ascii="Arial" w:cs="Arial" w:eastAsia="Arial" w:hAnsi="Arial"/>
          <w:sz w:val="18"/>
          <w:szCs w:val="18"/>
          <w:color w:val="auto"/>
        </w:rPr>
        <w:t xml:space="preserve">This Note is one of the 3.08% Series F Senior Notes, due August 10, 2033 of the Company in the original aggregate principal amount of $50,000,000, which, together with the 3.89% Series A Senior Notes, due December 17, 2022, of the Company in the original aggregate principal amount of $35,000,000, the 3.98% Series B Senior Notes, due December 17, 2024, of the Company in the original aggregate principal amount of $40,000,000, and any other Shelf Notes (as defined in the Note Agreement hereafter mentioned), are issued or to be issued under and pursuant to the terms and provisions of the Note Purchase and Private Shelf Agreement, dated as of December 17, 2012 (the </w:t>
      </w:r>
      <w:r>
        <w:rPr>
          <w:rFonts w:ascii="Arial" w:cs="Arial" w:eastAsia="Arial" w:hAnsi="Arial"/>
          <w:sz w:val="18"/>
          <w:szCs w:val="18"/>
          <w:i w:val="1"/>
          <w:iCs w:val="1"/>
          <w:color w:val="auto"/>
        </w:rPr>
        <w:t>“Note Agreement”</w:t>
      </w:r>
      <w:r>
        <w:rPr>
          <w:rFonts w:ascii="Arial" w:cs="Arial" w:eastAsia="Arial" w:hAnsi="Arial"/>
          <w:sz w:val="18"/>
          <w:szCs w:val="18"/>
          <w:color w:val="auto"/>
        </w:rPr>
        <w:t>), between the Company, on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459105</wp:posOffset>
            </wp:positionV>
            <wp:extent cx="5452110"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46" w:name="page47"/>
    <w:bookmarkEnd w:id="46"/>
    <w:p>
      <w:pPr>
        <w:jc w:val="right"/>
        <w:ind w:right="219"/>
        <w:spacing w:after="0"/>
        <w:rPr>
          <w:sz w:val="20"/>
          <w:szCs w:val="20"/>
          <w:color w:val="auto"/>
        </w:rPr>
      </w:pPr>
      <w:r>
        <w:rPr>
          <w:rFonts w:ascii="Arial" w:cs="Arial" w:eastAsia="Arial" w:hAnsi="Arial"/>
          <w:sz w:val="20"/>
          <w:szCs w:val="20"/>
          <w:b w:val="1"/>
          <w:bCs w:val="1"/>
          <w:color w:val="auto"/>
        </w:rPr>
        <w:t>Exhibit 10(k)</w:t>
      </w:r>
    </w:p>
    <w:p>
      <w:pPr>
        <w:spacing w:after="0" w:line="200" w:lineRule="exact"/>
        <w:rPr>
          <w:sz w:val="20"/>
          <w:szCs w:val="20"/>
          <w:color w:val="auto"/>
        </w:rPr>
      </w:pPr>
    </w:p>
    <w:p>
      <w:pPr>
        <w:spacing w:after="0" w:line="238" w:lineRule="exact"/>
        <w:rPr>
          <w:sz w:val="20"/>
          <w:szCs w:val="20"/>
          <w:color w:val="auto"/>
        </w:rPr>
      </w:pPr>
    </w:p>
    <w:p>
      <w:pPr>
        <w:jc w:val="both"/>
        <w:ind w:left="200" w:right="219"/>
        <w:spacing w:after="0" w:line="258" w:lineRule="auto"/>
        <w:rPr>
          <w:sz w:val="20"/>
          <w:szCs w:val="20"/>
          <w:color w:val="auto"/>
        </w:rPr>
      </w:pPr>
      <w:r>
        <w:rPr>
          <w:rFonts w:ascii="Arial" w:cs="Arial" w:eastAsia="Arial" w:hAnsi="Arial"/>
          <w:sz w:val="20"/>
          <w:szCs w:val="20"/>
          <w:color w:val="auto"/>
        </w:rPr>
        <w:t>one hand, and PGIM, Inc. , the Initial Purchasers named in the Purchaser Schedule attached thereto and each Prudential Affiliate which becomes party thereto, on the other hand, and the holder hereof is entitled equally and ratably with the holders of all other Notes outstanding under the Note Agreement to all the benefits provided for thereby or referred to therein. Reference is hereby made to the Note Agreement for a statement of such rights and benefits.</w:t>
      </w:r>
    </w:p>
    <w:p>
      <w:pPr>
        <w:spacing w:after="0" w:line="127" w:lineRule="exact"/>
        <w:rPr>
          <w:sz w:val="20"/>
          <w:szCs w:val="20"/>
          <w:color w:val="auto"/>
        </w:rPr>
      </w:pPr>
    </w:p>
    <w:p>
      <w:pPr>
        <w:jc w:val="both"/>
        <w:ind w:left="200" w:right="239" w:firstLine="648"/>
        <w:spacing w:after="0" w:line="284" w:lineRule="auto"/>
        <w:rPr>
          <w:sz w:val="20"/>
          <w:szCs w:val="20"/>
          <w:color w:val="auto"/>
        </w:rPr>
      </w:pPr>
      <w:r>
        <w:rPr>
          <w:rFonts w:ascii="Arial" w:cs="Arial" w:eastAsia="Arial" w:hAnsi="Arial"/>
          <w:sz w:val="19"/>
          <w:szCs w:val="19"/>
          <w:color w:val="auto"/>
        </w:rPr>
        <w:t>This Note and the other Notes outstanding under the Note Agreement may be declared due prior to their expressed maturity dates and certain prepayments are required to be made thereon, all in the events, on the terms and in the manner and amounts as provided in the Note Agreements.</w:t>
      </w:r>
    </w:p>
    <w:p>
      <w:pPr>
        <w:spacing w:after="0" w:line="88" w:lineRule="exact"/>
        <w:rPr>
          <w:sz w:val="20"/>
          <w:szCs w:val="20"/>
          <w:color w:val="auto"/>
        </w:rPr>
      </w:pPr>
    </w:p>
    <w:p>
      <w:pPr>
        <w:jc w:val="both"/>
        <w:ind w:left="200" w:right="219" w:firstLine="648"/>
        <w:spacing w:after="0" w:line="264" w:lineRule="auto"/>
        <w:rPr>
          <w:sz w:val="20"/>
          <w:szCs w:val="20"/>
          <w:color w:val="auto"/>
        </w:rPr>
      </w:pPr>
      <w:r>
        <w:rPr>
          <w:rFonts w:ascii="Arial" w:cs="Arial" w:eastAsia="Arial" w:hAnsi="Arial"/>
          <w:sz w:val="20"/>
          <w:szCs w:val="20"/>
          <w:color w:val="auto"/>
        </w:rPr>
        <w:t>The Notes are not subject to prepayment or redemption at the option of the Company prior to their expressed maturity dates except on the terms and conditions and in the amounts and with the premium, if any, set forth in the Note Agreement.</w:t>
      </w:r>
    </w:p>
    <w:p>
      <w:pPr>
        <w:spacing w:after="0" w:line="119" w:lineRule="exact"/>
        <w:rPr>
          <w:sz w:val="20"/>
          <w:szCs w:val="20"/>
          <w:color w:val="auto"/>
        </w:rPr>
      </w:pPr>
    </w:p>
    <w:p>
      <w:pPr>
        <w:jc w:val="both"/>
        <w:ind w:left="200" w:right="219" w:firstLine="648"/>
        <w:spacing w:after="0" w:line="258" w:lineRule="auto"/>
        <w:rPr>
          <w:sz w:val="20"/>
          <w:szCs w:val="20"/>
          <w:color w:val="auto"/>
        </w:rPr>
      </w:pPr>
      <w:r>
        <w:rPr>
          <w:rFonts w:ascii="Arial" w:cs="Arial" w:eastAsia="Arial" w:hAnsi="Arial"/>
          <w:sz w:val="20"/>
          <w:szCs w:val="20"/>
          <w:color w:val="auto"/>
        </w:rPr>
        <w:t>This Note is registered on the books of the Company and is transferable only by surrender thereof at the principal office of the Company duly endorsed or accompanied by a written instrument of transfer duly executed by the registered holder of this Note or its attorney duly authorized in writing. Payment of or on account of principal, premium, if any, and interest on this Note shall be made only to or upon the order in writing of the registered holder.</w:t>
      </w:r>
    </w:p>
    <w:p>
      <w:pPr>
        <w:spacing w:after="0" w:line="127" w:lineRule="exact"/>
        <w:rPr>
          <w:sz w:val="20"/>
          <w:szCs w:val="20"/>
          <w:color w:val="auto"/>
        </w:rPr>
      </w:pPr>
    </w:p>
    <w:p>
      <w:pPr>
        <w:ind w:left="38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follows</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833120</wp:posOffset>
            </wp:positionV>
            <wp:extent cx="5452110"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47" w:name="page48"/>
    <w:bookmarkEnd w:id="47"/>
    <w:p>
      <w:pPr>
        <w:jc w:val="right"/>
        <w:ind w:right="219"/>
        <w:spacing w:after="0"/>
        <w:rPr>
          <w:sz w:val="20"/>
          <w:szCs w:val="20"/>
          <w:color w:val="auto"/>
        </w:rPr>
      </w:pPr>
      <w:r>
        <w:rPr>
          <w:rFonts w:ascii="Arial" w:cs="Arial" w:eastAsia="Arial" w:hAnsi="Arial"/>
          <w:sz w:val="20"/>
          <w:szCs w:val="20"/>
          <w:b w:val="1"/>
          <w:bCs w:val="1"/>
          <w:color w:val="auto"/>
        </w:rPr>
        <w:t>Exhibit 10(k)</w:t>
      </w:r>
    </w:p>
    <w:p>
      <w:pPr>
        <w:spacing w:after="0" w:line="200" w:lineRule="exact"/>
        <w:rPr>
          <w:sz w:val="20"/>
          <w:szCs w:val="20"/>
          <w:color w:val="auto"/>
        </w:rPr>
      </w:pPr>
    </w:p>
    <w:p>
      <w:pPr>
        <w:spacing w:after="0" w:line="232" w:lineRule="exact"/>
        <w:rPr>
          <w:sz w:val="20"/>
          <w:szCs w:val="20"/>
          <w:color w:val="auto"/>
        </w:rPr>
      </w:pPr>
    </w:p>
    <w:p>
      <w:pPr>
        <w:jc w:val="both"/>
        <w:ind w:left="200" w:right="219" w:firstLine="648"/>
        <w:spacing w:after="0" w:line="262" w:lineRule="auto"/>
        <w:rPr>
          <w:sz w:val="20"/>
          <w:szCs w:val="20"/>
          <w:color w:val="auto"/>
        </w:rPr>
      </w:pPr>
      <w:r>
        <w:rPr>
          <w:rFonts w:ascii="Arial" w:cs="Arial" w:eastAsia="Arial" w:hAnsi="Arial"/>
          <w:sz w:val="20"/>
          <w:szCs w:val="20"/>
          <w:b w:val="1"/>
          <w:bCs w:val="1"/>
          <w:color w:val="auto"/>
        </w:rPr>
        <w:t>This Note and said Note Agreement are governed by and construed in accordance with the law of Illinois (excluding any conflicts of law rules which would otherwise cause this note to be construed or enforced in accordance with the laws of any other jurisdiction), including all matters of construction, validity and performance.</w:t>
      </w:r>
    </w:p>
    <w:p>
      <w:pPr>
        <w:spacing w:after="0" w:line="122"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UFP I</w:t>
      </w:r>
      <w:r>
        <w:rPr>
          <w:rFonts w:ascii="Arial" w:cs="Arial" w:eastAsia="Arial" w:hAnsi="Arial"/>
          <w:sz w:val="13"/>
          <w:szCs w:val="13"/>
          <w:color w:val="auto"/>
        </w:rPr>
        <w:t>NDUSTRIES</w:t>
      </w:r>
      <w:r>
        <w:rPr>
          <w:rFonts w:ascii="Arial" w:cs="Arial" w:eastAsia="Arial" w:hAnsi="Arial"/>
          <w:sz w:val="20"/>
          <w:szCs w:val="20"/>
          <w:color w:val="auto"/>
        </w:rPr>
        <w:t>, I</w:t>
      </w:r>
      <w:r>
        <w:rPr>
          <w:rFonts w:ascii="Arial" w:cs="Arial" w:eastAsia="Arial" w:hAnsi="Arial"/>
          <w:sz w:val="13"/>
          <w:szCs w:val="13"/>
          <w:color w:val="auto"/>
        </w:rPr>
        <w:t>NC</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100"/>
        <w:spacing w:after="0"/>
        <w:rPr>
          <w:sz w:val="20"/>
          <w:szCs w:val="20"/>
          <w:color w:val="auto"/>
        </w:rPr>
      </w:pPr>
      <w:r>
        <w:rPr>
          <w:rFonts w:ascii="Arial" w:cs="Arial" w:eastAsia="Arial" w:hAnsi="Arial"/>
          <w:sz w:val="20"/>
          <w:szCs w:val="20"/>
          <w:color w:val="auto"/>
          <w:highlight w:val="white"/>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-31750</wp:posOffset>
            </wp:positionV>
            <wp:extent cx="278574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0">
                      <a:extLst>
                        <a:ext uri="{28A0092B-C50C-407E-A947-70E740481C1C}"/>
                      </a:extLst>
                    </a:blip>
                    <a:srcRect/>
                    <a:stretch>
                      <a:fillRect/>
                    </a:stretch>
                  </pic:blipFill>
                  <pic:spPr bwMode="auto">
                    <a:xfrm>
                      <a:off x="0" y="0"/>
                      <a:ext cx="2785745" cy="8890"/>
                    </a:xfrm>
                    <a:prstGeom prst="rect">
                      <a:avLst/>
                    </a:prstGeom>
                    <a:noFill/>
                  </pic:spPr>
                </pic:pic>
              </a:graphicData>
            </a:graphic>
          </wp:anchor>
        </w:drawing>
      </w:r>
    </w:p>
    <w:p>
      <w:pPr>
        <w:jc w:val="center"/>
        <w:ind w:right="-14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2602865</wp:posOffset>
            </wp:positionH>
            <wp:positionV relativeFrom="paragraph">
              <wp:posOffset>-139065</wp:posOffset>
            </wp:positionV>
            <wp:extent cx="2983230" cy="1454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1">
                      <a:extLst>
                        <a:ext uri="{28A0092B-C50C-407E-A947-70E740481C1C}"/>
                      </a:extLst>
                    </a:blip>
                    <a:srcRect/>
                    <a:stretch>
                      <a:fillRect/>
                    </a:stretch>
                  </pic:blipFill>
                  <pic:spPr bwMode="auto">
                    <a:xfrm>
                      <a:off x="0" y="0"/>
                      <a:ext cx="2983230"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00"/>
        <w:spacing w:after="0"/>
        <w:rPr>
          <w:sz w:val="20"/>
          <w:szCs w:val="20"/>
          <w:color w:val="auto"/>
        </w:rPr>
      </w:pPr>
      <w:r>
        <w:rPr>
          <w:rFonts w:ascii="Arial" w:cs="Arial" w:eastAsia="Arial" w:hAnsi="Arial"/>
          <w:sz w:val="13"/>
          <w:szCs w:val="13"/>
          <w:color w:val="auto"/>
        </w:rPr>
        <w:t>CH2\23543307.3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4766310</wp:posOffset>
            </wp:positionV>
            <wp:extent cx="5452110"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48" w:name="page49"/>
    <w:bookmarkEnd w:id="48"/>
    <w:p>
      <w:pPr>
        <w:jc w:val="right"/>
        <w:ind w:right="219"/>
        <w:spacing w:after="0"/>
        <w:rPr>
          <w:sz w:val="20"/>
          <w:szCs w:val="20"/>
          <w:color w:val="auto"/>
        </w:rPr>
      </w:pPr>
      <w:r>
        <w:rPr>
          <w:rFonts w:ascii="Arial" w:cs="Arial" w:eastAsia="Arial" w:hAnsi="Arial"/>
          <w:sz w:val="20"/>
          <w:szCs w:val="20"/>
          <w:b w:val="1"/>
          <w:bCs w:val="1"/>
          <w:color w:val="auto"/>
        </w:rPr>
        <w:t>Exhibit 10(k)</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UFP INDUSTRIES, INC.</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3.15% SENIOR SERIES G NOTE DUE AUGUST 10, 2035</w:t>
      </w:r>
    </w:p>
    <w:p>
      <w:pPr>
        <w:spacing w:after="0" w:line="200" w:lineRule="exact"/>
        <w:rPr>
          <w:sz w:val="20"/>
          <w:szCs w:val="20"/>
          <w:color w:val="auto"/>
        </w:rPr>
      </w:pPr>
    </w:p>
    <w:p>
      <w:pPr>
        <w:spacing w:after="0" w:line="251" w:lineRule="exact"/>
        <w:rPr>
          <w:sz w:val="20"/>
          <w:szCs w:val="20"/>
          <w:color w:val="auto"/>
        </w:rPr>
      </w:pPr>
    </w:p>
    <w:p>
      <w:pPr>
        <w:ind w:left="200"/>
        <w:spacing w:after="0"/>
        <w:rPr>
          <w:sz w:val="20"/>
          <w:szCs w:val="20"/>
          <w:color w:val="auto"/>
        </w:rPr>
      </w:pPr>
      <w:r>
        <w:rPr>
          <w:rFonts w:ascii="Arial" w:cs="Arial" w:eastAsia="Arial" w:hAnsi="Arial"/>
          <w:sz w:val="20"/>
          <w:szCs w:val="20"/>
          <w:color w:val="auto"/>
        </w:rPr>
        <w:t>No. G-1</w:t>
      </w:r>
    </w:p>
    <w:p>
      <w:pPr>
        <w:spacing w:after="0" w:line="20" w:lineRule="exact"/>
        <w:rPr>
          <w:sz w:val="20"/>
          <w:szCs w:val="20"/>
          <w:color w:val="auto"/>
        </w:rPr>
      </w:pPr>
    </w:p>
    <w:p>
      <w:pPr>
        <w:ind w:left="200"/>
        <w:spacing w:after="0"/>
        <w:rPr>
          <w:sz w:val="20"/>
          <w:szCs w:val="20"/>
          <w:color w:val="auto"/>
        </w:rPr>
      </w:pPr>
      <w:r>
        <w:rPr>
          <w:rFonts w:ascii="Arial" w:cs="Arial" w:eastAsia="Arial" w:hAnsi="Arial"/>
          <w:sz w:val="20"/>
          <w:szCs w:val="20"/>
          <w:color w:val="auto"/>
        </w:rPr>
        <w:t>ORIGINAL PRINCIPAL AMOUNT: $5,000,000</w:t>
      </w:r>
    </w:p>
    <w:p>
      <w:pPr>
        <w:spacing w:after="0" w:line="13" w:lineRule="exact"/>
        <w:rPr>
          <w:sz w:val="20"/>
          <w:szCs w:val="20"/>
          <w:color w:val="auto"/>
        </w:rPr>
      </w:pPr>
    </w:p>
    <w:p>
      <w:pPr>
        <w:ind w:left="200"/>
        <w:spacing w:after="0"/>
        <w:rPr>
          <w:sz w:val="20"/>
          <w:szCs w:val="20"/>
          <w:color w:val="auto"/>
        </w:rPr>
      </w:pPr>
      <w:r>
        <w:rPr>
          <w:rFonts w:ascii="Arial" w:cs="Arial" w:eastAsia="Arial" w:hAnsi="Arial"/>
          <w:sz w:val="20"/>
          <w:szCs w:val="20"/>
          <w:color w:val="auto"/>
        </w:rPr>
        <w:t>ORIGINAL ISSUE DATE: August 10, 2020</w:t>
      </w:r>
    </w:p>
    <w:p>
      <w:pPr>
        <w:spacing w:after="0" w:line="13" w:lineRule="exact"/>
        <w:rPr>
          <w:sz w:val="20"/>
          <w:szCs w:val="20"/>
          <w:color w:val="auto"/>
        </w:rPr>
      </w:pPr>
    </w:p>
    <w:p>
      <w:pPr>
        <w:ind w:left="200"/>
        <w:spacing w:after="0"/>
        <w:rPr>
          <w:sz w:val="20"/>
          <w:szCs w:val="20"/>
          <w:color w:val="auto"/>
        </w:rPr>
      </w:pPr>
      <w:r>
        <w:rPr>
          <w:rFonts w:ascii="Arial" w:cs="Arial" w:eastAsia="Arial" w:hAnsi="Arial"/>
          <w:sz w:val="20"/>
          <w:szCs w:val="20"/>
          <w:color w:val="auto"/>
        </w:rPr>
        <w:t>INTEREST RATE: 3.15%</w:t>
      </w:r>
    </w:p>
    <w:p>
      <w:pPr>
        <w:spacing w:after="0" w:line="13" w:lineRule="exact"/>
        <w:rPr>
          <w:sz w:val="20"/>
          <w:szCs w:val="20"/>
          <w:color w:val="auto"/>
        </w:rPr>
      </w:pPr>
    </w:p>
    <w:p>
      <w:pPr>
        <w:ind w:left="200" w:right="579"/>
        <w:spacing w:after="0" w:line="253" w:lineRule="auto"/>
        <w:rPr>
          <w:sz w:val="20"/>
          <w:szCs w:val="20"/>
          <w:color w:val="auto"/>
        </w:rPr>
      </w:pPr>
      <w:r>
        <w:rPr>
          <w:rFonts w:ascii="Arial" w:cs="Arial" w:eastAsia="Arial" w:hAnsi="Arial"/>
          <w:sz w:val="20"/>
          <w:szCs w:val="20"/>
          <w:color w:val="auto"/>
        </w:rPr>
        <w:t>INTEREST PAYMENT DATES: Semi-annually, in arrears, on February 10 and August 10 of each year, commencing on February 10, 2021</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20"/>
          <w:szCs w:val="20"/>
          <w:color w:val="auto"/>
        </w:rPr>
        <w:t>FINAL MATURITY DATE: August 10, 2035</w:t>
      </w:r>
    </w:p>
    <w:p>
      <w:pPr>
        <w:spacing w:after="0" w:line="13" w:lineRule="exact"/>
        <w:rPr>
          <w:sz w:val="20"/>
          <w:szCs w:val="20"/>
          <w:color w:val="auto"/>
        </w:rPr>
      </w:pPr>
    </w:p>
    <w:p>
      <w:pPr>
        <w:ind w:left="200" w:right="1979"/>
        <w:spacing w:after="0" w:line="267" w:lineRule="auto"/>
        <w:rPr>
          <w:sz w:val="20"/>
          <w:szCs w:val="20"/>
          <w:color w:val="auto"/>
        </w:rPr>
      </w:pPr>
      <w:r>
        <w:rPr>
          <w:rFonts w:ascii="Arial" w:cs="Arial" w:eastAsia="Arial" w:hAnsi="Arial"/>
          <w:sz w:val="20"/>
          <w:szCs w:val="20"/>
          <w:color w:val="auto"/>
        </w:rPr>
        <w:t>PRINCIPAL PREPAYMENT DATES AND AMOUNTS: None, bullet due at maturity PPN 913543 E*1</w:t>
      </w:r>
    </w:p>
    <w:p>
      <w:pPr>
        <w:spacing w:after="0" w:line="115" w:lineRule="exact"/>
        <w:rPr>
          <w:sz w:val="20"/>
          <w:szCs w:val="20"/>
          <w:color w:val="auto"/>
        </w:rPr>
      </w:pPr>
    </w:p>
    <w:p>
      <w:pPr>
        <w:jc w:val="both"/>
        <w:ind w:left="200" w:right="219" w:firstLine="648"/>
        <w:spacing w:after="0" w:line="282" w:lineRule="auto"/>
        <w:rPr>
          <w:sz w:val="20"/>
          <w:szCs w:val="20"/>
          <w:color w:val="auto"/>
        </w:rPr>
      </w:pPr>
      <w:r>
        <w:rPr>
          <w:rFonts w:ascii="Arial" w:cs="Arial" w:eastAsia="Arial" w:hAnsi="Arial"/>
          <w:sz w:val="18"/>
          <w:szCs w:val="18"/>
          <w:color w:val="auto"/>
        </w:rPr>
        <w:t xml:space="preserve">FOR VALUE RECEIVED, the undersigned, UFP Industries, Inc. (f/k/a Universal Forest Products, Inc.), a Michigan corporation (herein called the “Company”), hereby promises to pay to </w:t>
      </w:r>
      <w:r>
        <w:rPr>
          <w:rFonts w:ascii="Arial" w:cs="Arial" w:eastAsia="Arial" w:hAnsi="Arial"/>
          <w:sz w:val="18"/>
          <w:szCs w:val="18"/>
          <w:b w:val="1"/>
          <w:bCs w:val="1"/>
          <w:color w:val="auto"/>
        </w:rPr>
        <w:t>H</w:t>
      </w:r>
      <w:r>
        <w:rPr>
          <w:rFonts w:ascii="Arial" w:cs="Arial" w:eastAsia="Arial" w:hAnsi="Arial"/>
          <w:sz w:val="12"/>
          <w:szCs w:val="12"/>
          <w:b w:val="1"/>
          <w:bCs w:val="1"/>
          <w:color w:val="auto"/>
        </w:rPr>
        <w:t>IGHMARK</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r>
        <w:rPr>
          <w:rFonts w:ascii="Arial" w:cs="Arial" w:eastAsia="Arial" w:hAnsi="Arial"/>
          <w:sz w:val="18"/>
          <w:szCs w:val="18"/>
          <w:color w:val="auto"/>
        </w:rPr>
        <w:t>, or registered assigns, the principal sum of</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IVE</w:t>
      </w:r>
      <w:r>
        <w:rPr>
          <w:rFonts w:ascii="Arial" w:cs="Arial" w:eastAsia="Arial" w:hAnsi="Arial"/>
          <w:sz w:val="18"/>
          <w:szCs w:val="18"/>
          <w:b w:val="1"/>
          <w:bCs w:val="1"/>
          <w:color w:val="auto"/>
        </w:rPr>
        <w:t xml:space="preserve"> M</w:t>
      </w:r>
      <w:r>
        <w:rPr>
          <w:rFonts w:ascii="Arial" w:cs="Arial" w:eastAsia="Arial" w:hAnsi="Arial"/>
          <w:sz w:val="12"/>
          <w:szCs w:val="12"/>
          <w:b w:val="1"/>
          <w:bCs w:val="1"/>
          <w:color w:val="auto"/>
        </w:rPr>
        <w:t>ILLION</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OLLARS</w:t>
      </w:r>
      <w:r>
        <w:rPr>
          <w:rFonts w:ascii="Arial" w:cs="Arial" w:eastAsia="Arial" w:hAnsi="Arial"/>
          <w:sz w:val="18"/>
          <w:szCs w:val="18"/>
          <w:b w:val="1"/>
          <w:bCs w:val="1"/>
          <w:color w:val="auto"/>
        </w:rPr>
        <w:t xml:space="preserve"> </w:t>
      </w:r>
      <w:r>
        <w:rPr>
          <w:rFonts w:ascii="Arial" w:cs="Arial" w:eastAsia="Arial" w:hAnsi="Arial"/>
          <w:sz w:val="18"/>
          <w:szCs w:val="18"/>
          <w:color w:val="auto"/>
        </w:rPr>
        <w:t>on the Final Maturity</w:t>
      </w:r>
      <w:r>
        <w:rPr>
          <w:rFonts w:ascii="Arial" w:cs="Arial" w:eastAsia="Arial" w:hAnsi="Arial"/>
          <w:sz w:val="18"/>
          <w:szCs w:val="18"/>
          <w:b w:val="1"/>
          <w:bCs w:val="1"/>
          <w:color w:val="auto"/>
        </w:rPr>
        <w:t xml:space="preserve"> </w:t>
      </w:r>
      <w:r>
        <w:rPr>
          <w:rFonts w:ascii="Arial" w:cs="Arial" w:eastAsia="Arial" w:hAnsi="Arial"/>
          <w:sz w:val="18"/>
          <w:szCs w:val="18"/>
          <w:color w:val="auto"/>
        </w:rPr>
        <w:t>Date specified above, with interest (computed on the basis of a 360-day year—30-day month) on the unpaid balance thereof at the Interest Rate per annum specified above from the date hereof, payable on each Interest Payment Date specified above and on the Final Maturity Date specified above, commencing with the Interest Payment Date next succeeding the date hereof. The Company agrees to pay interest on overdue principal (including any overdue optional prepayment of principal) and premium, if any, and (to the extent legally enforceable) on any overdue installment of interest, at the Overdue Rate after the due date, whether by acceleration or otherwise, until paid. “Overdue Rate” shall mean the lesser of (a) the maximum interest rate permitted by law, and (b) the greater of (ii) the Interest Rate specified above plus 2.00% per annum or</w:t>
      </w:r>
    </w:p>
    <w:p>
      <w:pPr>
        <w:spacing w:after="0" w:line="5" w:lineRule="exact"/>
        <w:rPr>
          <w:sz w:val="20"/>
          <w:szCs w:val="20"/>
          <w:color w:val="auto"/>
        </w:rPr>
      </w:pPr>
    </w:p>
    <w:p>
      <w:pPr>
        <w:ind w:left="200" w:right="219" w:firstLine="9"/>
        <w:spacing w:after="0" w:line="267" w:lineRule="auto"/>
        <w:tabs>
          <w:tab w:leader="none" w:pos="501" w:val="left"/>
        </w:tabs>
        <w:numPr>
          <w:ilvl w:val="0"/>
          <w:numId w:val="17"/>
        </w:numPr>
        <w:rPr>
          <w:rFonts w:ascii="Arial" w:cs="Arial" w:eastAsia="Arial" w:hAnsi="Arial"/>
          <w:sz w:val="20"/>
          <w:szCs w:val="20"/>
          <w:color w:val="auto"/>
        </w:rPr>
      </w:pPr>
      <w:r>
        <w:rPr>
          <w:rFonts w:ascii="Arial" w:cs="Arial" w:eastAsia="Arial" w:hAnsi="Arial"/>
          <w:sz w:val="20"/>
          <w:szCs w:val="20"/>
          <w:color w:val="auto"/>
        </w:rPr>
        <w:t>the rate of interest publicly announced by JPMorgan Chase Bank, National Association, from time to time in New York City as its Prime Rate plus 2.00% per annum.</w:t>
      </w:r>
    </w:p>
    <w:p>
      <w:pPr>
        <w:spacing w:after="0" w:line="102" w:lineRule="exact"/>
        <w:rPr>
          <w:sz w:val="20"/>
          <w:szCs w:val="20"/>
          <w:color w:val="auto"/>
        </w:rPr>
      </w:pPr>
    </w:p>
    <w:p>
      <w:pPr>
        <w:jc w:val="both"/>
        <w:ind w:left="200" w:right="219" w:firstLine="648"/>
        <w:spacing w:after="0" w:line="286" w:lineRule="auto"/>
        <w:rPr>
          <w:sz w:val="20"/>
          <w:szCs w:val="20"/>
          <w:color w:val="auto"/>
        </w:rPr>
      </w:pPr>
      <w:r>
        <w:rPr>
          <w:rFonts w:ascii="Arial" w:cs="Arial" w:eastAsia="Arial" w:hAnsi="Arial"/>
          <w:sz w:val="18"/>
          <w:szCs w:val="18"/>
          <w:color w:val="auto"/>
        </w:rPr>
        <w:t xml:space="preserve">Both the principal hereof and interest hereon are payable at the principal office of the Company in Grand Rapids, Michigan in coin or currency of the United States of America which at the time of payment shall be legal tender for the payment of public and private debts. If any amount of principal, premium, if any, or interest on or in respect of this Note becomes due and payable on any date which is not a Business Day, such amount shall be payable on the immediately succeeding Business Day without including the additional days elapsed in the computation of the interest payable on such next succeeding Business Day;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if the maturity date of this Note is a date other than a Business Day, the payment otherwise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due on such maturity date shall be made on the next succeeding Business Day and shall include the additional days elapsed in the computation of interest payable on such next succeeding Business Day. </w:t>
      </w:r>
      <w:r>
        <w:rPr>
          <w:rFonts w:ascii="Arial" w:cs="Arial" w:eastAsia="Arial" w:hAnsi="Arial"/>
          <w:sz w:val="18"/>
          <w:szCs w:val="18"/>
          <w:i w:val="1"/>
          <w:iCs w:val="1"/>
          <w:color w:val="auto"/>
        </w:rPr>
        <w:t xml:space="preserve">“Business Day” </w:t>
      </w:r>
      <w:r>
        <w:rPr>
          <w:rFonts w:ascii="Arial" w:cs="Arial" w:eastAsia="Arial" w:hAnsi="Arial"/>
          <w:sz w:val="18"/>
          <w:szCs w:val="18"/>
          <w:color w:val="auto"/>
        </w:rPr>
        <w:t>means any day other than a Saturday, Sunday or other day on which banks in either Grand</w:t>
      </w:r>
      <w:r>
        <w:rPr>
          <w:rFonts w:ascii="Arial" w:cs="Arial" w:eastAsia="Arial" w:hAnsi="Arial"/>
          <w:sz w:val="18"/>
          <w:szCs w:val="18"/>
          <w:i w:val="1"/>
          <w:iCs w:val="1"/>
          <w:color w:val="auto"/>
        </w:rPr>
        <w:t xml:space="preserve"> </w:t>
      </w:r>
      <w:r>
        <w:rPr>
          <w:rFonts w:ascii="Arial" w:cs="Arial" w:eastAsia="Arial" w:hAnsi="Arial"/>
          <w:sz w:val="18"/>
          <w:szCs w:val="18"/>
          <w:color w:val="auto"/>
        </w:rPr>
        <w:t>Rapids, Michigan or New York, New York are required by law to close or are customarily closed.</w:t>
      </w:r>
    </w:p>
    <w:p>
      <w:pPr>
        <w:spacing w:after="0" w:line="108" w:lineRule="exact"/>
        <w:rPr>
          <w:sz w:val="20"/>
          <w:szCs w:val="20"/>
          <w:color w:val="auto"/>
        </w:rPr>
      </w:pPr>
    </w:p>
    <w:p>
      <w:pPr>
        <w:jc w:val="both"/>
        <w:ind w:left="200" w:right="219" w:firstLine="648"/>
        <w:spacing w:after="0" w:line="290" w:lineRule="auto"/>
        <w:rPr>
          <w:sz w:val="20"/>
          <w:szCs w:val="20"/>
          <w:color w:val="auto"/>
        </w:rPr>
      </w:pPr>
      <w:r>
        <w:rPr>
          <w:rFonts w:ascii="Arial" w:cs="Arial" w:eastAsia="Arial" w:hAnsi="Arial"/>
          <w:sz w:val="18"/>
          <w:szCs w:val="18"/>
          <w:color w:val="auto"/>
        </w:rPr>
        <w:t xml:space="preserve">This Note is one of the 3.15% Series G Senior Notes, due August 10, 2035 of the Company in the original aggregate principal amount of $50,000,000, which, together with the 3.89% Series A Senior Notes, due December 17, 2022, of the Company in the original aggregate principal amount of $35,000,000, the 3.98% Series B Senior Notes, due December 17, 2024, of the Company in the original aggregate principal amount of $40,000,000, and any other Shelf Notes (as defined in the Note Agreement hereafter mentioned), are issued or to be issued under and pursuant to the terms and provisions of the Note Purchase and Private Shelf Agreement, dated as of December 17, 2012 (the </w:t>
      </w:r>
      <w:r>
        <w:rPr>
          <w:rFonts w:ascii="Arial" w:cs="Arial" w:eastAsia="Arial" w:hAnsi="Arial"/>
          <w:sz w:val="18"/>
          <w:szCs w:val="18"/>
          <w:i w:val="1"/>
          <w:iCs w:val="1"/>
          <w:color w:val="auto"/>
        </w:rPr>
        <w:t>“Note Agreement”</w:t>
      </w:r>
      <w:r>
        <w:rPr>
          <w:rFonts w:ascii="Arial" w:cs="Arial" w:eastAsia="Arial" w:hAnsi="Arial"/>
          <w:sz w:val="18"/>
          <w:szCs w:val="18"/>
          <w:color w:val="auto"/>
        </w:rPr>
        <w:t>), between the Company, on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459105</wp:posOffset>
            </wp:positionV>
            <wp:extent cx="5452110"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49" w:name="page50"/>
    <w:bookmarkEnd w:id="49"/>
    <w:p>
      <w:pPr>
        <w:jc w:val="right"/>
        <w:ind w:right="219"/>
        <w:spacing w:after="0"/>
        <w:rPr>
          <w:sz w:val="20"/>
          <w:szCs w:val="20"/>
          <w:color w:val="auto"/>
        </w:rPr>
      </w:pPr>
      <w:r>
        <w:rPr>
          <w:rFonts w:ascii="Arial" w:cs="Arial" w:eastAsia="Arial" w:hAnsi="Arial"/>
          <w:sz w:val="20"/>
          <w:szCs w:val="20"/>
          <w:b w:val="1"/>
          <w:bCs w:val="1"/>
          <w:color w:val="auto"/>
        </w:rPr>
        <w:t>Exhibit 10(k)</w:t>
      </w:r>
    </w:p>
    <w:p>
      <w:pPr>
        <w:spacing w:after="0" w:line="200" w:lineRule="exact"/>
        <w:rPr>
          <w:sz w:val="20"/>
          <w:szCs w:val="20"/>
          <w:color w:val="auto"/>
        </w:rPr>
      </w:pPr>
    </w:p>
    <w:p>
      <w:pPr>
        <w:spacing w:after="0" w:line="238" w:lineRule="exact"/>
        <w:rPr>
          <w:sz w:val="20"/>
          <w:szCs w:val="20"/>
          <w:color w:val="auto"/>
        </w:rPr>
      </w:pPr>
    </w:p>
    <w:p>
      <w:pPr>
        <w:jc w:val="both"/>
        <w:ind w:left="200" w:right="219"/>
        <w:spacing w:after="0" w:line="258" w:lineRule="auto"/>
        <w:rPr>
          <w:sz w:val="20"/>
          <w:szCs w:val="20"/>
          <w:color w:val="auto"/>
        </w:rPr>
      </w:pPr>
      <w:r>
        <w:rPr>
          <w:rFonts w:ascii="Arial" w:cs="Arial" w:eastAsia="Arial" w:hAnsi="Arial"/>
          <w:sz w:val="20"/>
          <w:szCs w:val="20"/>
          <w:color w:val="auto"/>
        </w:rPr>
        <w:t>one hand, and PGIM, Inc. , the Initial Purchasers named in the Purchaser Schedule attached thereto and each Prudential Affiliate which becomes party thereto, on the other hand, and the holder hereof is entitled equally and ratably with the holders of all other Notes outstanding under the Note Agreement to all the benefits provided for thereby or referred to therein. Reference is hereby made to the Note Agreement for a statement of such rights and benefits.</w:t>
      </w:r>
    </w:p>
    <w:p>
      <w:pPr>
        <w:spacing w:after="0" w:line="127" w:lineRule="exact"/>
        <w:rPr>
          <w:sz w:val="20"/>
          <w:szCs w:val="20"/>
          <w:color w:val="auto"/>
        </w:rPr>
      </w:pPr>
    </w:p>
    <w:p>
      <w:pPr>
        <w:jc w:val="both"/>
        <w:ind w:left="200" w:right="239" w:firstLine="648"/>
        <w:spacing w:after="0" w:line="284" w:lineRule="auto"/>
        <w:rPr>
          <w:sz w:val="20"/>
          <w:szCs w:val="20"/>
          <w:color w:val="auto"/>
        </w:rPr>
      </w:pPr>
      <w:r>
        <w:rPr>
          <w:rFonts w:ascii="Arial" w:cs="Arial" w:eastAsia="Arial" w:hAnsi="Arial"/>
          <w:sz w:val="19"/>
          <w:szCs w:val="19"/>
          <w:color w:val="auto"/>
        </w:rPr>
        <w:t>This Note and the other Notes outstanding under the Note Agreement may be declared due prior to their expressed maturity dates and certain prepayments are required to be made thereon, all in the events, on the terms and in the manner and amounts as provided in the Note Agreements.</w:t>
      </w:r>
    </w:p>
    <w:p>
      <w:pPr>
        <w:spacing w:after="0" w:line="88" w:lineRule="exact"/>
        <w:rPr>
          <w:sz w:val="20"/>
          <w:szCs w:val="20"/>
          <w:color w:val="auto"/>
        </w:rPr>
      </w:pPr>
    </w:p>
    <w:p>
      <w:pPr>
        <w:jc w:val="both"/>
        <w:ind w:left="200" w:right="219" w:firstLine="648"/>
        <w:spacing w:after="0" w:line="264" w:lineRule="auto"/>
        <w:rPr>
          <w:sz w:val="20"/>
          <w:szCs w:val="20"/>
          <w:color w:val="auto"/>
        </w:rPr>
      </w:pPr>
      <w:r>
        <w:rPr>
          <w:rFonts w:ascii="Arial" w:cs="Arial" w:eastAsia="Arial" w:hAnsi="Arial"/>
          <w:sz w:val="20"/>
          <w:szCs w:val="20"/>
          <w:color w:val="auto"/>
        </w:rPr>
        <w:t>The Notes are not subject to prepayment or redemption at the option of the Company prior to their expressed maturity dates except on the terms and conditions and in the amounts and with the premium, if any, set forth in the Note Agreement.</w:t>
      </w:r>
    </w:p>
    <w:p>
      <w:pPr>
        <w:spacing w:after="0" w:line="119" w:lineRule="exact"/>
        <w:rPr>
          <w:sz w:val="20"/>
          <w:szCs w:val="20"/>
          <w:color w:val="auto"/>
        </w:rPr>
      </w:pPr>
    </w:p>
    <w:p>
      <w:pPr>
        <w:jc w:val="both"/>
        <w:ind w:left="200" w:right="219" w:firstLine="648"/>
        <w:spacing w:after="0" w:line="258" w:lineRule="auto"/>
        <w:rPr>
          <w:sz w:val="20"/>
          <w:szCs w:val="20"/>
          <w:color w:val="auto"/>
        </w:rPr>
      </w:pPr>
      <w:r>
        <w:rPr>
          <w:rFonts w:ascii="Arial" w:cs="Arial" w:eastAsia="Arial" w:hAnsi="Arial"/>
          <w:sz w:val="20"/>
          <w:szCs w:val="20"/>
          <w:color w:val="auto"/>
        </w:rPr>
        <w:t>This Note is registered on the books of the Company and is transferable only by surrender thereof at the principal office of the Company duly endorsed or accompanied by a written instrument of transfer duly executed by the registered holder of this Note or its attorney duly authorized in writing. Payment of or on account of principal, premium, if any, and interest on this Note shall be made only to or upon the order in writing of the registered holder.</w:t>
      </w:r>
    </w:p>
    <w:p>
      <w:pPr>
        <w:spacing w:after="0" w:line="127" w:lineRule="exact"/>
        <w:rPr>
          <w:sz w:val="20"/>
          <w:szCs w:val="20"/>
          <w:color w:val="auto"/>
        </w:rPr>
      </w:pPr>
    </w:p>
    <w:p>
      <w:pPr>
        <w:ind w:left="38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follows</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833120</wp:posOffset>
            </wp:positionV>
            <wp:extent cx="5452110"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50" w:name="page51"/>
    <w:bookmarkEnd w:id="50"/>
    <w:p>
      <w:pPr>
        <w:jc w:val="right"/>
        <w:ind w:right="219"/>
        <w:spacing w:after="0"/>
        <w:rPr>
          <w:sz w:val="20"/>
          <w:szCs w:val="20"/>
          <w:color w:val="auto"/>
        </w:rPr>
      </w:pPr>
      <w:r>
        <w:rPr>
          <w:rFonts w:ascii="Arial" w:cs="Arial" w:eastAsia="Arial" w:hAnsi="Arial"/>
          <w:sz w:val="20"/>
          <w:szCs w:val="20"/>
          <w:b w:val="1"/>
          <w:bCs w:val="1"/>
          <w:color w:val="auto"/>
        </w:rPr>
        <w:t>Exhibit 10(k)</w:t>
      </w:r>
    </w:p>
    <w:p>
      <w:pPr>
        <w:spacing w:after="0" w:line="200" w:lineRule="exact"/>
        <w:rPr>
          <w:sz w:val="20"/>
          <w:szCs w:val="20"/>
          <w:color w:val="auto"/>
        </w:rPr>
      </w:pPr>
    </w:p>
    <w:p>
      <w:pPr>
        <w:spacing w:after="0" w:line="232" w:lineRule="exact"/>
        <w:rPr>
          <w:sz w:val="20"/>
          <w:szCs w:val="20"/>
          <w:color w:val="auto"/>
        </w:rPr>
      </w:pPr>
    </w:p>
    <w:p>
      <w:pPr>
        <w:jc w:val="both"/>
        <w:ind w:left="200" w:right="219" w:firstLine="648"/>
        <w:spacing w:after="0" w:line="262" w:lineRule="auto"/>
        <w:rPr>
          <w:sz w:val="20"/>
          <w:szCs w:val="20"/>
          <w:color w:val="auto"/>
        </w:rPr>
      </w:pPr>
      <w:r>
        <w:rPr>
          <w:rFonts w:ascii="Arial" w:cs="Arial" w:eastAsia="Arial" w:hAnsi="Arial"/>
          <w:sz w:val="20"/>
          <w:szCs w:val="20"/>
          <w:b w:val="1"/>
          <w:bCs w:val="1"/>
          <w:color w:val="auto"/>
        </w:rPr>
        <w:t>This Note and said Note Agreement are governed by and construed in accordance with the law of Illinois (excluding any conflicts of law rules which would otherwise cause this note to be construed or enforced in accordance with the laws of any other jurisdiction), including all matters of construction, validity and performance.</w:t>
      </w:r>
    </w:p>
    <w:p>
      <w:pPr>
        <w:spacing w:after="0" w:line="122"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UFP I</w:t>
      </w:r>
      <w:r>
        <w:rPr>
          <w:rFonts w:ascii="Arial" w:cs="Arial" w:eastAsia="Arial" w:hAnsi="Arial"/>
          <w:sz w:val="13"/>
          <w:szCs w:val="13"/>
          <w:color w:val="auto"/>
        </w:rPr>
        <w:t>NDUSTRIES</w:t>
      </w:r>
      <w:r>
        <w:rPr>
          <w:rFonts w:ascii="Arial" w:cs="Arial" w:eastAsia="Arial" w:hAnsi="Arial"/>
          <w:sz w:val="20"/>
          <w:szCs w:val="20"/>
          <w:color w:val="auto"/>
        </w:rPr>
        <w:t>, I</w:t>
      </w:r>
      <w:r>
        <w:rPr>
          <w:rFonts w:ascii="Arial" w:cs="Arial" w:eastAsia="Arial" w:hAnsi="Arial"/>
          <w:sz w:val="13"/>
          <w:szCs w:val="13"/>
          <w:color w:val="auto"/>
        </w:rPr>
        <w:t>NC</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100"/>
        <w:spacing w:after="0"/>
        <w:rPr>
          <w:sz w:val="20"/>
          <w:szCs w:val="20"/>
          <w:color w:val="auto"/>
        </w:rPr>
      </w:pPr>
      <w:r>
        <w:rPr>
          <w:rFonts w:ascii="Arial" w:cs="Arial" w:eastAsia="Arial" w:hAnsi="Arial"/>
          <w:sz w:val="20"/>
          <w:szCs w:val="20"/>
          <w:color w:val="auto"/>
          <w:highlight w:val="white"/>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-31750</wp:posOffset>
            </wp:positionV>
            <wp:extent cx="278574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5">
                      <a:extLst>
                        <a:ext uri="{28A0092B-C50C-407E-A947-70E740481C1C}"/>
                      </a:extLst>
                    </a:blip>
                    <a:srcRect/>
                    <a:stretch>
                      <a:fillRect/>
                    </a:stretch>
                  </pic:blipFill>
                  <pic:spPr bwMode="auto">
                    <a:xfrm>
                      <a:off x="0" y="0"/>
                      <a:ext cx="2785745" cy="8890"/>
                    </a:xfrm>
                    <a:prstGeom prst="rect">
                      <a:avLst/>
                    </a:prstGeom>
                    <a:noFill/>
                  </pic:spPr>
                </pic:pic>
              </a:graphicData>
            </a:graphic>
          </wp:anchor>
        </w:drawing>
      </w:r>
    </w:p>
    <w:p>
      <w:pPr>
        <w:jc w:val="center"/>
        <w:ind w:right="-14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768985</wp:posOffset>
            </wp:positionV>
            <wp:extent cx="545211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6">
                      <a:extLst>
                        <a:ext uri="{28A0092B-C50C-407E-A947-70E740481C1C}"/>
                      </a:extLst>
                    </a:blip>
                    <a:srcRect/>
                    <a:stretch>
                      <a:fillRect/>
                    </a:stretch>
                  </pic:blipFill>
                  <pic:spPr bwMode="auto">
                    <a:xfrm>
                      <a:off x="0" y="0"/>
                      <a:ext cx="5452110" cy="17145"/>
                    </a:xfrm>
                    <a:prstGeom prst="rect">
                      <a:avLst/>
                    </a:prstGeom>
                    <a:noFill/>
                  </pic:spPr>
                </pic:pic>
              </a:graphicData>
            </a:graphic>
          </wp:anchor>
        </w:drawing>
        <w:drawing>
          <wp:anchor simplePos="0" relativeHeight="251657728" behindDoc="1" locked="0" layoutInCell="0" allowOverlap="1">
            <wp:simplePos x="0" y="0"/>
            <wp:positionH relativeFrom="column">
              <wp:posOffset>2602865</wp:posOffset>
            </wp:positionH>
            <wp:positionV relativeFrom="paragraph">
              <wp:posOffset>-139065</wp:posOffset>
            </wp:positionV>
            <wp:extent cx="2983230" cy="1454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7">
                      <a:extLst>
                        <a:ext uri="{28A0092B-C50C-407E-A947-70E740481C1C}"/>
                      </a:extLst>
                    </a:blip>
                    <a:srcRect/>
                    <a:stretch>
                      <a:fillRect/>
                    </a:stretch>
                  </pic:blipFill>
                  <pic:spPr bwMode="auto">
                    <a:xfrm>
                      <a:off x="0" y="0"/>
                      <a:ext cx="2983230" cy="145415"/>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51" w:name="page52"/>
    <w:bookmarkEnd w:id="51"/>
    <w:p>
      <w:pPr>
        <w:jc w:val="right"/>
        <w:ind w:right="219"/>
        <w:spacing w:after="0"/>
        <w:rPr>
          <w:sz w:val="20"/>
          <w:szCs w:val="20"/>
          <w:color w:val="auto"/>
        </w:rPr>
      </w:pPr>
      <w:r>
        <w:rPr>
          <w:rFonts w:ascii="Arial" w:cs="Arial" w:eastAsia="Arial" w:hAnsi="Arial"/>
          <w:sz w:val="20"/>
          <w:szCs w:val="20"/>
          <w:b w:val="1"/>
          <w:bCs w:val="1"/>
          <w:color w:val="auto"/>
        </w:rPr>
        <w:t>Exhibit 10(k)</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UFP INDUSTRIES, INC.</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3.15% SENIOR SERIES G NOTE DUE AUGUST 10, 2035</w:t>
      </w:r>
    </w:p>
    <w:p>
      <w:pPr>
        <w:spacing w:after="0" w:line="200" w:lineRule="exact"/>
        <w:rPr>
          <w:sz w:val="20"/>
          <w:szCs w:val="20"/>
          <w:color w:val="auto"/>
        </w:rPr>
      </w:pPr>
    </w:p>
    <w:p>
      <w:pPr>
        <w:spacing w:after="0" w:line="251" w:lineRule="exact"/>
        <w:rPr>
          <w:sz w:val="20"/>
          <w:szCs w:val="20"/>
          <w:color w:val="auto"/>
        </w:rPr>
      </w:pPr>
    </w:p>
    <w:p>
      <w:pPr>
        <w:ind w:left="200"/>
        <w:spacing w:after="0"/>
        <w:rPr>
          <w:sz w:val="20"/>
          <w:szCs w:val="20"/>
          <w:color w:val="auto"/>
        </w:rPr>
      </w:pPr>
      <w:r>
        <w:rPr>
          <w:rFonts w:ascii="Arial" w:cs="Arial" w:eastAsia="Arial" w:hAnsi="Arial"/>
          <w:sz w:val="20"/>
          <w:szCs w:val="20"/>
          <w:color w:val="auto"/>
        </w:rPr>
        <w:t>No. G-2</w:t>
      </w:r>
    </w:p>
    <w:p>
      <w:pPr>
        <w:spacing w:after="0" w:line="20" w:lineRule="exact"/>
        <w:rPr>
          <w:sz w:val="20"/>
          <w:szCs w:val="20"/>
          <w:color w:val="auto"/>
        </w:rPr>
      </w:pPr>
    </w:p>
    <w:p>
      <w:pPr>
        <w:ind w:left="200"/>
        <w:spacing w:after="0"/>
        <w:rPr>
          <w:sz w:val="20"/>
          <w:szCs w:val="20"/>
          <w:color w:val="auto"/>
        </w:rPr>
      </w:pPr>
      <w:r>
        <w:rPr>
          <w:rFonts w:ascii="Arial" w:cs="Arial" w:eastAsia="Arial" w:hAnsi="Arial"/>
          <w:sz w:val="20"/>
          <w:szCs w:val="20"/>
          <w:color w:val="auto"/>
        </w:rPr>
        <w:t>ORIGINAL PRINCIPAL AMOUNT: $6,880,000</w:t>
      </w:r>
    </w:p>
    <w:p>
      <w:pPr>
        <w:spacing w:after="0" w:line="13" w:lineRule="exact"/>
        <w:rPr>
          <w:sz w:val="20"/>
          <w:szCs w:val="20"/>
          <w:color w:val="auto"/>
        </w:rPr>
      </w:pPr>
    </w:p>
    <w:p>
      <w:pPr>
        <w:ind w:left="200"/>
        <w:spacing w:after="0"/>
        <w:rPr>
          <w:sz w:val="20"/>
          <w:szCs w:val="20"/>
          <w:color w:val="auto"/>
        </w:rPr>
      </w:pPr>
      <w:r>
        <w:rPr>
          <w:rFonts w:ascii="Arial" w:cs="Arial" w:eastAsia="Arial" w:hAnsi="Arial"/>
          <w:sz w:val="20"/>
          <w:szCs w:val="20"/>
          <w:color w:val="auto"/>
        </w:rPr>
        <w:t>ORIGINAL ISSUE DATE: August 10, 2020</w:t>
      </w:r>
    </w:p>
    <w:p>
      <w:pPr>
        <w:spacing w:after="0" w:line="13" w:lineRule="exact"/>
        <w:rPr>
          <w:sz w:val="20"/>
          <w:szCs w:val="20"/>
          <w:color w:val="auto"/>
        </w:rPr>
      </w:pPr>
    </w:p>
    <w:p>
      <w:pPr>
        <w:ind w:left="200"/>
        <w:spacing w:after="0"/>
        <w:rPr>
          <w:sz w:val="20"/>
          <w:szCs w:val="20"/>
          <w:color w:val="auto"/>
        </w:rPr>
      </w:pPr>
      <w:r>
        <w:rPr>
          <w:rFonts w:ascii="Arial" w:cs="Arial" w:eastAsia="Arial" w:hAnsi="Arial"/>
          <w:sz w:val="20"/>
          <w:szCs w:val="20"/>
          <w:color w:val="auto"/>
        </w:rPr>
        <w:t>INTEREST RATE: 3.15%</w:t>
      </w:r>
    </w:p>
    <w:p>
      <w:pPr>
        <w:spacing w:after="0" w:line="13" w:lineRule="exact"/>
        <w:rPr>
          <w:sz w:val="20"/>
          <w:szCs w:val="20"/>
          <w:color w:val="auto"/>
        </w:rPr>
      </w:pPr>
    </w:p>
    <w:p>
      <w:pPr>
        <w:ind w:left="200" w:right="579"/>
        <w:spacing w:after="0" w:line="253" w:lineRule="auto"/>
        <w:rPr>
          <w:sz w:val="20"/>
          <w:szCs w:val="20"/>
          <w:color w:val="auto"/>
        </w:rPr>
      </w:pPr>
      <w:r>
        <w:rPr>
          <w:rFonts w:ascii="Arial" w:cs="Arial" w:eastAsia="Arial" w:hAnsi="Arial"/>
          <w:sz w:val="20"/>
          <w:szCs w:val="20"/>
          <w:color w:val="auto"/>
        </w:rPr>
        <w:t>INTEREST PAYMENT DATES: Semi-annually, in arrears, on February 10 and August 10 of each year, commencing on February 10, 2021</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20"/>
          <w:szCs w:val="20"/>
          <w:color w:val="auto"/>
        </w:rPr>
        <w:t>FINAL MATURITY DATE: August 10, 2035</w:t>
      </w:r>
    </w:p>
    <w:p>
      <w:pPr>
        <w:spacing w:after="0" w:line="13" w:lineRule="exact"/>
        <w:rPr>
          <w:sz w:val="20"/>
          <w:szCs w:val="20"/>
          <w:color w:val="auto"/>
        </w:rPr>
      </w:pPr>
    </w:p>
    <w:p>
      <w:pPr>
        <w:ind w:left="200" w:right="1979"/>
        <w:spacing w:after="0" w:line="267" w:lineRule="auto"/>
        <w:rPr>
          <w:sz w:val="20"/>
          <w:szCs w:val="20"/>
          <w:color w:val="auto"/>
        </w:rPr>
      </w:pPr>
      <w:r>
        <w:rPr>
          <w:rFonts w:ascii="Arial" w:cs="Arial" w:eastAsia="Arial" w:hAnsi="Arial"/>
          <w:sz w:val="20"/>
          <w:szCs w:val="20"/>
          <w:color w:val="auto"/>
        </w:rPr>
        <w:t>PRINCIPAL PREPAYMENT DATES AND AMOUNTS: None, bullet due at maturity PPN 913543 E*1</w:t>
      </w:r>
    </w:p>
    <w:p>
      <w:pPr>
        <w:spacing w:after="0" w:line="115" w:lineRule="exact"/>
        <w:rPr>
          <w:sz w:val="20"/>
          <w:szCs w:val="20"/>
          <w:color w:val="auto"/>
        </w:rPr>
      </w:pPr>
    </w:p>
    <w:p>
      <w:pPr>
        <w:jc w:val="both"/>
        <w:ind w:left="200" w:right="219" w:firstLine="648"/>
        <w:spacing w:after="0" w:line="257" w:lineRule="auto"/>
        <w:rPr>
          <w:sz w:val="20"/>
          <w:szCs w:val="20"/>
          <w:color w:val="auto"/>
        </w:rPr>
      </w:pPr>
      <w:r>
        <w:rPr>
          <w:rFonts w:ascii="Arial" w:cs="Arial" w:eastAsia="Arial" w:hAnsi="Arial"/>
          <w:sz w:val="20"/>
          <w:szCs w:val="20"/>
          <w:color w:val="auto"/>
        </w:rPr>
        <w:t>FOR VALUE RECEIVED, the undersigned, UFP Industries, Inc. (f/k/a Universal Forest Products, Inc.), a Michigan corporation (herein called the “Company”), hereby promises to pay to</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P</w:t>
      </w:r>
      <w:r>
        <w:rPr>
          <w:rFonts w:ascii="Arial" w:cs="Arial" w:eastAsia="Arial" w:hAnsi="Arial"/>
          <w:sz w:val="12"/>
          <w:szCs w:val="12"/>
          <w:b w:val="1"/>
          <w:bCs w:val="1"/>
          <w:color w:val="auto"/>
        </w:rPr>
        <w:t>ENSIONSKASSE DES</w:t>
      </w:r>
      <w:r>
        <w:rPr>
          <w:rFonts w:ascii="Arial" w:cs="Arial" w:eastAsia="Arial" w:hAnsi="Arial"/>
          <w:sz w:val="19"/>
          <w:szCs w:val="19"/>
          <w:b w:val="1"/>
          <w:bCs w:val="1"/>
          <w:color w:val="auto"/>
        </w:rPr>
        <w:t xml:space="preserve"> B</w:t>
      </w:r>
      <w:r>
        <w:rPr>
          <w:rFonts w:ascii="Arial" w:cs="Arial" w:eastAsia="Arial" w:hAnsi="Arial"/>
          <w:sz w:val="12"/>
          <w:szCs w:val="12"/>
          <w:b w:val="1"/>
          <w:bCs w:val="1"/>
          <w:color w:val="auto"/>
        </w:rPr>
        <w:t>UNDES</w:t>
      </w:r>
      <w:r>
        <w:rPr>
          <w:rFonts w:ascii="Arial" w:cs="Arial" w:eastAsia="Arial" w:hAnsi="Arial"/>
          <w:sz w:val="19"/>
          <w:szCs w:val="19"/>
          <w:b w:val="1"/>
          <w:bCs w:val="1"/>
          <w:color w:val="auto"/>
        </w:rPr>
        <w:t xml:space="preserve"> P</w:t>
      </w:r>
      <w:r>
        <w:rPr>
          <w:rFonts w:ascii="Arial" w:cs="Arial" w:eastAsia="Arial" w:hAnsi="Arial"/>
          <w:sz w:val="12"/>
          <w:szCs w:val="12"/>
          <w:b w:val="1"/>
          <w:bCs w:val="1"/>
          <w:color w:val="auto"/>
        </w:rPr>
        <w:t>UBLICA</w:t>
      </w:r>
      <w:r>
        <w:rPr>
          <w:rFonts w:ascii="Arial" w:cs="Arial" w:eastAsia="Arial" w:hAnsi="Arial"/>
          <w:sz w:val="19"/>
          <w:szCs w:val="19"/>
          <w:color w:val="auto"/>
        </w:rPr>
        <w:t>, or registered assigns, the principal sum of</w:t>
      </w:r>
      <w:r>
        <w:rPr>
          <w:rFonts w:ascii="Arial" w:cs="Arial" w:eastAsia="Arial" w:hAnsi="Arial"/>
          <w:sz w:val="19"/>
          <w:szCs w:val="19"/>
          <w:b w:val="1"/>
          <w:bCs w:val="1"/>
          <w:color w:val="auto"/>
        </w:rPr>
        <w:t xml:space="preserve"> S</w:t>
      </w:r>
      <w:r>
        <w:rPr>
          <w:rFonts w:ascii="Arial" w:cs="Arial" w:eastAsia="Arial" w:hAnsi="Arial"/>
          <w:sz w:val="12"/>
          <w:szCs w:val="12"/>
          <w:b w:val="1"/>
          <w:bCs w:val="1"/>
          <w:color w:val="auto"/>
        </w:rPr>
        <w:t>IX</w:t>
      </w:r>
      <w:r>
        <w:rPr>
          <w:rFonts w:ascii="Arial" w:cs="Arial" w:eastAsia="Arial" w:hAnsi="Arial"/>
          <w:sz w:val="19"/>
          <w:szCs w:val="19"/>
          <w:b w:val="1"/>
          <w:bCs w:val="1"/>
          <w:color w:val="auto"/>
        </w:rPr>
        <w:t xml:space="preserve"> M</w:t>
      </w:r>
      <w:r>
        <w:rPr>
          <w:rFonts w:ascii="Arial" w:cs="Arial" w:eastAsia="Arial" w:hAnsi="Arial"/>
          <w:sz w:val="12"/>
          <w:szCs w:val="12"/>
          <w:b w:val="1"/>
          <w:bCs w:val="1"/>
          <w:color w:val="auto"/>
        </w:rPr>
        <w:t>ILLION</w:t>
      </w:r>
      <w:r>
        <w:rPr>
          <w:rFonts w:ascii="Arial" w:cs="Arial" w:eastAsia="Arial" w:hAnsi="Arial"/>
          <w:sz w:val="19"/>
          <w:szCs w:val="19"/>
          <w:b w:val="1"/>
          <w:bCs w:val="1"/>
          <w:color w:val="auto"/>
        </w:rPr>
        <w:t xml:space="preserve"> E</w:t>
      </w:r>
      <w:r>
        <w:rPr>
          <w:rFonts w:ascii="Arial" w:cs="Arial" w:eastAsia="Arial" w:hAnsi="Arial"/>
          <w:sz w:val="12"/>
          <w:szCs w:val="12"/>
          <w:b w:val="1"/>
          <w:bCs w:val="1"/>
          <w:color w:val="auto"/>
        </w:rPr>
        <w:t>IGHT</w:t>
      </w:r>
      <w:r>
        <w:rPr>
          <w:rFonts w:ascii="Arial" w:cs="Arial" w:eastAsia="Arial" w:hAnsi="Arial"/>
          <w:sz w:val="19"/>
          <w:szCs w:val="19"/>
          <w:b w:val="1"/>
          <w:bCs w:val="1"/>
          <w:color w:val="auto"/>
        </w:rPr>
        <w:t xml:space="preserve"> H</w:t>
      </w:r>
      <w:r>
        <w:rPr>
          <w:rFonts w:ascii="Arial" w:cs="Arial" w:eastAsia="Arial" w:hAnsi="Arial"/>
          <w:sz w:val="12"/>
          <w:szCs w:val="12"/>
          <w:b w:val="1"/>
          <w:bCs w:val="1"/>
          <w:color w:val="auto"/>
        </w:rPr>
        <w:t>UNDRED</w:t>
      </w:r>
    </w:p>
    <w:p>
      <w:pPr>
        <w:spacing w:after="0" w:line="25" w:lineRule="exact"/>
        <w:rPr>
          <w:sz w:val="20"/>
          <w:szCs w:val="20"/>
          <w:color w:val="auto"/>
        </w:rPr>
      </w:pPr>
    </w:p>
    <w:p>
      <w:pPr>
        <w:jc w:val="both"/>
        <w:ind w:left="200" w:right="219"/>
        <w:spacing w:after="0" w:line="269" w:lineRule="auto"/>
        <w:rPr>
          <w:sz w:val="20"/>
          <w:szCs w:val="20"/>
          <w:color w:val="auto"/>
        </w:rPr>
      </w:pPr>
      <w:r>
        <w:rPr>
          <w:rFonts w:ascii="Arial" w:cs="Arial" w:eastAsia="Arial" w:hAnsi="Arial"/>
          <w:sz w:val="19"/>
          <w:szCs w:val="19"/>
          <w:b w:val="1"/>
          <w:bCs w:val="1"/>
          <w:color w:val="auto"/>
        </w:rPr>
        <w:t>E</w:t>
      </w:r>
      <w:r>
        <w:rPr>
          <w:rFonts w:ascii="Arial" w:cs="Arial" w:eastAsia="Arial" w:hAnsi="Arial"/>
          <w:sz w:val="12"/>
          <w:szCs w:val="12"/>
          <w:b w:val="1"/>
          <w:bCs w:val="1"/>
          <w:color w:val="auto"/>
        </w:rPr>
        <w:t>IGHTY</w:t>
      </w:r>
      <w:r>
        <w:rPr>
          <w:rFonts w:ascii="Arial" w:cs="Arial" w:eastAsia="Arial" w:hAnsi="Arial"/>
          <w:sz w:val="19"/>
          <w:szCs w:val="19"/>
          <w:b w:val="1"/>
          <w:bCs w:val="1"/>
          <w:color w:val="auto"/>
        </w:rPr>
        <w:t xml:space="preserve"> T</w:t>
      </w:r>
      <w:r>
        <w:rPr>
          <w:rFonts w:ascii="Arial" w:cs="Arial" w:eastAsia="Arial" w:hAnsi="Arial"/>
          <w:sz w:val="12"/>
          <w:szCs w:val="12"/>
          <w:b w:val="1"/>
          <w:bCs w:val="1"/>
          <w:color w:val="auto"/>
        </w:rPr>
        <w:t>HOUSAND</w:t>
      </w:r>
      <w:r>
        <w:rPr>
          <w:rFonts w:ascii="Arial" w:cs="Arial" w:eastAsia="Arial" w:hAnsi="Arial"/>
          <w:sz w:val="19"/>
          <w:szCs w:val="19"/>
          <w:b w:val="1"/>
          <w:bCs w:val="1"/>
          <w:color w:val="auto"/>
        </w:rPr>
        <w:t xml:space="preserve"> D</w:t>
      </w:r>
      <w:r>
        <w:rPr>
          <w:rFonts w:ascii="Arial" w:cs="Arial" w:eastAsia="Arial" w:hAnsi="Arial"/>
          <w:sz w:val="12"/>
          <w:szCs w:val="12"/>
          <w:b w:val="1"/>
          <w:bCs w:val="1"/>
          <w:color w:val="auto"/>
        </w:rPr>
        <w:t>OLLARS</w:t>
      </w:r>
      <w:r>
        <w:rPr>
          <w:rFonts w:ascii="Arial" w:cs="Arial" w:eastAsia="Arial" w:hAnsi="Arial"/>
          <w:sz w:val="19"/>
          <w:szCs w:val="19"/>
          <w:b w:val="1"/>
          <w:bCs w:val="1"/>
          <w:color w:val="auto"/>
        </w:rPr>
        <w:t xml:space="preserve"> </w:t>
      </w:r>
      <w:r>
        <w:rPr>
          <w:rFonts w:ascii="Arial" w:cs="Arial" w:eastAsia="Arial" w:hAnsi="Arial"/>
          <w:sz w:val="19"/>
          <w:szCs w:val="19"/>
          <w:color w:val="auto"/>
        </w:rPr>
        <w:t>on the Final Maturity Date specified above, with interest (computed on the</w:t>
      </w:r>
      <w:r>
        <w:rPr>
          <w:rFonts w:ascii="Arial" w:cs="Arial" w:eastAsia="Arial" w:hAnsi="Arial"/>
          <w:sz w:val="19"/>
          <w:szCs w:val="19"/>
          <w:b w:val="1"/>
          <w:bCs w:val="1"/>
          <w:color w:val="auto"/>
        </w:rPr>
        <w:t xml:space="preserve"> </w:t>
      </w:r>
      <w:r>
        <w:rPr>
          <w:rFonts w:ascii="Arial" w:cs="Arial" w:eastAsia="Arial" w:hAnsi="Arial"/>
          <w:sz w:val="19"/>
          <w:szCs w:val="19"/>
          <w:color w:val="auto"/>
        </w:rPr>
        <w:t>basis of a 360-day year—30-day month) on the unpaid balance thereof at the Interest Rate per annum specified above from the date hereof, payable on each Interest Payment Date specified above and on the Final Maturity Date specified above, commencing with the Interest Payment Date next succeeding the date hereof. The Company agrees to pay interest on overdue principal (including any overdue optional prepayment of principal) and premium, if any, and (to the extent legally enforceable) on any overdue installment of interest, at the Overdue Rate after the due date, whether by acceleration or otherwise, until paid. “Overdue Rate” shall mean the lesser of (a) the maximum interest rate permitted by law, and (b) the greater of (ii) the Interest Rate specified above plus 2.00% per annum or (b) the rate of interest publicly announced by JPMorgan Chase Bank, National Association, from time to time in New York City as its Prime Rate plus 2.00% per annum.</w:t>
      </w:r>
    </w:p>
    <w:p>
      <w:pPr>
        <w:spacing w:after="0" w:line="107" w:lineRule="exact"/>
        <w:rPr>
          <w:sz w:val="20"/>
          <w:szCs w:val="20"/>
          <w:color w:val="auto"/>
        </w:rPr>
      </w:pPr>
    </w:p>
    <w:p>
      <w:pPr>
        <w:jc w:val="both"/>
        <w:ind w:left="200" w:right="219" w:firstLine="648"/>
        <w:spacing w:after="0" w:line="286" w:lineRule="auto"/>
        <w:rPr>
          <w:sz w:val="20"/>
          <w:szCs w:val="20"/>
          <w:color w:val="auto"/>
        </w:rPr>
      </w:pPr>
      <w:r>
        <w:rPr>
          <w:rFonts w:ascii="Arial" w:cs="Arial" w:eastAsia="Arial" w:hAnsi="Arial"/>
          <w:sz w:val="18"/>
          <w:szCs w:val="18"/>
          <w:color w:val="auto"/>
        </w:rPr>
        <w:t xml:space="preserve">Both the principal hereof and interest hereon are payable at the principal office of the Company in Grand Rapids, Michigan in coin or currency of the United States of America which at the time of payment shall be legal tender for the payment of public and private debts. If any amount of principal, premium, if any, or interest on or in respect of this Note becomes due and payable on any date which is not a Business Day, such amount shall be payable on the immediately succeeding Business Day without including the additional days elapsed in the computation of the interest payable on such next succeeding Business Day;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if the maturity date of this Note is a date other than a Business Day, the payment otherwise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due on such maturity date shall be made on the next succeeding Business Day and shall include the additional days elapsed in the computation of interest payable on such next succeeding Business Day. </w:t>
      </w:r>
      <w:r>
        <w:rPr>
          <w:rFonts w:ascii="Arial" w:cs="Arial" w:eastAsia="Arial" w:hAnsi="Arial"/>
          <w:sz w:val="18"/>
          <w:szCs w:val="18"/>
          <w:i w:val="1"/>
          <w:iCs w:val="1"/>
          <w:color w:val="auto"/>
        </w:rPr>
        <w:t xml:space="preserve">“Business Day” </w:t>
      </w:r>
      <w:r>
        <w:rPr>
          <w:rFonts w:ascii="Arial" w:cs="Arial" w:eastAsia="Arial" w:hAnsi="Arial"/>
          <w:sz w:val="18"/>
          <w:szCs w:val="18"/>
          <w:color w:val="auto"/>
        </w:rPr>
        <w:t>means any day other than a Saturday, Sunday or other day on which banks in either Grand</w:t>
      </w:r>
      <w:r>
        <w:rPr>
          <w:rFonts w:ascii="Arial" w:cs="Arial" w:eastAsia="Arial" w:hAnsi="Arial"/>
          <w:sz w:val="18"/>
          <w:szCs w:val="18"/>
          <w:i w:val="1"/>
          <w:iCs w:val="1"/>
          <w:color w:val="auto"/>
        </w:rPr>
        <w:t xml:space="preserve"> </w:t>
      </w:r>
      <w:r>
        <w:rPr>
          <w:rFonts w:ascii="Arial" w:cs="Arial" w:eastAsia="Arial" w:hAnsi="Arial"/>
          <w:sz w:val="18"/>
          <w:szCs w:val="18"/>
          <w:color w:val="auto"/>
        </w:rPr>
        <w:t>Rapids, Michigan or New York, New York are required by law to close or are customarily closed.</w:t>
      </w:r>
    </w:p>
    <w:p>
      <w:pPr>
        <w:spacing w:after="0" w:line="108" w:lineRule="exact"/>
        <w:rPr>
          <w:sz w:val="20"/>
          <w:szCs w:val="20"/>
          <w:color w:val="auto"/>
        </w:rPr>
      </w:pPr>
    </w:p>
    <w:p>
      <w:pPr>
        <w:jc w:val="both"/>
        <w:ind w:left="200" w:right="219" w:firstLine="648"/>
        <w:spacing w:after="0" w:line="291" w:lineRule="auto"/>
        <w:rPr>
          <w:sz w:val="20"/>
          <w:szCs w:val="20"/>
          <w:color w:val="auto"/>
        </w:rPr>
      </w:pPr>
      <w:r>
        <w:rPr>
          <w:rFonts w:ascii="Arial" w:cs="Arial" w:eastAsia="Arial" w:hAnsi="Arial"/>
          <w:sz w:val="18"/>
          <w:szCs w:val="18"/>
          <w:color w:val="auto"/>
        </w:rPr>
        <w:t>This Note is one of the 3.15% Series G Senior Notes, due August 10, 2035 of the Company in the original aggregate principal amount of $50,000,000, which, together with the 3.89% Series A Senior Notes, due December 17, 2022, of the Company in the original aggregate principal amount of $35,000,000, the 3.98% Series B Senior Notes, due December 17, 2024, of the Company in the original aggregate principal amount of $40,000,000, and any other Shelf Notes (as defined in the Note Agreement hereafter mentioned), are issued or to be issued under and pursuant to the terms and provisions of the Note Purchase and Private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460375</wp:posOffset>
            </wp:positionV>
            <wp:extent cx="5452110"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52" w:name="page53"/>
    <w:bookmarkEnd w:id="52"/>
    <w:p>
      <w:pPr>
        <w:jc w:val="right"/>
        <w:ind w:right="219"/>
        <w:spacing w:after="0"/>
        <w:rPr>
          <w:sz w:val="20"/>
          <w:szCs w:val="20"/>
          <w:color w:val="auto"/>
        </w:rPr>
      </w:pPr>
      <w:r>
        <w:rPr>
          <w:rFonts w:ascii="Arial" w:cs="Arial" w:eastAsia="Arial" w:hAnsi="Arial"/>
          <w:sz w:val="20"/>
          <w:szCs w:val="20"/>
          <w:b w:val="1"/>
          <w:bCs w:val="1"/>
          <w:color w:val="auto"/>
        </w:rPr>
        <w:t>Exhibit 10(k)</w:t>
      </w:r>
    </w:p>
    <w:p>
      <w:pPr>
        <w:spacing w:after="0" w:line="200" w:lineRule="exact"/>
        <w:rPr>
          <w:sz w:val="20"/>
          <w:szCs w:val="20"/>
          <w:color w:val="auto"/>
        </w:rPr>
      </w:pPr>
    </w:p>
    <w:p>
      <w:pPr>
        <w:spacing w:after="0" w:line="238" w:lineRule="exact"/>
        <w:rPr>
          <w:sz w:val="20"/>
          <w:szCs w:val="20"/>
          <w:color w:val="auto"/>
        </w:rPr>
      </w:pPr>
    </w:p>
    <w:p>
      <w:pPr>
        <w:jc w:val="both"/>
        <w:ind w:left="200" w:right="219"/>
        <w:spacing w:after="0" w:line="273" w:lineRule="auto"/>
        <w:rPr>
          <w:sz w:val="20"/>
          <w:szCs w:val="20"/>
          <w:color w:val="auto"/>
        </w:rPr>
      </w:pPr>
      <w:r>
        <w:rPr>
          <w:rFonts w:ascii="Arial" w:cs="Arial" w:eastAsia="Arial" w:hAnsi="Arial"/>
          <w:sz w:val="19"/>
          <w:szCs w:val="19"/>
          <w:color w:val="auto"/>
        </w:rPr>
        <w:t xml:space="preserve">Shelf Agreement, dated as of December 17, 2012 (the </w:t>
      </w:r>
      <w:r>
        <w:rPr>
          <w:rFonts w:ascii="Arial" w:cs="Arial" w:eastAsia="Arial" w:hAnsi="Arial"/>
          <w:sz w:val="19"/>
          <w:szCs w:val="19"/>
          <w:i w:val="1"/>
          <w:iCs w:val="1"/>
          <w:color w:val="auto"/>
        </w:rPr>
        <w:t>“Note Agreement”</w:t>
      </w:r>
      <w:r>
        <w:rPr>
          <w:rFonts w:ascii="Arial" w:cs="Arial" w:eastAsia="Arial" w:hAnsi="Arial"/>
          <w:sz w:val="19"/>
          <w:szCs w:val="19"/>
          <w:color w:val="auto"/>
        </w:rPr>
        <w:t>), between the Company, on the one hand, and PGIM, Inc. , the Initial Purchasers named in the Purchaser Schedule attached thereto and each Prudential Affiliate which becomes party thereto, on the other hand, and the holder hereof is entitled equally and ratably with the holders of all other Notes outstanding under the Note Agreement to all the benefits provided for thereby or referred to therein. Reference is hereby made to the Note Agreement for a statement of such rights and benefits.</w:t>
      </w:r>
    </w:p>
    <w:p>
      <w:pPr>
        <w:spacing w:after="0" w:line="115" w:lineRule="exact"/>
        <w:rPr>
          <w:sz w:val="20"/>
          <w:szCs w:val="20"/>
          <w:color w:val="auto"/>
        </w:rPr>
      </w:pPr>
    </w:p>
    <w:p>
      <w:pPr>
        <w:jc w:val="both"/>
        <w:ind w:left="200" w:right="239" w:firstLine="648"/>
        <w:spacing w:after="0" w:line="284" w:lineRule="auto"/>
        <w:rPr>
          <w:sz w:val="20"/>
          <w:szCs w:val="20"/>
          <w:color w:val="auto"/>
        </w:rPr>
      </w:pPr>
      <w:r>
        <w:rPr>
          <w:rFonts w:ascii="Arial" w:cs="Arial" w:eastAsia="Arial" w:hAnsi="Arial"/>
          <w:sz w:val="19"/>
          <w:szCs w:val="19"/>
          <w:color w:val="auto"/>
        </w:rPr>
        <w:t>This Note and the other Notes outstanding under the Note Agreement may be declared due prior to their expressed maturity dates and certain prepayments are required to be made thereon, all in the events, on the terms and in the manner and amounts as provided in the Note Agreements.</w:t>
      </w:r>
    </w:p>
    <w:p>
      <w:pPr>
        <w:spacing w:after="0" w:line="88" w:lineRule="exact"/>
        <w:rPr>
          <w:sz w:val="20"/>
          <w:szCs w:val="20"/>
          <w:color w:val="auto"/>
        </w:rPr>
      </w:pPr>
    </w:p>
    <w:p>
      <w:pPr>
        <w:jc w:val="both"/>
        <w:ind w:left="200" w:right="219" w:firstLine="648"/>
        <w:spacing w:after="0" w:line="264" w:lineRule="auto"/>
        <w:rPr>
          <w:sz w:val="20"/>
          <w:szCs w:val="20"/>
          <w:color w:val="auto"/>
        </w:rPr>
      </w:pPr>
      <w:r>
        <w:rPr>
          <w:rFonts w:ascii="Arial" w:cs="Arial" w:eastAsia="Arial" w:hAnsi="Arial"/>
          <w:sz w:val="20"/>
          <w:szCs w:val="20"/>
          <w:color w:val="auto"/>
        </w:rPr>
        <w:t>The Notes are not subject to prepayment or redemption at the option of the Company prior to their expressed maturity dates except on the terms and conditions and in the amounts and with the premium, if any, set forth in the Note Agreement.</w:t>
      </w:r>
    </w:p>
    <w:p>
      <w:pPr>
        <w:spacing w:after="0" w:line="119" w:lineRule="exact"/>
        <w:rPr>
          <w:sz w:val="20"/>
          <w:szCs w:val="20"/>
          <w:color w:val="auto"/>
        </w:rPr>
      </w:pPr>
    </w:p>
    <w:p>
      <w:pPr>
        <w:jc w:val="both"/>
        <w:ind w:left="200" w:right="219" w:firstLine="648"/>
        <w:spacing w:after="0" w:line="258" w:lineRule="auto"/>
        <w:rPr>
          <w:sz w:val="20"/>
          <w:szCs w:val="20"/>
          <w:color w:val="auto"/>
        </w:rPr>
      </w:pPr>
      <w:r>
        <w:rPr>
          <w:rFonts w:ascii="Arial" w:cs="Arial" w:eastAsia="Arial" w:hAnsi="Arial"/>
          <w:sz w:val="20"/>
          <w:szCs w:val="20"/>
          <w:color w:val="auto"/>
        </w:rPr>
        <w:t>This Note is registered on the books of the Company and is transferable only by surrender thereof at the principal office of the Company duly endorsed or accompanied by a written instrument of transfer duly executed by the registered holder of this Note or its attorney duly authorized in writing. Payment of or on account of principal, premium, if any, and interest on this Note shall be made only to or upon the order in writing of the registered holder.</w:t>
      </w:r>
    </w:p>
    <w:p>
      <w:pPr>
        <w:spacing w:after="0" w:line="127" w:lineRule="exact"/>
        <w:rPr>
          <w:sz w:val="20"/>
          <w:szCs w:val="20"/>
          <w:color w:val="auto"/>
        </w:rPr>
      </w:pPr>
    </w:p>
    <w:p>
      <w:pPr>
        <w:ind w:left="38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follows</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1082040</wp:posOffset>
            </wp:positionV>
            <wp:extent cx="545211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9">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53" w:name="page54"/>
    <w:bookmarkEnd w:id="53"/>
    <w:p>
      <w:pPr>
        <w:jc w:val="right"/>
        <w:ind w:right="219"/>
        <w:spacing w:after="0"/>
        <w:rPr>
          <w:sz w:val="20"/>
          <w:szCs w:val="20"/>
          <w:color w:val="auto"/>
        </w:rPr>
      </w:pPr>
      <w:r>
        <w:rPr>
          <w:rFonts w:ascii="Arial" w:cs="Arial" w:eastAsia="Arial" w:hAnsi="Arial"/>
          <w:sz w:val="20"/>
          <w:szCs w:val="20"/>
          <w:b w:val="1"/>
          <w:bCs w:val="1"/>
          <w:color w:val="auto"/>
        </w:rPr>
        <w:t>Exhibit 10(k)</w:t>
      </w:r>
    </w:p>
    <w:p>
      <w:pPr>
        <w:spacing w:after="0" w:line="200" w:lineRule="exact"/>
        <w:rPr>
          <w:sz w:val="20"/>
          <w:szCs w:val="20"/>
          <w:color w:val="auto"/>
        </w:rPr>
      </w:pPr>
    </w:p>
    <w:p>
      <w:pPr>
        <w:spacing w:after="0" w:line="232" w:lineRule="exact"/>
        <w:rPr>
          <w:sz w:val="20"/>
          <w:szCs w:val="20"/>
          <w:color w:val="auto"/>
        </w:rPr>
      </w:pPr>
    </w:p>
    <w:p>
      <w:pPr>
        <w:jc w:val="both"/>
        <w:ind w:left="200" w:right="219" w:firstLine="648"/>
        <w:spacing w:after="0" w:line="262" w:lineRule="auto"/>
        <w:rPr>
          <w:sz w:val="20"/>
          <w:szCs w:val="20"/>
          <w:color w:val="auto"/>
        </w:rPr>
      </w:pPr>
      <w:r>
        <w:rPr>
          <w:rFonts w:ascii="Arial" w:cs="Arial" w:eastAsia="Arial" w:hAnsi="Arial"/>
          <w:sz w:val="20"/>
          <w:szCs w:val="20"/>
          <w:b w:val="1"/>
          <w:bCs w:val="1"/>
          <w:color w:val="auto"/>
        </w:rPr>
        <w:t>This Note and said Note Agreement are governed by and construed in accordance with the law of Illinois (excluding any conflicts of law rules which would otherwise cause this note to be construed or enforced in accordance with the laws of any other jurisdiction), including all matters of construction, validity and performance.</w:t>
      </w:r>
    </w:p>
    <w:p>
      <w:pPr>
        <w:spacing w:after="0" w:line="122"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UFP I</w:t>
      </w:r>
      <w:r>
        <w:rPr>
          <w:rFonts w:ascii="Arial" w:cs="Arial" w:eastAsia="Arial" w:hAnsi="Arial"/>
          <w:sz w:val="13"/>
          <w:szCs w:val="13"/>
          <w:color w:val="auto"/>
        </w:rPr>
        <w:t>NDUSTRIES</w:t>
      </w:r>
      <w:r>
        <w:rPr>
          <w:rFonts w:ascii="Arial" w:cs="Arial" w:eastAsia="Arial" w:hAnsi="Arial"/>
          <w:sz w:val="20"/>
          <w:szCs w:val="20"/>
          <w:color w:val="auto"/>
        </w:rPr>
        <w:t>, I</w:t>
      </w:r>
      <w:r>
        <w:rPr>
          <w:rFonts w:ascii="Arial" w:cs="Arial" w:eastAsia="Arial" w:hAnsi="Arial"/>
          <w:sz w:val="13"/>
          <w:szCs w:val="13"/>
          <w:color w:val="auto"/>
        </w:rPr>
        <w:t>NC</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100"/>
        <w:spacing w:after="0"/>
        <w:rPr>
          <w:sz w:val="20"/>
          <w:szCs w:val="20"/>
          <w:color w:val="auto"/>
        </w:rPr>
      </w:pPr>
      <w:r>
        <w:rPr>
          <w:rFonts w:ascii="Arial" w:cs="Arial" w:eastAsia="Arial" w:hAnsi="Arial"/>
          <w:sz w:val="20"/>
          <w:szCs w:val="20"/>
          <w:color w:val="auto"/>
          <w:highlight w:val="white"/>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-31750</wp:posOffset>
            </wp:positionV>
            <wp:extent cx="278574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0">
                      <a:extLst>
                        <a:ext uri="{28A0092B-C50C-407E-A947-70E740481C1C}"/>
                      </a:extLst>
                    </a:blip>
                    <a:srcRect/>
                    <a:stretch>
                      <a:fillRect/>
                    </a:stretch>
                  </pic:blipFill>
                  <pic:spPr bwMode="auto">
                    <a:xfrm>
                      <a:off x="0" y="0"/>
                      <a:ext cx="2785745" cy="8890"/>
                    </a:xfrm>
                    <a:prstGeom prst="rect">
                      <a:avLst/>
                    </a:prstGeom>
                    <a:noFill/>
                  </pic:spPr>
                </pic:pic>
              </a:graphicData>
            </a:graphic>
          </wp:anchor>
        </w:drawing>
      </w:r>
    </w:p>
    <w:p>
      <w:pPr>
        <w:jc w:val="center"/>
        <w:ind w:right="-14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1009015</wp:posOffset>
            </wp:positionV>
            <wp:extent cx="545211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1">
                      <a:extLst>
                        <a:ext uri="{28A0092B-C50C-407E-A947-70E740481C1C}"/>
                      </a:extLst>
                    </a:blip>
                    <a:srcRect/>
                    <a:stretch>
                      <a:fillRect/>
                    </a:stretch>
                  </pic:blipFill>
                  <pic:spPr bwMode="auto">
                    <a:xfrm>
                      <a:off x="0" y="0"/>
                      <a:ext cx="5452110" cy="26035"/>
                    </a:xfrm>
                    <a:prstGeom prst="rect">
                      <a:avLst/>
                    </a:prstGeom>
                    <a:noFill/>
                  </pic:spPr>
                </pic:pic>
              </a:graphicData>
            </a:graphic>
          </wp:anchor>
        </w:drawing>
        <w:drawing>
          <wp:anchor simplePos="0" relativeHeight="251657728" behindDoc="1" locked="0" layoutInCell="0" allowOverlap="1">
            <wp:simplePos x="0" y="0"/>
            <wp:positionH relativeFrom="column">
              <wp:posOffset>2602865</wp:posOffset>
            </wp:positionH>
            <wp:positionV relativeFrom="paragraph">
              <wp:posOffset>-139065</wp:posOffset>
            </wp:positionV>
            <wp:extent cx="2983230" cy="1454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2">
                      <a:extLst>
                        <a:ext uri="{28A0092B-C50C-407E-A947-70E740481C1C}"/>
                      </a:extLst>
                    </a:blip>
                    <a:srcRect/>
                    <a:stretch>
                      <a:fillRect/>
                    </a:stretch>
                  </pic:blipFill>
                  <pic:spPr bwMode="auto">
                    <a:xfrm>
                      <a:off x="0" y="0"/>
                      <a:ext cx="2983230" cy="145415"/>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54" w:name="page55"/>
    <w:bookmarkEnd w:id="54"/>
    <w:p>
      <w:pPr>
        <w:jc w:val="right"/>
        <w:ind w:right="219"/>
        <w:spacing w:after="0"/>
        <w:rPr>
          <w:sz w:val="20"/>
          <w:szCs w:val="20"/>
          <w:color w:val="auto"/>
        </w:rPr>
      </w:pPr>
      <w:r>
        <w:rPr>
          <w:rFonts w:ascii="Arial" w:cs="Arial" w:eastAsia="Arial" w:hAnsi="Arial"/>
          <w:sz w:val="20"/>
          <w:szCs w:val="20"/>
          <w:b w:val="1"/>
          <w:bCs w:val="1"/>
          <w:color w:val="auto"/>
        </w:rPr>
        <w:t>Exhibit 10(k)</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UFP INDUSTRIES, INC.</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3.15% SENIOR SERIES G NOTE DUE AUGUST 10, 2035</w:t>
      </w:r>
    </w:p>
    <w:p>
      <w:pPr>
        <w:spacing w:after="0" w:line="200" w:lineRule="exact"/>
        <w:rPr>
          <w:sz w:val="20"/>
          <w:szCs w:val="20"/>
          <w:color w:val="auto"/>
        </w:rPr>
      </w:pPr>
    </w:p>
    <w:p>
      <w:pPr>
        <w:spacing w:after="0" w:line="251" w:lineRule="exact"/>
        <w:rPr>
          <w:sz w:val="20"/>
          <w:szCs w:val="20"/>
          <w:color w:val="auto"/>
        </w:rPr>
      </w:pPr>
    </w:p>
    <w:p>
      <w:pPr>
        <w:ind w:left="200"/>
        <w:spacing w:after="0"/>
        <w:rPr>
          <w:sz w:val="20"/>
          <w:szCs w:val="20"/>
          <w:color w:val="auto"/>
        </w:rPr>
      </w:pPr>
      <w:r>
        <w:rPr>
          <w:rFonts w:ascii="Arial" w:cs="Arial" w:eastAsia="Arial" w:hAnsi="Arial"/>
          <w:sz w:val="20"/>
          <w:szCs w:val="20"/>
          <w:color w:val="auto"/>
        </w:rPr>
        <w:t>No. G-3</w:t>
      </w:r>
    </w:p>
    <w:p>
      <w:pPr>
        <w:spacing w:after="0" w:line="20" w:lineRule="exact"/>
        <w:rPr>
          <w:sz w:val="20"/>
          <w:szCs w:val="20"/>
          <w:color w:val="auto"/>
        </w:rPr>
      </w:pPr>
    </w:p>
    <w:p>
      <w:pPr>
        <w:ind w:left="200"/>
        <w:spacing w:after="0"/>
        <w:rPr>
          <w:sz w:val="20"/>
          <w:szCs w:val="20"/>
          <w:color w:val="auto"/>
        </w:rPr>
      </w:pPr>
      <w:r>
        <w:rPr>
          <w:rFonts w:ascii="Arial" w:cs="Arial" w:eastAsia="Arial" w:hAnsi="Arial"/>
          <w:sz w:val="20"/>
          <w:szCs w:val="20"/>
          <w:color w:val="auto"/>
        </w:rPr>
        <w:t>ORIGINAL PRINCIPAL AMOUNT: $3,760,000</w:t>
      </w:r>
    </w:p>
    <w:p>
      <w:pPr>
        <w:spacing w:after="0" w:line="13" w:lineRule="exact"/>
        <w:rPr>
          <w:sz w:val="20"/>
          <w:szCs w:val="20"/>
          <w:color w:val="auto"/>
        </w:rPr>
      </w:pPr>
    </w:p>
    <w:p>
      <w:pPr>
        <w:ind w:left="200"/>
        <w:spacing w:after="0"/>
        <w:rPr>
          <w:sz w:val="20"/>
          <w:szCs w:val="20"/>
          <w:color w:val="auto"/>
        </w:rPr>
      </w:pPr>
      <w:r>
        <w:rPr>
          <w:rFonts w:ascii="Arial" w:cs="Arial" w:eastAsia="Arial" w:hAnsi="Arial"/>
          <w:sz w:val="20"/>
          <w:szCs w:val="20"/>
          <w:color w:val="auto"/>
        </w:rPr>
        <w:t>ORIGINAL ISSUE DATE: August 10, 2020</w:t>
      </w:r>
    </w:p>
    <w:p>
      <w:pPr>
        <w:spacing w:after="0" w:line="13" w:lineRule="exact"/>
        <w:rPr>
          <w:sz w:val="20"/>
          <w:szCs w:val="20"/>
          <w:color w:val="auto"/>
        </w:rPr>
      </w:pPr>
    </w:p>
    <w:p>
      <w:pPr>
        <w:ind w:left="200"/>
        <w:spacing w:after="0"/>
        <w:rPr>
          <w:sz w:val="20"/>
          <w:szCs w:val="20"/>
          <w:color w:val="auto"/>
        </w:rPr>
      </w:pPr>
      <w:r>
        <w:rPr>
          <w:rFonts w:ascii="Arial" w:cs="Arial" w:eastAsia="Arial" w:hAnsi="Arial"/>
          <w:sz w:val="20"/>
          <w:szCs w:val="20"/>
          <w:color w:val="auto"/>
        </w:rPr>
        <w:t>INTEREST RATE: 3.15%</w:t>
      </w:r>
    </w:p>
    <w:p>
      <w:pPr>
        <w:spacing w:after="0" w:line="13" w:lineRule="exact"/>
        <w:rPr>
          <w:sz w:val="20"/>
          <w:szCs w:val="20"/>
          <w:color w:val="auto"/>
        </w:rPr>
      </w:pPr>
    </w:p>
    <w:p>
      <w:pPr>
        <w:ind w:left="200" w:right="579"/>
        <w:spacing w:after="0" w:line="253" w:lineRule="auto"/>
        <w:rPr>
          <w:sz w:val="20"/>
          <w:szCs w:val="20"/>
          <w:color w:val="auto"/>
        </w:rPr>
      </w:pPr>
      <w:r>
        <w:rPr>
          <w:rFonts w:ascii="Arial" w:cs="Arial" w:eastAsia="Arial" w:hAnsi="Arial"/>
          <w:sz w:val="20"/>
          <w:szCs w:val="20"/>
          <w:color w:val="auto"/>
        </w:rPr>
        <w:t>INTEREST PAYMENT DATES: Semi-annually, in arrears, on February 10 and August 10 of each year, commencing on February 10, 2021</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20"/>
          <w:szCs w:val="20"/>
          <w:color w:val="auto"/>
        </w:rPr>
        <w:t>FINAL MATURITY DATE: August 10, 2035</w:t>
      </w:r>
    </w:p>
    <w:p>
      <w:pPr>
        <w:spacing w:after="0" w:line="13" w:lineRule="exact"/>
        <w:rPr>
          <w:sz w:val="20"/>
          <w:szCs w:val="20"/>
          <w:color w:val="auto"/>
        </w:rPr>
      </w:pPr>
    </w:p>
    <w:p>
      <w:pPr>
        <w:ind w:left="200" w:right="1979"/>
        <w:spacing w:after="0" w:line="267" w:lineRule="auto"/>
        <w:rPr>
          <w:sz w:val="20"/>
          <w:szCs w:val="20"/>
          <w:color w:val="auto"/>
        </w:rPr>
      </w:pPr>
      <w:r>
        <w:rPr>
          <w:rFonts w:ascii="Arial" w:cs="Arial" w:eastAsia="Arial" w:hAnsi="Arial"/>
          <w:sz w:val="20"/>
          <w:szCs w:val="20"/>
          <w:color w:val="auto"/>
        </w:rPr>
        <w:t>PRINCIPAL PREPAYMENT DATES AND AMOUNTS: None, bullet due at maturity PPN 913543 E*1</w:t>
      </w:r>
    </w:p>
    <w:p>
      <w:pPr>
        <w:spacing w:after="0" w:line="115" w:lineRule="exact"/>
        <w:rPr>
          <w:sz w:val="20"/>
          <w:szCs w:val="20"/>
          <w:color w:val="auto"/>
        </w:rPr>
      </w:pPr>
    </w:p>
    <w:p>
      <w:pPr>
        <w:jc w:val="both"/>
        <w:ind w:left="200" w:right="219" w:firstLine="648"/>
        <w:spacing w:after="0" w:line="269" w:lineRule="auto"/>
        <w:rPr>
          <w:sz w:val="20"/>
          <w:szCs w:val="20"/>
          <w:color w:val="auto"/>
        </w:rPr>
      </w:pPr>
      <w:r>
        <w:rPr>
          <w:rFonts w:ascii="Arial" w:cs="Arial" w:eastAsia="Arial" w:hAnsi="Arial"/>
          <w:sz w:val="19"/>
          <w:szCs w:val="19"/>
          <w:color w:val="auto"/>
        </w:rPr>
        <w:t xml:space="preserve">FOR VALUE RECEIVED, the undersigned, UFP Industries, Inc. (f/k/a Universal Forest Products, Inc.), a Michigan corporation (herein called the “Company”), hereby promises to pay to </w:t>
      </w:r>
      <w:r>
        <w:rPr>
          <w:rFonts w:ascii="Arial" w:cs="Arial" w:eastAsia="Arial" w:hAnsi="Arial"/>
          <w:sz w:val="19"/>
          <w:szCs w:val="19"/>
          <w:b w:val="1"/>
          <w:bCs w:val="1"/>
          <w:color w:val="auto"/>
        </w:rPr>
        <w:t>P</w:t>
      </w:r>
      <w:r>
        <w:rPr>
          <w:rFonts w:ascii="Arial" w:cs="Arial" w:eastAsia="Arial" w:hAnsi="Arial"/>
          <w:sz w:val="12"/>
          <w:szCs w:val="12"/>
          <w:b w:val="1"/>
          <w:bCs w:val="1"/>
          <w:color w:val="auto"/>
        </w:rPr>
        <w:t>RIVATE</w:t>
      </w:r>
      <w:r>
        <w:rPr>
          <w:rFonts w:ascii="Arial" w:cs="Arial" w:eastAsia="Arial" w:hAnsi="Arial"/>
          <w:sz w:val="19"/>
          <w:szCs w:val="19"/>
          <w:b w:val="1"/>
          <w:bCs w:val="1"/>
          <w:color w:val="auto"/>
        </w:rPr>
        <w:t xml:space="preserve"> P</w:t>
      </w:r>
      <w:r>
        <w:rPr>
          <w:rFonts w:ascii="Arial" w:cs="Arial" w:eastAsia="Arial" w:hAnsi="Arial"/>
          <w:sz w:val="12"/>
          <w:szCs w:val="12"/>
          <w:b w:val="1"/>
          <w:bCs w:val="1"/>
          <w:color w:val="auto"/>
        </w:rPr>
        <w:t>LACEMENT</w:t>
      </w:r>
      <w:r>
        <w:rPr>
          <w:rFonts w:ascii="Arial" w:cs="Arial" w:eastAsia="Arial" w:hAnsi="Arial"/>
          <w:sz w:val="19"/>
          <w:szCs w:val="19"/>
          <w:b w:val="1"/>
          <w:bCs w:val="1"/>
          <w:color w:val="auto"/>
        </w:rPr>
        <w:t xml:space="preserve"> T</w:t>
      </w:r>
      <w:r>
        <w:rPr>
          <w:rFonts w:ascii="Arial" w:cs="Arial" w:eastAsia="Arial" w:hAnsi="Arial"/>
          <w:sz w:val="12"/>
          <w:szCs w:val="12"/>
          <w:b w:val="1"/>
          <w:bCs w:val="1"/>
          <w:color w:val="auto"/>
        </w:rPr>
        <w:t>RUST</w:t>
      </w:r>
      <w:r>
        <w:rPr>
          <w:rFonts w:ascii="Arial" w:cs="Arial" w:eastAsia="Arial" w:hAnsi="Arial"/>
          <w:sz w:val="19"/>
          <w:szCs w:val="19"/>
          <w:b w:val="1"/>
          <w:bCs w:val="1"/>
          <w:color w:val="auto"/>
        </w:rPr>
        <w:t xml:space="preserve"> I</w:t>
      </w:r>
      <w:r>
        <w:rPr>
          <w:rFonts w:ascii="Arial" w:cs="Arial" w:eastAsia="Arial" w:hAnsi="Arial"/>
          <w:sz w:val="12"/>
          <w:szCs w:val="12"/>
          <w:b w:val="1"/>
          <w:bCs w:val="1"/>
          <w:color w:val="auto"/>
        </w:rPr>
        <w:t>NVESTORS</w:t>
      </w:r>
      <w:r>
        <w:rPr>
          <w:rFonts w:ascii="Arial" w:cs="Arial" w:eastAsia="Arial" w:hAnsi="Arial"/>
          <w:sz w:val="19"/>
          <w:szCs w:val="19"/>
          <w:b w:val="1"/>
          <w:bCs w:val="1"/>
          <w:color w:val="auto"/>
        </w:rPr>
        <w:t>, LLC</w:t>
      </w:r>
      <w:r>
        <w:rPr>
          <w:rFonts w:ascii="Arial" w:cs="Arial" w:eastAsia="Arial" w:hAnsi="Arial"/>
          <w:sz w:val="19"/>
          <w:szCs w:val="19"/>
          <w:color w:val="auto"/>
        </w:rPr>
        <w:t>, or registered assigns, the principal sum of</w:t>
      </w:r>
      <w:r>
        <w:rPr>
          <w:rFonts w:ascii="Arial" w:cs="Arial" w:eastAsia="Arial" w:hAnsi="Arial"/>
          <w:sz w:val="19"/>
          <w:szCs w:val="19"/>
          <w:b w:val="1"/>
          <w:bCs w:val="1"/>
          <w:color w:val="auto"/>
        </w:rPr>
        <w:t xml:space="preserve"> T</w:t>
      </w:r>
      <w:r>
        <w:rPr>
          <w:rFonts w:ascii="Arial" w:cs="Arial" w:eastAsia="Arial" w:hAnsi="Arial"/>
          <w:sz w:val="12"/>
          <w:szCs w:val="12"/>
          <w:b w:val="1"/>
          <w:bCs w:val="1"/>
          <w:color w:val="auto"/>
        </w:rPr>
        <w:t>HREE</w:t>
      </w:r>
      <w:r>
        <w:rPr>
          <w:rFonts w:ascii="Arial" w:cs="Arial" w:eastAsia="Arial" w:hAnsi="Arial"/>
          <w:sz w:val="19"/>
          <w:szCs w:val="19"/>
          <w:b w:val="1"/>
          <w:bCs w:val="1"/>
          <w:color w:val="auto"/>
        </w:rPr>
        <w:t xml:space="preserve"> M</w:t>
      </w:r>
      <w:r>
        <w:rPr>
          <w:rFonts w:ascii="Arial" w:cs="Arial" w:eastAsia="Arial" w:hAnsi="Arial"/>
          <w:sz w:val="12"/>
          <w:szCs w:val="12"/>
          <w:b w:val="1"/>
          <w:bCs w:val="1"/>
          <w:color w:val="auto"/>
        </w:rPr>
        <w:t>ILLION</w:t>
      </w:r>
      <w:r>
        <w:rPr>
          <w:rFonts w:ascii="Arial" w:cs="Arial" w:eastAsia="Arial" w:hAnsi="Arial"/>
          <w:sz w:val="19"/>
          <w:szCs w:val="19"/>
          <w:b w:val="1"/>
          <w:bCs w:val="1"/>
          <w:color w:val="auto"/>
        </w:rPr>
        <w:t xml:space="preserve"> S</w:t>
      </w:r>
      <w:r>
        <w:rPr>
          <w:rFonts w:ascii="Arial" w:cs="Arial" w:eastAsia="Arial" w:hAnsi="Arial"/>
          <w:sz w:val="12"/>
          <w:szCs w:val="12"/>
          <w:b w:val="1"/>
          <w:bCs w:val="1"/>
          <w:color w:val="auto"/>
        </w:rPr>
        <w:t>EVEN</w:t>
      </w:r>
      <w:r>
        <w:rPr>
          <w:rFonts w:ascii="Arial" w:cs="Arial" w:eastAsia="Arial" w:hAnsi="Arial"/>
          <w:sz w:val="19"/>
          <w:szCs w:val="19"/>
          <w:b w:val="1"/>
          <w:bCs w:val="1"/>
          <w:color w:val="auto"/>
        </w:rPr>
        <w:t xml:space="preserve"> H</w:t>
      </w:r>
      <w:r>
        <w:rPr>
          <w:rFonts w:ascii="Arial" w:cs="Arial" w:eastAsia="Arial" w:hAnsi="Arial"/>
          <w:sz w:val="12"/>
          <w:szCs w:val="12"/>
          <w:b w:val="1"/>
          <w:bCs w:val="1"/>
          <w:color w:val="auto"/>
        </w:rPr>
        <w:t>UNDRED</w:t>
      </w:r>
      <w:r>
        <w:rPr>
          <w:rFonts w:ascii="Arial" w:cs="Arial" w:eastAsia="Arial" w:hAnsi="Arial"/>
          <w:sz w:val="19"/>
          <w:szCs w:val="19"/>
          <w:b w:val="1"/>
          <w:bCs w:val="1"/>
          <w:color w:val="auto"/>
        </w:rPr>
        <w:t xml:space="preserve"> S</w:t>
      </w:r>
      <w:r>
        <w:rPr>
          <w:rFonts w:ascii="Arial" w:cs="Arial" w:eastAsia="Arial" w:hAnsi="Arial"/>
          <w:sz w:val="12"/>
          <w:szCs w:val="12"/>
          <w:b w:val="1"/>
          <w:bCs w:val="1"/>
          <w:color w:val="auto"/>
        </w:rPr>
        <w:t>IXTY</w:t>
      </w:r>
      <w:r>
        <w:rPr>
          <w:rFonts w:ascii="Arial" w:cs="Arial" w:eastAsia="Arial" w:hAnsi="Arial"/>
          <w:sz w:val="19"/>
          <w:szCs w:val="19"/>
          <w:b w:val="1"/>
          <w:bCs w:val="1"/>
          <w:color w:val="auto"/>
        </w:rPr>
        <w:t xml:space="preserve"> T</w:t>
      </w:r>
      <w:r>
        <w:rPr>
          <w:rFonts w:ascii="Arial" w:cs="Arial" w:eastAsia="Arial" w:hAnsi="Arial"/>
          <w:sz w:val="12"/>
          <w:szCs w:val="12"/>
          <w:b w:val="1"/>
          <w:bCs w:val="1"/>
          <w:color w:val="auto"/>
        </w:rPr>
        <w:t>HOUSAND</w:t>
      </w:r>
      <w:r>
        <w:rPr>
          <w:rFonts w:ascii="Arial" w:cs="Arial" w:eastAsia="Arial" w:hAnsi="Arial"/>
          <w:sz w:val="19"/>
          <w:szCs w:val="19"/>
          <w:b w:val="1"/>
          <w:bCs w:val="1"/>
          <w:color w:val="auto"/>
        </w:rPr>
        <w:t xml:space="preserve"> D</w:t>
      </w:r>
      <w:r>
        <w:rPr>
          <w:rFonts w:ascii="Arial" w:cs="Arial" w:eastAsia="Arial" w:hAnsi="Arial"/>
          <w:sz w:val="12"/>
          <w:szCs w:val="12"/>
          <w:b w:val="1"/>
          <w:bCs w:val="1"/>
          <w:color w:val="auto"/>
        </w:rPr>
        <w:t>OLLARS</w:t>
      </w:r>
      <w:r>
        <w:rPr>
          <w:rFonts w:ascii="Arial" w:cs="Arial" w:eastAsia="Arial" w:hAnsi="Arial"/>
          <w:sz w:val="19"/>
          <w:szCs w:val="19"/>
          <w:b w:val="1"/>
          <w:bCs w:val="1"/>
          <w:color w:val="auto"/>
        </w:rPr>
        <w:t xml:space="preserve"> </w:t>
      </w:r>
      <w:r>
        <w:rPr>
          <w:rFonts w:ascii="Arial" w:cs="Arial" w:eastAsia="Arial" w:hAnsi="Arial"/>
          <w:sz w:val="19"/>
          <w:szCs w:val="19"/>
          <w:color w:val="auto"/>
        </w:rPr>
        <w:t>on the Final Maturity Date specified above, with interest</w:t>
      </w:r>
      <w:r>
        <w:rPr>
          <w:rFonts w:ascii="Arial" w:cs="Arial" w:eastAsia="Arial" w:hAnsi="Arial"/>
          <w:sz w:val="19"/>
          <w:szCs w:val="19"/>
          <w:b w:val="1"/>
          <w:bCs w:val="1"/>
          <w:color w:val="auto"/>
        </w:rPr>
        <w:t xml:space="preserve"> </w:t>
      </w:r>
      <w:r>
        <w:rPr>
          <w:rFonts w:ascii="Arial" w:cs="Arial" w:eastAsia="Arial" w:hAnsi="Arial"/>
          <w:sz w:val="19"/>
          <w:szCs w:val="19"/>
          <w:color w:val="auto"/>
        </w:rPr>
        <w:t>(computed on the basis of a 360-day year—30-day month) on the unpaid balance thereof at the Interest Rate per annum specified above from the date hereof, payable on each Interest Payment Date specified above and on the Final Maturity Date specified above, commencing with the Interest Payment Date next succeeding the date hereof. The Company agrees to pay interest on overdue principal (including any overdue optional prepayment of principal) and premium, if any, and (to the extent legally enforceable) on any overdue installment of interest, at the Overdue Rate after the due date, whether by acceleration or otherwise, until paid. “Overdue Rate” shall mean the lesser of (a) the maximum interest rate permitted by law, and (b) the greater of (ii) the Interest Rate specified above plus 2.00% per annum or (b) the rate of interest publicly announced by JPMorgan Chase Bank, National Association, from time to time in New York City as its Prime Rate plus 2.00% per annum.</w:t>
      </w:r>
    </w:p>
    <w:p>
      <w:pPr>
        <w:spacing w:after="0" w:line="109" w:lineRule="exact"/>
        <w:rPr>
          <w:sz w:val="20"/>
          <w:szCs w:val="20"/>
          <w:color w:val="auto"/>
        </w:rPr>
      </w:pPr>
    </w:p>
    <w:p>
      <w:pPr>
        <w:jc w:val="both"/>
        <w:ind w:left="200" w:right="219" w:firstLine="648"/>
        <w:spacing w:after="0" w:line="286" w:lineRule="auto"/>
        <w:rPr>
          <w:sz w:val="20"/>
          <w:szCs w:val="20"/>
          <w:color w:val="auto"/>
        </w:rPr>
      </w:pPr>
      <w:r>
        <w:rPr>
          <w:rFonts w:ascii="Arial" w:cs="Arial" w:eastAsia="Arial" w:hAnsi="Arial"/>
          <w:sz w:val="18"/>
          <w:szCs w:val="18"/>
          <w:color w:val="auto"/>
        </w:rPr>
        <w:t xml:space="preserve">Both the principal hereof and interest hereon are payable at the principal office of the Company in Grand Rapids, Michigan in coin or currency of the United States of America which at the time of payment shall be legal tender for the payment of public and private debts. If any amount of principal, premium, if any, or interest on or in respect of this Note becomes due and payable on any date which is not a Business Day, such amount shall be payable on the immediately succeeding Business Day without including the additional days elapsed in the computation of the interest payable on such next succeeding Business Day;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if the maturity date of this Note is a date other than a Business Day, the payment otherwise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due on such maturity date shall be made on the next succeeding Business Day and shall include the additional days elapsed in the computation of interest payable on such next succeeding Business Day. </w:t>
      </w:r>
      <w:r>
        <w:rPr>
          <w:rFonts w:ascii="Arial" w:cs="Arial" w:eastAsia="Arial" w:hAnsi="Arial"/>
          <w:sz w:val="18"/>
          <w:szCs w:val="18"/>
          <w:i w:val="1"/>
          <w:iCs w:val="1"/>
          <w:color w:val="auto"/>
        </w:rPr>
        <w:t xml:space="preserve">“Business Day” </w:t>
      </w:r>
      <w:r>
        <w:rPr>
          <w:rFonts w:ascii="Arial" w:cs="Arial" w:eastAsia="Arial" w:hAnsi="Arial"/>
          <w:sz w:val="18"/>
          <w:szCs w:val="18"/>
          <w:color w:val="auto"/>
        </w:rPr>
        <w:t>means any day other than a Saturday, Sunday or other day on which banks in either Grand</w:t>
      </w:r>
      <w:r>
        <w:rPr>
          <w:rFonts w:ascii="Arial" w:cs="Arial" w:eastAsia="Arial" w:hAnsi="Arial"/>
          <w:sz w:val="18"/>
          <w:szCs w:val="18"/>
          <w:i w:val="1"/>
          <w:iCs w:val="1"/>
          <w:color w:val="auto"/>
        </w:rPr>
        <w:t xml:space="preserve"> </w:t>
      </w:r>
      <w:r>
        <w:rPr>
          <w:rFonts w:ascii="Arial" w:cs="Arial" w:eastAsia="Arial" w:hAnsi="Arial"/>
          <w:sz w:val="18"/>
          <w:szCs w:val="18"/>
          <w:color w:val="auto"/>
        </w:rPr>
        <w:t>Rapids, Michigan or New York, New York are required by law to close or are customarily closed.</w:t>
      </w:r>
    </w:p>
    <w:p>
      <w:pPr>
        <w:spacing w:after="0" w:line="108" w:lineRule="exact"/>
        <w:rPr>
          <w:sz w:val="20"/>
          <w:szCs w:val="20"/>
          <w:color w:val="auto"/>
        </w:rPr>
      </w:pPr>
    </w:p>
    <w:p>
      <w:pPr>
        <w:jc w:val="both"/>
        <w:ind w:left="200" w:right="219" w:firstLine="648"/>
        <w:spacing w:after="0" w:line="291" w:lineRule="auto"/>
        <w:rPr>
          <w:sz w:val="20"/>
          <w:szCs w:val="20"/>
          <w:color w:val="auto"/>
        </w:rPr>
      </w:pPr>
      <w:r>
        <w:rPr>
          <w:rFonts w:ascii="Arial" w:cs="Arial" w:eastAsia="Arial" w:hAnsi="Arial"/>
          <w:sz w:val="18"/>
          <w:szCs w:val="18"/>
          <w:color w:val="auto"/>
        </w:rPr>
        <w:t>This Note is one of the 3.15% Series G Senior Notes, due August 10, 2035 of the Company in the original aggregate principal amount of $50,000,000, which, together with the 3.89% Series A Senior Notes, due December 17, 2022, of the Company in the original aggregate principal amount of $35,000,000, the 3.98% Series B Senior Notes, due December 17, 2024, of the Company in the original aggregate principal amount of $40,000,000, and any other Shelf Notes (as defined in the Note Agreement hereafter mentioned), are issued or to be issued under and pursuant to the terms and provisions of the Note Purchase and Private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460375</wp:posOffset>
            </wp:positionV>
            <wp:extent cx="5452110"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55" w:name="page56"/>
    <w:bookmarkEnd w:id="55"/>
    <w:p>
      <w:pPr>
        <w:jc w:val="right"/>
        <w:ind w:right="219"/>
        <w:spacing w:after="0"/>
        <w:rPr>
          <w:sz w:val="20"/>
          <w:szCs w:val="20"/>
          <w:color w:val="auto"/>
        </w:rPr>
      </w:pPr>
      <w:r>
        <w:rPr>
          <w:rFonts w:ascii="Arial" w:cs="Arial" w:eastAsia="Arial" w:hAnsi="Arial"/>
          <w:sz w:val="20"/>
          <w:szCs w:val="20"/>
          <w:b w:val="1"/>
          <w:bCs w:val="1"/>
          <w:color w:val="auto"/>
        </w:rPr>
        <w:t>Exhibit 10(k)</w:t>
      </w:r>
    </w:p>
    <w:p>
      <w:pPr>
        <w:spacing w:after="0" w:line="200" w:lineRule="exact"/>
        <w:rPr>
          <w:sz w:val="20"/>
          <w:szCs w:val="20"/>
          <w:color w:val="auto"/>
        </w:rPr>
      </w:pPr>
    </w:p>
    <w:p>
      <w:pPr>
        <w:spacing w:after="0" w:line="238" w:lineRule="exact"/>
        <w:rPr>
          <w:sz w:val="20"/>
          <w:szCs w:val="20"/>
          <w:color w:val="auto"/>
        </w:rPr>
      </w:pPr>
    </w:p>
    <w:p>
      <w:pPr>
        <w:jc w:val="both"/>
        <w:ind w:left="200" w:right="219"/>
        <w:spacing w:after="0" w:line="273" w:lineRule="auto"/>
        <w:rPr>
          <w:sz w:val="20"/>
          <w:szCs w:val="20"/>
          <w:color w:val="auto"/>
        </w:rPr>
      </w:pPr>
      <w:r>
        <w:rPr>
          <w:rFonts w:ascii="Arial" w:cs="Arial" w:eastAsia="Arial" w:hAnsi="Arial"/>
          <w:sz w:val="19"/>
          <w:szCs w:val="19"/>
          <w:color w:val="auto"/>
        </w:rPr>
        <w:t xml:space="preserve">Shelf Agreement, dated as of December 17, 2012 (the </w:t>
      </w:r>
      <w:r>
        <w:rPr>
          <w:rFonts w:ascii="Arial" w:cs="Arial" w:eastAsia="Arial" w:hAnsi="Arial"/>
          <w:sz w:val="19"/>
          <w:szCs w:val="19"/>
          <w:i w:val="1"/>
          <w:iCs w:val="1"/>
          <w:color w:val="auto"/>
        </w:rPr>
        <w:t>“Note Agreement”</w:t>
      </w:r>
      <w:r>
        <w:rPr>
          <w:rFonts w:ascii="Arial" w:cs="Arial" w:eastAsia="Arial" w:hAnsi="Arial"/>
          <w:sz w:val="19"/>
          <w:szCs w:val="19"/>
          <w:color w:val="auto"/>
        </w:rPr>
        <w:t>), between the Company, on the one hand, and PGIM, Inc. , the Initial Purchasers named in the Purchaser Schedule attached thereto and each Prudential Affiliate which becomes party thereto, on the other hand, and the holder hereof is entitled equally and ratably with the holders of all other Notes outstanding under the Note Agreement to all the benefits provided for thereby or referred to therein. Reference is hereby made to the Note Agreement for a statement of such rights and benefits.</w:t>
      </w:r>
    </w:p>
    <w:p>
      <w:pPr>
        <w:spacing w:after="0" w:line="115" w:lineRule="exact"/>
        <w:rPr>
          <w:sz w:val="20"/>
          <w:szCs w:val="20"/>
          <w:color w:val="auto"/>
        </w:rPr>
      </w:pPr>
    </w:p>
    <w:p>
      <w:pPr>
        <w:jc w:val="both"/>
        <w:ind w:left="200" w:right="239" w:firstLine="648"/>
        <w:spacing w:after="0" w:line="284" w:lineRule="auto"/>
        <w:rPr>
          <w:sz w:val="20"/>
          <w:szCs w:val="20"/>
          <w:color w:val="auto"/>
        </w:rPr>
      </w:pPr>
      <w:r>
        <w:rPr>
          <w:rFonts w:ascii="Arial" w:cs="Arial" w:eastAsia="Arial" w:hAnsi="Arial"/>
          <w:sz w:val="19"/>
          <w:szCs w:val="19"/>
          <w:color w:val="auto"/>
        </w:rPr>
        <w:t>This Note and the other Notes outstanding under the Note Agreement may be declared due prior to their expressed maturity dates and certain prepayments are required to be made thereon, all in the events, on the terms and in the manner and amounts as provided in the Note Agreements.</w:t>
      </w:r>
    </w:p>
    <w:p>
      <w:pPr>
        <w:spacing w:after="0" w:line="88" w:lineRule="exact"/>
        <w:rPr>
          <w:sz w:val="20"/>
          <w:szCs w:val="20"/>
          <w:color w:val="auto"/>
        </w:rPr>
      </w:pPr>
    </w:p>
    <w:p>
      <w:pPr>
        <w:jc w:val="both"/>
        <w:ind w:left="200" w:right="219" w:firstLine="648"/>
        <w:spacing w:after="0" w:line="264" w:lineRule="auto"/>
        <w:rPr>
          <w:sz w:val="20"/>
          <w:szCs w:val="20"/>
          <w:color w:val="auto"/>
        </w:rPr>
      </w:pPr>
      <w:r>
        <w:rPr>
          <w:rFonts w:ascii="Arial" w:cs="Arial" w:eastAsia="Arial" w:hAnsi="Arial"/>
          <w:sz w:val="20"/>
          <w:szCs w:val="20"/>
          <w:color w:val="auto"/>
        </w:rPr>
        <w:t>The Notes are not subject to prepayment or redemption at the option of the Company prior to their expressed maturity dates except on the terms and conditions and in the amounts and with the premium, if any, set forth in the Note Agreement.</w:t>
      </w:r>
    </w:p>
    <w:p>
      <w:pPr>
        <w:spacing w:after="0" w:line="119" w:lineRule="exact"/>
        <w:rPr>
          <w:sz w:val="20"/>
          <w:szCs w:val="20"/>
          <w:color w:val="auto"/>
        </w:rPr>
      </w:pPr>
    </w:p>
    <w:p>
      <w:pPr>
        <w:jc w:val="both"/>
        <w:ind w:left="200" w:right="219" w:firstLine="648"/>
        <w:spacing w:after="0" w:line="258" w:lineRule="auto"/>
        <w:rPr>
          <w:sz w:val="20"/>
          <w:szCs w:val="20"/>
          <w:color w:val="auto"/>
        </w:rPr>
      </w:pPr>
      <w:r>
        <w:rPr>
          <w:rFonts w:ascii="Arial" w:cs="Arial" w:eastAsia="Arial" w:hAnsi="Arial"/>
          <w:sz w:val="20"/>
          <w:szCs w:val="20"/>
          <w:color w:val="auto"/>
        </w:rPr>
        <w:t>This Note is registered on the books of the Company and is transferable only by surrender thereof at the principal office of the Company duly endorsed or accompanied by a written instrument of transfer duly executed by the registered holder of this Note or its attorney duly authorized in writing. Payment of or on account of principal, premium, if any, and interest on this Note shall be made only to or upon the order in writing of the registered holder.</w:t>
      </w:r>
    </w:p>
    <w:p>
      <w:pPr>
        <w:spacing w:after="0" w:line="127" w:lineRule="exact"/>
        <w:rPr>
          <w:sz w:val="20"/>
          <w:szCs w:val="20"/>
          <w:color w:val="auto"/>
        </w:rPr>
      </w:pPr>
    </w:p>
    <w:p>
      <w:pPr>
        <w:ind w:left="38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follows</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833120</wp:posOffset>
            </wp:positionV>
            <wp:extent cx="545211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56" w:name="page57"/>
    <w:bookmarkEnd w:id="56"/>
    <w:p>
      <w:pPr>
        <w:jc w:val="right"/>
        <w:ind w:right="219"/>
        <w:spacing w:after="0"/>
        <w:rPr>
          <w:sz w:val="20"/>
          <w:szCs w:val="20"/>
          <w:color w:val="auto"/>
        </w:rPr>
      </w:pPr>
      <w:r>
        <w:rPr>
          <w:rFonts w:ascii="Arial" w:cs="Arial" w:eastAsia="Arial" w:hAnsi="Arial"/>
          <w:sz w:val="20"/>
          <w:szCs w:val="20"/>
          <w:b w:val="1"/>
          <w:bCs w:val="1"/>
          <w:color w:val="auto"/>
        </w:rPr>
        <w:t>Exhibit 10(k)</w:t>
      </w:r>
    </w:p>
    <w:p>
      <w:pPr>
        <w:spacing w:after="0" w:line="200" w:lineRule="exact"/>
        <w:rPr>
          <w:sz w:val="20"/>
          <w:szCs w:val="20"/>
          <w:color w:val="auto"/>
        </w:rPr>
      </w:pPr>
    </w:p>
    <w:p>
      <w:pPr>
        <w:spacing w:after="0" w:line="232" w:lineRule="exact"/>
        <w:rPr>
          <w:sz w:val="20"/>
          <w:szCs w:val="20"/>
          <w:color w:val="auto"/>
        </w:rPr>
      </w:pPr>
    </w:p>
    <w:p>
      <w:pPr>
        <w:jc w:val="both"/>
        <w:ind w:left="200" w:right="219" w:firstLine="648"/>
        <w:spacing w:after="0" w:line="262" w:lineRule="auto"/>
        <w:rPr>
          <w:sz w:val="20"/>
          <w:szCs w:val="20"/>
          <w:color w:val="auto"/>
        </w:rPr>
      </w:pPr>
      <w:r>
        <w:rPr>
          <w:rFonts w:ascii="Arial" w:cs="Arial" w:eastAsia="Arial" w:hAnsi="Arial"/>
          <w:sz w:val="20"/>
          <w:szCs w:val="20"/>
          <w:b w:val="1"/>
          <w:bCs w:val="1"/>
          <w:color w:val="auto"/>
        </w:rPr>
        <w:t>This Note and said Note Agreement are governed by and construed in accordance with the law of Illinois (excluding any conflicts of law rules which would otherwise cause this note to be construed or enforced in accordance with the laws of any other jurisdiction), including all matters of construction, validity and performance.</w:t>
      </w:r>
    </w:p>
    <w:p>
      <w:pPr>
        <w:spacing w:after="0" w:line="122"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UFP I</w:t>
      </w:r>
      <w:r>
        <w:rPr>
          <w:rFonts w:ascii="Arial" w:cs="Arial" w:eastAsia="Arial" w:hAnsi="Arial"/>
          <w:sz w:val="13"/>
          <w:szCs w:val="13"/>
          <w:color w:val="auto"/>
        </w:rPr>
        <w:t>NDUSTRIES</w:t>
      </w:r>
      <w:r>
        <w:rPr>
          <w:rFonts w:ascii="Arial" w:cs="Arial" w:eastAsia="Arial" w:hAnsi="Arial"/>
          <w:sz w:val="20"/>
          <w:szCs w:val="20"/>
          <w:color w:val="auto"/>
        </w:rPr>
        <w:t>, I</w:t>
      </w:r>
      <w:r>
        <w:rPr>
          <w:rFonts w:ascii="Arial" w:cs="Arial" w:eastAsia="Arial" w:hAnsi="Arial"/>
          <w:sz w:val="13"/>
          <w:szCs w:val="13"/>
          <w:color w:val="auto"/>
        </w:rPr>
        <w:t>NC</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100"/>
        <w:spacing w:after="0"/>
        <w:rPr>
          <w:sz w:val="20"/>
          <w:szCs w:val="20"/>
          <w:color w:val="auto"/>
        </w:rPr>
      </w:pPr>
      <w:r>
        <w:rPr>
          <w:rFonts w:ascii="Arial" w:cs="Arial" w:eastAsia="Arial" w:hAnsi="Arial"/>
          <w:sz w:val="20"/>
          <w:szCs w:val="20"/>
          <w:color w:val="auto"/>
          <w:highlight w:val="white"/>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-31750</wp:posOffset>
            </wp:positionV>
            <wp:extent cx="278574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5">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jc w:val="center"/>
        <w:ind w:right="-14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1009015</wp:posOffset>
            </wp:positionV>
            <wp:extent cx="5452110"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6">
                      <a:extLst>
                        <a:ext uri="{28A0092B-C50C-407E-A947-70E740481C1C}"/>
                      </a:extLst>
                    </a:blip>
                    <a:srcRect/>
                    <a:stretch>
                      <a:fillRect/>
                    </a:stretch>
                  </pic:blipFill>
                  <pic:spPr bwMode="auto">
                    <a:xfrm>
                      <a:off x="0" y="0"/>
                      <a:ext cx="5452110" cy="26035"/>
                    </a:xfrm>
                    <a:prstGeom prst="rect">
                      <a:avLst/>
                    </a:prstGeom>
                    <a:noFill/>
                  </pic:spPr>
                </pic:pic>
              </a:graphicData>
            </a:graphic>
          </wp:anchor>
        </w:drawing>
        <w:drawing>
          <wp:anchor simplePos="0" relativeHeight="251657728" behindDoc="1" locked="0" layoutInCell="0" allowOverlap="1">
            <wp:simplePos x="0" y="0"/>
            <wp:positionH relativeFrom="column">
              <wp:posOffset>2602865</wp:posOffset>
            </wp:positionH>
            <wp:positionV relativeFrom="paragraph">
              <wp:posOffset>-139065</wp:posOffset>
            </wp:positionV>
            <wp:extent cx="2983230" cy="1454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7">
                      <a:extLst>
                        <a:ext uri="{28A0092B-C50C-407E-A947-70E740481C1C}"/>
                      </a:extLst>
                    </a:blip>
                    <a:srcRect/>
                    <a:stretch>
                      <a:fillRect/>
                    </a:stretch>
                  </pic:blipFill>
                  <pic:spPr bwMode="auto">
                    <a:xfrm>
                      <a:off x="0" y="0"/>
                      <a:ext cx="2983230" cy="145415"/>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57" w:name="page58"/>
    <w:bookmarkEnd w:id="57"/>
    <w:p>
      <w:pPr>
        <w:jc w:val="right"/>
        <w:ind w:right="219"/>
        <w:spacing w:after="0"/>
        <w:rPr>
          <w:sz w:val="20"/>
          <w:szCs w:val="20"/>
          <w:color w:val="auto"/>
        </w:rPr>
      </w:pPr>
      <w:r>
        <w:rPr>
          <w:rFonts w:ascii="Arial" w:cs="Arial" w:eastAsia="Arial" w:hAnsi="Arial"/>
          <w:sz w:val="20"/>
          <w:szCs w:val="20"/>
          <w:b w:val="1"/>
          <w:bCs w:val="1"/>
          <w:color w:val="auto"/>
        </w:rPr>
        <w:t>Exhibit 10(k)</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UFP INDUSTRIES, INC.</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3.15% SENIOR SERIES G NOTE DUE AUGUST 10, 2035</w:t>
      </w:r>
    </w:p>
    <w:p>
      <w:pPr>
        <w:spacing w:after="0" w:line="200" w:lineRule="exact"/>
        <w:rPr>
          <w:sz w:val="20"/>
          <w:szCs w:val="20"/>
          <w:color w:val="auto"/>
        </w:rPr>
      </w:pPr>
    </w:p>
    <w:p>
      <w:pPr>
        <w:spacing w:after="0" w:line="251" w:lineRule="exact"/>
        <w:rPr>
          <w:sz w:val="20"/>
          <w:szCs w:val="20"/>
          <w:color w:val="auto"/>
        </w:rPr>
      </w:pPr>
    </w:p>
    <w:p>
      <w:pPr>
        <w:ind w:left="200"/>
        <w:spacing w:after="0"/>
        <w:rPr>
          <w:sz w:val="20"/>
          <w:szCs w:val="20"/>
          <w:color w:val="auto"/>
        </w:rPr>
      </w:pPr>
      <w:r>
        <w:rPr>
          <w:rFonts w:ascii="Arial" w:cs="Arial" w:eastAsia="Arial" w:hAnsi="Arial"/>
          <w:sz w:val="20"/>
          <w:szCs w:val="20"/>
          <w:color w:val="auto"/>
        </w:rPr>
        <w:t>No. G-4</w:t>
      </w:r>
    </w:p>
    <w:p>
      <w:pPr>
        <w:spacing w:after="0" w:line="20" w:lineRule="exact"/>
        <w:rPr>
          <w:sz w:val="20"/>
          <w:szCs w:val="20"/>
          <w:color w:val="auto"/>
        </w:rPr>
      </w:pPr>
    </w:p>
    <w:p>
      <w:pPr>
        <w:ind w:left="200"/>
        <w:spacing w:after="0"/>
        <w:rPr>
          <w:sz w:val="20"/>
          <w:szCs w:val="20"/>
          <w:color w:val="auto"/>
        </w:rPr>
      </w:pPr>
      <w:r>
        <w:rPr>
          <w:rFonts w:ascii="Arial" w:cs="Arial" w:eastAsia="Arial" w:hAnsi="Arial"/>
          <w:sz w:val="20"/>
          <w:szCs w:val="20"/>
          <w:color w:val="auto"/>
        </w:rPr>
        <w:t>ORIGINAL PRINCIPAL AMOUNT: $3,650,000</w:t>
      </w:r>
    </w:p>
    <w:p>
      <w:pPr>
        <w:spacing w:after="0" w:line="13" w:lineRule="exact"/>
        <w:rPr>
          <w:sz w:val="20"/>
          <w:szCs w:val="20"/>
          <w:color w:val="auto"/>
        </w:rPr>
      </w:pPr>
    </w:p>
    <w:p>
      <w:pPr>
        <w:ind w:left="200"/>
        <w:spacing w:after="0"/>
        <w:rPr>
          <w:sz w:val="20"/>
          <w:szCs w:val="20"/>
          <w:color w:val="auto"/>
        </w:rPr>
      </w:pPr>
      <w:r>
        <w:rPr>
          <w:rFonts w:ascii="Arial" w:cs="Arial" w:eastAsia="Arial" w:hAnsi="Arial"/>
          <w:sz w:val="20"/>
          <w:szCs w:val="20"/>
          <w:color w:val="auto"/>
        </w:rPr>
        <w:t>ORIGINAL ISSUE DATE: August 10, 2020</w:t>
      </w:r>
    </w:p>
    <w:p>
      <w:pPr>
        <w:spacing w:after="0" w:line="13" w:lineRule="exact"/>
        <w:rPr>
          <w:sz w:val="20"/>
          <w:szCs w:val="20"/>
          <w:color w:val="auto"/>
        </w:rPr>
      </w:pPr>
    </w:p>
    <w:p>
      <w:pPr>
        <w:ind w:left="200"/>
        <w:spacing w:after="0"/>
        <w:rPr>
          <w:sz w:val="20"/>
          <w:szCs w:val="20"/>
          <w:color w:val="auto"/>
        </w:rPr>
      </w:pPr>
      <w:r>
        <w:rPr>
          <w:rFonts w:ascii="Arial" w:cs="Arial" w:eastAsia="Arial" w:hAnsi="Arial"/>
          <w:sz w:val="20"/>
          <w:szCs w:val="20"/>
          <w:color w:val="auto"/>
        </w:rPr>
        <w:t>INTEREST RATE: 3.15%</w:t>
      </w:r>
    </w:p>
    <w:p>
      <w:pPr>
        <w:spacing w:after="0" w:line="13" w:lineRule="exact"/>
        <w:rPr>
          <w:sz w:val="20"/>
          <w:szCs w:val="20"/>
          <w:color w:val="auto"/>
        </w:rPr>
      </w:pPr>
    </w:p>
    <w:p>
      <w:pPr>
        <w:ind w:left="200" w:right="579"/>
        <w:spacing w:after="0" w:line="253" w:lineRule="auto"/>
        <w:rPr>
          <w:sz w:val="20"/>
          <w:szCs w:val="20"/>
          <w:color w:val="auto"/>
        </w:rPr>
      </w:pPr>
      <w:r>
        <w:rPr>
          <w:rFonts w:ascii="Arial" w:cs="Arial" w:eastAsia="Arial" w:hAnsi="Arial"/>
          <w:sz w:val="20"/>
          <w:szCs w:val="20"/>
          <w:color w:val="auto"/>
        </w:rPr>
        <w:t>INTEREST PAYMENT DATES: Semi-annually, in arrears, on February 10 and August 10 of each year, commencing on February 10, 2021</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20"/>
          <w:szCs w:val="20"/>
          <w:color w:val="auto"/>
        </w:rPr>
        <w:t>FINAL MATURITY DATE: August 10, 2035</w:t>
      </w:r>
    </w:p>
    <w:p>
      <w:pPr>
        <w:spacing w:after="0" w:line="13" w:lineRule="exact"/>
        <w:rPr>
          <w:sz w:val="20"/>
          <w:szCs w:val="20"/>
          <w:color w:val="auto"/>
        </w:rPr>
      </w:pPr>
    </w:p>
    <w:p>
      <w:pPr>
        <w:ind w:left="200" w:right="1979"/>
        <w:spacing w:after="0" w:line="267" w:lineRule="auto"/>
        <w:rPr>
          <w:sz w:val="20"/>
          <w:szCs w:val="20"/>
          <w:color w:val="auto"/>
        </w:rPr>
      </w:pPr>
      <w:r>
        <w:rPr>
          <w:rFonts w:ascii="Arial" w:cs="Arial" w:eastAsia="Arial" w:hAnsi="Arial"/>
          <w:sz w:val="20"/>
          <w:szCs w:val="20"/>
          <w:color w:val="auto"/>
        </w:rPr>
        <w:t>PRINCIPAL PREPAYMENT DATES AND AMOUNTS: None, bullet due at maturity PPN 913543 E*1</w:t>
      </w:r>
    </w:p>
    <w:p>
      <w:pPr>
        <w:spacing w:after="0" w:line="115" w:lineRule="exact"/>
        <w:rPr>
          <w:sz w:val="20"/>
          <w:szCs w:val="20"/>
          <w:color w:val="auto"/>
        </w:rPr>
      </w:pPr>
    </w:p>
    <w:p>
      <w:pPr>
        <w:jc w:val="both"/>
        <w:ind w:left="200" w:right="219" w:firstLine="648"/>
        <w:spacing w:after="0" w:line="257" w:lineRule="auto"/>
        <w:rPr>
          <w:sz w:val="20"/>
          <w:szCs w:val="20"/>
          <w:color w:val="auto"/>
        </w:rPr>
      </w:pPr>
      <w:r>
        <w:rPr>
          <w:rFonts w:ascii="Arial" w:cs="Arial" w:eastAsia="Arial" w:hAnsi="Arial"/>
          <w:sz w:val="20"/>
          <w:szCs w:val="20"/>
          <w:color w:val="auto"/>
        </w:rPr>
        <w:t>FOR VALUE RECEIVED, the undersigned, UFP Industries, Inc. (f/k/a Universal Forest Products, Inc.), a Michigan corporation (herein called the “Company”), hereby promises to pay to</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P</w:t>
      </w:r>
      <w:r>
        <w:rPr>
          <w:rFonts w:ascii="Arial" w:cs="Arial" w:eastAsia="Arial" w:hAnsi="Arial"/>
          <w:sz w:val="13"/>
          <w:szCs w:val="13"/>
          <w:b w:val="1"/>
          <w:bCs w:val="1"/>
          <w:color w:val="auto"/>
        </w:rPr>
        <w:t>RUDENTIAL</w:t>
      </w:r>
      <w:r>
        <w:rPr>
          <w:rFonts w:ascii="Arial" w:cs="Arial" w:eastAsia="Arial" w:hAnsi="Arial"/>
          <w:sz w:val="20"/>
          <w:szCs w:val="20"/>
          <w:b w:val="1"/>
          <w:bCs w:val="1"/>
          <w:color w:val="auto"/>
        </w:rPr>
        <w:t xml:space="preserve"> T</w:t>
      </w:r>
      <w:r>
        <w:rPr>
          <w:rFonts w:ascii="Arial" w:cs="Arial" w:eastAsia="Arial" w:hAnsi="Arial"/>
          <w:sz w:val="13"/>
          <w:szCs w:val="13"/>
          <w:b w:val="1"/>
          <w:bCs w:val="1"/>
          <w:color w:val="auto"/>
        </w:rPr>
        <w:t>ERM</w:t>
      </w:r>
      <w:r>
        <w:rPr>
          <w:rFonts w:ascii="Arial" w:cs="Arial" w:eastAsia="Arial" w:hAnsi="Arial"/>
          <w:sz w:val="20"/>
          <w:szCs w:val="20"/>
          <w:b w:val="1"/>
          <w:bCs w:val="1"/>
          <w:color w:val="auto"/>
        </w:rPr>
        <w:t xml:space="preserve"> R</w:t>
      </w:r>
      <w:r>
        <w:rPr>
          <w:rFonts w:ascii="Arial" w:cs="Arial" w:eastAsia="Arial" w:hAnsi="Arial"/>
          <w:sz w:val="13"/>
          <w:szCs w:val="13"/>
          <w:b w:val="1"/>
          <w:bCs w:val="1"/>
          <w:color w:val="auto"/>
        </w:rPr>
        <w:t>EINSURANCE</w:t>
      </w:r>
      <w:r>
        <w:rPr>
          <w:rFonts w:ascii="Arial" w:cs="Arial" w:eastAsia="Arial" w:hAnsi="Arial"/>
          <w:sz w:val="20"/>
          <w:szCs w:val="20"/>
          <w:b w:val="1"/>
          <w:bCs w:val="1"/>
          <w:color w:val="auto"/>
        </w:rPr>
        <w:t xml:space="preserve"> C</w:t>
      </w:r>
      <w:r>
        <w:rPr>
          <w:rFonts w:ascii="Arial" w:cs="Arial" w:eastAsia="Arial" w:hAnsi="Arial"/>
          <w:sz w:val="13"/>
          <w:szCs w:val="13"/>
          <w:b w:val="1"/>
          <w:bCs w:val="1"/>
          <w:color w:val="auto"/>
        </w:rPr>
        <w:t>OMPANY</w:t>
      </w:r>
      <w:r>
        <w:rPr>
          <w:rFonts w:ascii="Arial" w:cs="Arial" w:eastAsia="Arial" w:hAnsi="Arial"/>
          <w:sz w:val="20"/>
          <w:szCs w:val="20"/>
          <w:color w:val="auto"/>
        </w:rPr>
        <w:t>, or registered assigns, the principal sum of</w:t>
      </w:r>
      <w:r>
        <w:rPr>
          <w:rFonts w:ascii="Arial" w:cs="Arial" w:eastAsia="Arial" w:hAnsi="Arial"/>
          <w:sz w:val="20"/>
          <w:szCs w:val="20"/>
          <w:b w:val="1"/>
          <w:bCs w:val="1"/>
          <w:color w:val="auto"/>
        </w:rPr>
        <w:t xml:space="preserve"> T</w:t>
      </w:r>
      <w:r>
        <w:rPr>
          <w:rFonts w:ascii="Arial" w:cs="Arial" w:eastAsia="Arial" w:hAnsi="Arial"/>
          <w:sz w:val="13"/>
          <w:szCs w:val="13"/>
          <w:b w:val="1"/>
          <w:bCs w:val="1"/>
          <w:color w:val="auto"/>
        </w:rPr>
        <w:t>HREE</w:t>
      </w:r>
      <w:r>
        <w:rPr>
          <w:rFonts w:ascii="Arial" w:cs="Arial" w:eastAsia="Arial" w:hAnsi="Arial"/>
          <w:sz w:val="20"/>
          <w:szCs w:val="20"/>
          <w:b w:val="1"/>
          <w:bCs w:val="1"/>
          <w:color w:val="auto"/>
        </w:rPr>
        <w:t xml:space="preserve"> M</w:t>
      </w:r>
      <w:r>
        <w:rPr>
          <w:rFonts w:ascii="Arial" w:cs="Arial" w:eastAsia="Arial" w:hAnsi="Arial"/>
          <w:sz w:val="13"/>
          <w:szCs w:val="13"/>
          <w:b w:val="1"/>
          <w:bCs w:val="1"/>
          <w:color w:val="auto"/>
        </w:rPr>
        <w:t>ILLION</w:t>
      </w:r>
      <w:r>
        <w:rPr>
          <w:rFonts w:ascii="Arial" w:cs="Arial" w:eastAsia="Arial" w:hAnsi="Arial"/>
          <w:sz w:val="20"/>
          <w:szCs w:val="20"/>
          <w:b w:val="1"/>
          <w:bCs w:val="1"/>
          <w:color w:val="auto"/>
        </w:rPr>
        <w:t xml:space="preserve"> S</w:t>
      </w:r>
      <w:r>
        <w:rPr>
          <w:rFonts w:ascii="Arial" w:cs="Arial" w:eastAsia="Arial" w:hAnsi="Arial"/>
          <w:sz w:val="13"/>
          <w:szCs w:val="13"/>
          <w:b w:val="1"/>
          <w:bCs w:val="1"/>
          <w:color w:val="auto"/>
        </w:rPr>
        <w:t>IX</w:t>
      </w:r>
    </w:p>
    <w:p>
      <w:pPr>
        <w:spacing w:after="0" w:line="13" w:lineRule="exact"/>
        <w:rPr>
          <w:sz w:val="20"/>
          <w:szCs w:val="20"/>
          <w:color w:val="auto"/>
        </w:rPr>
      </w:pPr>
    </w:p>
    <w:p>
      <w:pPr>
        <w:jc w:val="both"/>
        <w:ind w:left="200" w:right="219"/>
        <w:spacing w:after="0" w:line="269" w:lineRule="auto"/>
        <w:rPr>
          <w:sz w:val="20"/>
          <w:szCs w:val="20"/>
          <w:color w:val="auto"/>
        </w:rPr>
      </w:pPr>
      <w:r>
        <w:rPr>
          <w:rFonts w:ascii="Arial" w:cs="Arial" w:eastAsia="Arial" w:hAnsi="Arial"/>
          <w:sz w:val="19"/>
          <w:szCs w:val="19"/>
          <w:b w:val="1"/>
          <w:bCs w:val="1"/>
          <w:color w:val="auto"/>
        </w:rPr>
        <w:t>H</w:t>
      </w:r>
      <w:r>
        <w:rPr>
          <w:rFonts w:ascii="Arial" w:cs="Arial" w:eastAsia="Arial" w:hAnsi="Arial"/>
          <w:sz w:val="12"/>
          <w:szCs w:val="12"/>
          <w:b w:val="1"/>
          <w:bCs w:val="1"/>
          <w:color w:val="auto"/>
        </w:rPr>
        <w:t>UNDRED</w:t>
      </w:r>
      <w:r>
        <w:rPr>
          <w:rFonts w:ascii="Arial" w:cs="Arial" w:eastAsia="Arial" w:hAnsi="Arial"/>
          <w:sz w:val="19"/>
          <w:szCs w:val="19"/>
          <w:b w:val="1"/>
          <w:bCs w:val="1"/>
          <w:color w:val="auto"/>
        </w:rPr>
        <w:t xml:space="preserve"> F</w:t>
      </w:r>
      <w:r>
        <w:rPr>
          <w:rFonts w:ascii="Arial" w:cs="Arial" w:eastAsia="Arial" w:hAnsi="Arial"/>
          <w:sz w:val="12"/>
          <w:szCs w:val="12"/>
          <w:b w:val="1"/>
          <w:bCs w:val="1"/>
          <w:color w:val="auto"/>
        </w:rPr>
        <w:t>IFTY</w:t>
      </w:r>
      <w:r>
        <w:rPr>
          <w:rFonts w:ascii="Arial" w:cs="Arial" w:eastAsia="Arial" w:hAnsi="Arial"/>
          <w:sz w:val="19"/>
          <w:szCs w:val="19"/>
          <w:b w:val="1"/>
          <w:bCs w:val="1"/>
          <w:color w:val="auto"/>
        </w:rPr>
        <w:t xml:space="preserve"> T</w:t>
      </w:r>
      <w:r>
        <w:rPr>
          <w:rFonts w:ascii="Arial" w:cs="Arial" w:eastAsia="Arial" w:hAnsi="Arial"/>
          <w:sz w:val="12"/>
          <w:szCs w:val="12"/>
          <w:b w:val="1"/>
          <w:bCs w:val="1"/>
          <w:color w:val="auto"/>
        </w:rPr>
        <w:t>HOUSAND</w:t>
      </w:r>
      <w:r>
        <w:rPr>
          <w:rFonts w:ascii="Arial" w:cs="Arial" w:eastAsia="Arial" w:hAnsi="Arial"/>
          <w:sz w:val="19"/>
          <w:szCs w:val="19"/>
          <w:b w:val="1"/>
          <w:bCs w:val="1"/>
          <w:color w:val="auto"/>
        </w:rPr>
        <w:t xml:space="preserve"> D</w:t>
      </w:r>
      <w:r>
        <w:rPr>
          <w:rFonts w:ascii="Arial" w:cs="Arial" w:eastAsia="Arial" w:hAnsi="Arial"/>
          <w:sz w:val="12"/>
          <w:szCs w:val="12"/>
          <w:b w:val="1"/>
          <w:bCs w:val="1"/>
          <w:color w:val="auto"/>
        </w:rPr>
        <w:t>OLLARS</w:t>
      </w:r>
      <w:r>
        <w:rPr>
          <w:rFonts w:ascii="Arial" w:cs="Arial" w:eastAsia="Arial" w:hAnsi="Arial"/>
          <w:sz w:val="19"/>
          <w:szCs w:val="19"/>
          <w:b w:val="1"/>
          <w:bCs w:val="1"/>
          <w:color w:val="auto"/>
        </w:rPr>
        <w:t xml:space="preserve"> </w:t>
      </w:r>
      <w:r>
        <w:rPr>
          <w:rFonts w:ascii="Arial" w:cs="Arial" w:eastAsia="Arial" w:hAnsi="Arial"/>
          <w:sz w:val="19"/>
          <w:szCs w:val="19"/>
          <w:color w:val="auto"/>
        </w:rPr>
        <w:t>on the Final Maturity Date specified above, with interest (computed on</w:t>
      </w:r>
      <w:r>
        <w:rPr>
          <w:rFonts w:ascii="Arial" w:cs="Arial" w:eastAsia="Arial" w:hAnsi="Arial"/>
          <w:sz w:val="19"/>
          <w:szCs w:val="19"/>
          <w:b w:val="1"/>
          <w:bCs w:val="1"/>
          <w:color w:val="auto"/>
        </w:rPr>
        <w:t xml:space="preserve"> </w:t>
      </w:r>
      <w:r>
        <w:rPr>
          <w:rFonts w:ascii="Arial" w:cs="Arial" w:eastAsia="Arial" w:hAnsi="Arial"/>
          <w:sz w:val="19"/>
          <w:szCs w:val="19"/>
          <w:color w:val="auto"/>
        </w:rPr>
        <w:t>the basis of a 360-day year—30-day month) on the unpaid balance thereof at the Interest Rate per annum specified above from the date hereof, payable on each Interest Payment Date specified above and on the Final Maturity Date specified above, commencing with the Interest Payment Date next succeeding the date hereof. The Company agrees to pay interest on overdue principal (including any overdue optional prepayment of principal) and premium, if any, and (to the extent legally enforceable) on any overdue installment of interest, at the Overdue Rate after the due date, whether by acceleration or otherwise, until paid. “Overdue Rate” shall mean the lesser of (a) the maximum interest rate permitted by law, and (b) the greater of (ii) the Interest Rate specified above plus 2.00% per annum or (b) the rate of interest publicly announced by JPMorgan Chase Bank, National Association, from time to time in New York City as its Prime Rate plus 2.00% per annum.</w:t>
      </w:r>
    </w:p>
    <w:p>
      <w:pPr>
        <w:spacing w:after="0" w:line="107" w:lineRule="exact"/>
        <w:rPr>
          <w:sz w:val="20"/>
          <w:szCs w:val="20"/>
          <w:color w:val="auto"/>
        </w:rPr>
      </w:pPr>
    </w:p>
    <w:p>
      <w:pPr>
        <w:jc w:val="both"/>
        <w:ind w:left="200" w:right="219" w:firstLine="648"/>
        <w:spacing w:after="0" w:line="286" w:lineRule="auto"/>
        <w:rPr>
          <w:sz w:val="20"/>
          <w:szCs w:val="20"/>
          <w:color w:val="auto"/>
        </w:rPr>
      </w:pPr>
      <w:r>
        <w:rPr>
          <w:rFonts w:ascii="Arial" w:cs="Arial" w:eastAsia="Arial" w:hAnsi="Arial"/>
          <w:sz w:val="18"/>
          <w:szCs w:val="18"/>
          <w:color w:val="auto"/>
        </w:rPr>
        <w:t xml:space="preserve">Both the principal hereof and interest hereon are payable at the principal office of the Company in Grand Rapids, Michigan in coin or currency of the United States of America which at the time of payment shall be legal tender for the payment of public and private debts. If any amount of principal, premium, if any, or interest on or in respect of this Note becomes due and payable on any date which is not a Business Day, such amount shall be payable on the immediately succeeding Business Day without including the additional days elapsed in the computation of the interest payable on such next succeeding Business Day;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if the maturity date of this Note is a date other than a Business Day, the payment otherwise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due on such maturity date shall be made on the next succeeding Business Day and shall include the additional days elapsed in the computation of interest payable on such next succeeding Business Day. </w:t>
      </w:r>
      <w:r>
        <w:rPr>
          <w:rFonts w:ascii="Arial" w:cs="Arial" w:eastAsia="Arial" w:hAnsi="Arial"/>
          <w:sz w:val="18"/>
          <w:szCs w:val="18"/>
          <w:i w:val="1"/>
          <w:iCs w:val="1"/>
          <w:color w:val="auto"/>
        </w:rPr>
        <w:t xml:space="preserve">“Business Day” </w:t>
      </w:r>
      <w:r>
        <w:rPr>
          <w:rFonts w:ascii="Arial" w:cs="Arial" w:eastAsia="Arial" w:hAnsi="Arial"/>
          <w:sz w:val="18"/>
          <w:szCs w:val="18"/>
          <w:color w:val="auto"/>
        </w:rPr>
        <w:t>means any day other than a Saturday, Sunday or other day on which banks in either Grand</w:t>
      </w:r>
      <w:r>
        <w:rPr>
          <w:rFonts w:ascii="Arial" w:cs="Arial" w:eastAsia="Arial" w:hAnsi="Arial"/>
          <w:sz w:val="18"/>
          <w:szCs w:val="18"/>
          <w:i w:val="1"/>
          <w:iCs w:val="1"/>
          <w:color w:val="auto"/>
        </w:rPr>
        <w:t xml:space="preserve"> </w:t>
      </w:r>
      <w:r>
        <w:rPr>
          <w:rFonts w:ascii="Arial" w:cs="Arial" w:eastAsia="Arial" w:hAnsi="Arial"/>
          <w:sz w:val="18"/>
          <w:szCs w:val="18"/>
          <w:color w:val="auto"/>
        </w:rPr>
        <w:t>Rapids, Michigan or New York, New York are required by law to close or are customarily closed.</w:t>
      </w:r>
    </w:p>
    <w:p>
      <w:pPr>
        <w:spacing w:after="0" w:line="108" w:lineRule="exact"/>
        <w:rPr>
          <w:sz w:val="20"/>
          <w:szCs w:val="20"/>
          <w:color w:val="auto"/>
        </w:rPr>
      </w:pPr>
    </w:p>
    <w:p>
      <w:pPr>
        <w:jc w:val="both"/>
        <w:ind w:left="200" w:right="219" w:firstLine="648"/>
        <w:spacing w:after="0" w:line="291" w:lineRule="auto"/>
        <w:rPr>
          <w:sz w:val="20"/>
          <w:szCs w:val="20"/>
          <w:color w:val="auto"/>
        </w:rPr>
      </w:pPr>
      <w:r>
        <w:rPr>
          <w:rFonts w:ascii="Arial" w:cs="Arial" w:eastAsia="Arial" w:hAnsi="Arial"/>
          <w:sz w:val="18"/>
          <w:szCs w:val="18"/>
          <w:color w:val="auto"/>
        </w:rPr>
        <w:t>This Note is one of the 3.15% Series G Senior Notes, due August 10, 2035 of the Company in the original aggregate principal amount of $50,000,000, which, together with the 3.89% Series A Senior Notes, due December 17, 2022, of the Company in the original aggregate principal amount of $35,000,000, the 3.98% Series B Senior Notes, due December 17, 2024, of the Company in the original aggregate principal amount of $40,000,000, and any other Shelf Notes (as defined in the Note Agreement hereafter mentioned), are issued or to be issued under and pursuant to the terms and provisions of the Note Purchase and Private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460375</wp:posOffset>
            </wp:positionV>
            <wp:extent cx="5452110"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58" w:name="page59"/>
    <w:bookmarkEnd w:id="58"/>
    <w:p>
      <w:pPr>
        <w:jc w:val="right"/>
        <w:ind w:right="219"/>
        <w:spacing w:after="0"/>
        <w:rPr>
          <w:sz w:val="20"/>
          <w:szCs w:val="20"/>
          <w:color w:val="auto"/>
        </w:rPr>
      </w:pPr>
      <w:r>
        <w:rPr>
          <w:rFonts w:ascii="Arial" w:cs="Arial" w:eastAsia="Arial" w:hAnsi="Arial"/>
          <w:sz w:val="20"/>
          <w:szCs w:val="20"/>
          <w:b w:val="1"/>
          <w:bCs w:val="1"/>
          <w:color w:val="auto"/>
        </w:rPr>
        <w:t>Exhibit 10(k)</w:t>
      </w:r>
    </w:p>
    <w:p>
      <w:pPr>
        <w:spacing w:after="0" w:line="200" w:lineRule="exact"/>
        <w:rPr>
          <w:sz w:val="20"/>
          <w:szCs w:val="20"/>
          <w:color w:val="auto"/>
        </w:rPr>
      </w:pPr>
    </w:p>
    <w:p>
      <w:pPr>
        <w:spacing w:after="0" w:line="238" w:lineRule="exact"/>
        <w:rPr>
          <w:sz w:val="20"/>
          <w:szCs w:val="20"/>
          <w:color w:val="auto"/>
        </w:rPr>
      </w:pPr>
    </w:p>
    <w:p>
      <w:pPr>
        <w:jc w:val="both"/>
        <w:ind w:left="200" w:right="219"/>
        <w:spacing w:after="0" w:line="273" w:lineRule="auto"/>
        <w:rPr>
          <w:sz w:val="20"/>
          <w:szCs w:val="20"/>
          <w:color w:val="auto"/>
        </w:rPr>
      </w:pPr>
      <w:r>
        <w:rPr>
          <w:rFonts w:ascii="Arial" w:cs="Arial" w:eastAsia="Arial" w:hAnsi="Arial"/>
          <w:sz w:val="19"/>
          <w:szCs w:val="19"/>
          <w:color w:val="auto"/>
        </w:rPr>
        <w:t xml:space="preserve">Shelf Agreement, dated as of December 17, 2012 (the </w:t>
      </w:r>
      <w:r>
        <w:rPr>
          <w:rFonts w:ascii="Arial" w:cs="Arial" w:eastAsia="Arial" w:hAnsi="Arial"/>
          <w:sz w:val="19"/>
          <w:szCs w:val="19"/>
          <w:i w:val="1"/>
          <w:iCs w:val="1"/>
          <w:color w:val="auto"/>
        </w:rPr>
        <w:t>“Note Agreement”</w:t>
      </w:r>
      <w:r>
        <w:rPr>
          <w:rFonts w:ascii="Arial" w:cs="Arial" w:eastAsia="Arial" w:hAnsi="Arial"/>
          <w:sz w:val="19"/>
          <w:szCs w:val="19"/>
          <w:color w:val="auto"/>
        </w:rPr>
        <w:t>), between the Company, on the one hand, and PGIM, Inc. , the Initial Purchasers named in the Purchaser Schedule attached thereto and each Prudential Affiliate which becomes party thereto, on the other hand, and the holder hereof is entitled equally and ratably with the holders of all other Notes outstanding under the Note Agreement to all the benefits provided for thereby or referred to therein. Reference is hereby made to the Note Agreement for a statement of such rights and benefits.</w:t>
      </w:r>
    </w:p>
    <w:p>
      <w:pPr>
        <w:spacing w:after="0" w:line="115" w:lineRule="exact"/>
        <w:rPr>
          <w:sz w:val="20"/>
          <w:szCs w:val="20"/>
          <w:color w:val="auto"/>
        </w:rPr>
      </w:pPr>
    </w:p>
    <w:p>
      <w:pPr>
        <w:jc w:val="both"/>
        <w:ind w:left="200" w:right="239" w:firstLine="648"/>
        <w:spacing w:after="0" w:line="284" w:lineRule="auto"/>
        <w:rPr>
          <w:sz w:val="20"/>
          <w:szCs w:val="20"/>
          <w:color w:val="auto"/>
        </w:rPr>
      </w:pPr>
      <w:r>
        <w:rPr>
          <w:rFonts w:ascii="Arial" w:cs="Arial" w:eastAsia="Arial" w:hAnsi="Arial"/>
          <w:sz w:val="19"/>
          <w:szCs w:val="19"/>
          <w:color w:val="auto"/>
        </w:rPr>
        <w:t>This Note and the other Notes outstanding under the Note Agreement may be declared due prior to their expressed maturity dates and certain prepayments are required to be made thereon, all in the events, on the terms and in the manner and amounts as provided in the Note Agreements.</w:t>
      </w:r>
    </w:p>
    <w:p>
      <w:pPr>
        <w:spacing w:after="0" w:line="88" w:lineRule="exact"/>
        <w:rPr>
          <w:sz w:val="20"/>
          <w:szCs w:val="20"/>
          <w:color w:val="auto"/>
        </w:rPr>
      </w:pPr>
    </w:p>
    <w:p>
      <w:pPr>
        <w:jc w:val="both"/>
        <w:ind w:left="200" w:right="219" w:firstLine="648"/>
        <w:spacing w:after="0" w:line="264" w:lineRule="auto"/>
        <w:rPr>
          <w:sz w:val="20"/>
          <w:szCs w:val="20"/>
          <w:color w:val="auto"/>
        </w:rPr>
      </w:pPr>
      <w:r>
        <w:rPr>
          <w:rFonts w:ascii="Arial" w:cs="Arial" w:eastAsia="Arial" w:hAnsi="Arial"/>
          <w:sz w:val="20"/>
          <w:szCs w:val="20"/>
          <w:color w:val="auto"/>
        </w:rPr>
        <w:t>The Notes are not subject to prepayment or redemption at the option of the Company prior to their expressed maturity dates except on the terms and conditions and in the amounts and with the premium, if any, set forth in the Note Agreement.</w:t>
      </w:r>
    </w:p>
    <w:p>
      <w:pPr>
        <w:spacing w:after="0" w:line="119" w:lineRule="exact"/>
        <w:rPr>
          <w:sz w:val="20"/>
          <w:szCs w:val="20"/>
          <w:color w:val="auto"/>
        </w:rPr>
      </w:pPr>
    </w:p>
    <w:p>
      <w:pPr>
        <w:jc w:val="both"/>
        <w:ind w:left="200" w:right="219" w:firstLine="648"/>
        <w:spacing w:after="0" w:line="258" w:lineRule="auto"/>
        <w:rPr>
          <w:sz w:val="20"/>
          <w:szCs w:val="20"/>
          <w:color w:val="auto"/>
        </w:rPr>
      </w:pPr>
      <w:r>
        <w:rPr>
          <w:rFonts w:ascii="Arial" w:cs="Arial" w:eastAsia="Arial" w:hAnsi="Arial"/>
          <w:sz w:val="20"/>
          <w:szCs w:val="20"/>
          <w:color w:val="auto"/>
        </w:rPr>
        <w:t>This Note is registered on the books of the Company and is transferable only by surrender thereof at the principal office of the Company duly endorsed or accompanied by a written instrument of transfer duly executed by the registered holder of this Note or its attorney duly authorized in writing. Payment of or on account of principal, premium, if any, and interest on this Note shall be made only to or upon the order in writing of the registered holder.</w:t>
      </w:r>
    </w:p>
    <w:p>
      <w:pPr>
        <w:spacing w:after="0" w:line="127" w:lineRule="exact"/>
        <w:rPr>
          <w:sz w:val="20"/>
          <w:szCs w:val="20"/>
          <w:color w:val="auto"/>
        </w:rPr>
      </w:pPr>
    </w:p>
    <w:p>
      <w:pPr>
        <w:ind w:left="38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follows</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833120</wp:posOffset>
            </wp:positionV>
            <wp:extent cx="5452110"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59" w:name="page60"/>
    <w:bookmarkEnd w:id="59"/>
    <w:p>
      <w:pPr>
        <w:jc w:val="right"/>
        <w:ind w:right="219"/>
        <w:spacing w:after="0"/>
        <w:rPr>
          <w:sz w:val="20"/>
          <w:szCs w:val="20"/>
          <w:color w:val="auto"/>
        </w:rPr>
      </w:pPr>
      <w:r>
        <w:rPr>
          <w:rFonts w:ascii="Arial" w:cs="Arial" w:eastAsia="Arial" w:hAnsi="Arial"/>
          <w:sz w:val="20"/>
          <w:szCs w:val="20"/>
          <w:b w:val="1"/>
          <w:bCs w:val="1"/>
          <w:color w:val="auto"/>
        </w:rPr>
        <w:t>Exhibit 10(k)</w:t>
      </w:r>
    </w:p>
    <w:p>
      <w:pPr>
        <w:spacing w:after="0" w:line="200" w:lineRule="exact"/>
        <w:rPr>
          <w:sz w:val="20"/>
          <w:szCs w:val="20"/>
          <w:color w:val="auto"/>
        </w:rPr>
      </w:pPr>
    </w:p>
    <w:p>
      <w:pPr>
        <w:spacing w:after="0" w:line="232" w:lineRule="exact"/>
        <w:rPr>
          <w:sz w:val="20"/>
          <w:szCs w:val="20"/>
          <w:color w:val="auto"/>
        </w:rPr>
      </w:pPr>
    </w:p>
    <w:p>
      <w:pPr>
        <w:jc w:val="both"/>
        <w:ind w:left="200" w:right="219" w:firstLine="648"/>
        <w:spacing w:after="0" w:line="262" w:lineRule="auto"/>
        <w:rPr>
          <w:sz w:val="20"/>
          <w:szCs w:val="20"/>
          <w:color w:val="auto"/>
        </w:rPr>
      </w:pPr>
      <w:r>
        <w:rPr>
          <w:rFonts w:ascii="Arial" w:cs="Arial" w:eastAsia="Arial" w:hAnsi="Arial"/>
          <w:sz w:val="20"/>
          <w:szCs w:val="20"/>
          <w:b w:val="1"/>
          <w:bCs w:val="1"/>
          <w:color w:val="auto"/>
        </w:rPr>
        <w:t>This Note and said Note Agreement are governed by and construed in accordance with the law of Illinois (excluding any conflicts of law rules which would otherwise cause this note to be construed or enforced in accordance with the laws of any other jurisdiction), including all matters of construction, validity and performance.</w:t>
      </w:r>
    </w:p>
    <w:p>
      <w:pPr>
        <w:spacing w:after="0" w:line="122"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UFP I</w:t>
      </w:r>
      <w:r>
        <w:rPr>
          <w:rFonts w:ascii="Arial" w:cs="Arial" w:eastAsia="Arial" w:hAnsi="Arial"/>
          <w:sz w:val="13"/>
          <w:szCs w:val="13"/>
          <w:color w:val="auto"/>
        </w:rPr>
        <w:t>NDUSTRIES</w:t>
      </w:r>
      <w:r>
        <w:rPr>
          <w:rFonts w:ascii="Arial" w:cs="Arial" w:eastAsia="Arial" w:hAnsi="Arial"/>
          <w:sz w:val="20"/>
          <w:szCs w:val="20"/>
          <w:color w:val="auto"/>
        </w:rPr>
        <w:t>, I</w:t>
      </w:r>
      <w:r>
        <w:rPr>
          <w:rFonts w:ascii="Arial" w:cs="Arial" w:eastAsia="Arial" w:hAnsi="Arial"/>
          <w:sz w:val="13"/>
          <w:szCs w:val="13"/>
          <w:color w:val="auto"/>
        </w:rPr>
        <w:t>NC</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100"/>
        <w:spacing w:after="0"/>
        <w:rPr>
          <w:sz w:val="20"/>
          <w:szCs w:val="20"/>
          <w:color w:val="auto"/>
        </w:rPr>
      </w:pPr>
      <w:r>
        <w:rPr>
          <w:rFonts w:ascii="Arial" w:cs="Arial" w:eastAsia="Arial" w:hAnsi="Arial"/>
          <w:sz w:val="20"/>
          <w:szCs w:val="20"/>
          <w:color w:val="auto"/>
          <w:highlight w:val="white"/>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-31750</wp:posOffset>
            </wp:positionV>
            <wp:extent cx="278574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0">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jc w:val="center"/>
        <w:ind w:right="-14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768985</wp:posOffset>
            </wp:positionV>
            <wp:extent cx="545211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1">
                      <a:extLst>
                        <a:ext uri="{28A0092B-C50C-407E-A947-70E740481C1C}"/>
                      </a:extLst>
                    </a:blip>
                    <a:srcRect/>
                    <a:stretch>
                      <a:fillRect/>
                    </a:stretch>
                  </pic:blipFill>
                  <pic:spPr bwMode="auto">
                    <a:xfrm>
                      <a:off x="0" y="0"/>
                      <a:ext cx="5452110" cy="17145"/>
                    </a:xfrm>
                    <a:prstGeom prst="rect">
                      <a:avLst/>
                    </a:prstGeom>
                    <a:noFill/>
                  </pic:spPr>
                </pic:pic>
              </a:graphicData>
            </a:graphic>
          </wp:anchor>
        </w:drawing>
        <w:drawing>
          <wp:anchor simplePos="0" relativeHeight="251657728" behindDoc="1" locked="0" layoutInCell="0" allowOverlap="1">
            <wp:simplePos x="0" y="0"/>
            <wp:positionH relativeFrom="column">
              <wp:posOffset>2602865</wp:posOffset>
            </wp:positionH>
            <wp:positionV relativeFrom="paragraph">
              <wp:posOffset>-139065</wp:posOffset>
            </wp:positionV>
            <wp:extent cx="2983230" cy="1454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2">
                      <a:extLst>
                        <a:ext uri="{28A0092B-C50C-407E-A947-70E740481C1C}"/>
                      </a:extLst>
                    </a:blip>
                    <a:srcRect/>
                    <a:stretch>
                      <a:fillRect/>
                    </a:stretch>
                  </pic:blipFill>
                  <pic:spPr bwMode="auto">
                    <a:xfrm>
                      <a:off x="0" y="0"/>
                      <a:ext cx="2983230" cy="145415"/>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60" w:name="page61"/>
    <w:bookmarkEnd w:id="60"/>
    <w:p>
      <w:pPr>
        <w:jc w:val="right"/>
        <w:ind w:right="219"/>
        <w:spacing w:after="0"/>
        <w:rPr>
          <w:sz w:val="20"/>
          <w:szCs w:val="20"/>
          <w:color w:val="auto"/>
        </w:rPr>
      </w:pPr>
      <w:r>
        <w:rPr>
          <w:rFonts w:ascii="Arial" w:cs="Arial" w:eastAsia="Arial" w:hAnsi="Arial"/>
          <w:sz w:val="20"/>
          <w:szCs w:val="20"/>
          <w:b w:val="1"/>
          <w:bCs w:val="1"/>
          <w:color w:val="auto"/>
        </w:rPr>
        <w:t>Exhibit 10(k)</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UFP INDUSTRIES, INC.</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3.15% SENIOR SERIES G NOTE DUE AUGUST 10, 2035</w:t>
      </w:r>
    </w:p>
    <w:p>
      <w:pPr>
        <w:spacing w:after="0" w:line="200" w:lineRule="exact"/>
        <w:rPr>
          <w:sz w:val="20"/>
          <w:szCs w:val="20"/>
          <w:color w:val="auto"/>
        </w:rPr>
      </w:pPr>
    </w:p>
    <w:p>
      <w:pPr>
        <w:spacing w:after="0" w:line="251" w:lineRule="exact"/>
        <w:rPr>
          <w:sz w:val="20"/>
          <w:szCs w:val="20"/>
          <w:color w:val="auto"/>
        </w:rPr>
      </w:pPr>
    </w:p>
    <w:p>
      <w:pPr>
        <w:ind w:left="200"/>
        <w:spacing w:after="0"/>
        <w:rPr>
          <w:sz w:val="20"/>
          <w:szCs w:val="20"/>
          <w:color w:val="auto"/>
        </w:rPr>
      </w:pPr>
      <w:r>
        <w:rPr>
          <w:rFonts w:ascii="Arial" w:cs="Arial" w:eastAsia="Arial" w:hAnsi="Arial"/>
          <w:sz w:val="20"/>
          <w:szCs w:val="20"/>
          <w:color w:val="auto"/>
        </w:rPr>
        <w:t>No. G-5</w:t>
      </w:r>
    </w:p>
    <w:p>
      <w:pPr>
        <w:spacing w:after="0" w:line="20" w:lineRule="exact"/>
        <w:rPr>
          <w:sz w:val="20"/>
          <w:szCs w:val="20"/>
          <w:color w:val="auto"/>
        </w:rPr>
      </w:pPr>
    </w:p>
    <w:p>
      <w:pPr>
        <w:ind w:left="200"/>
        <w:spacing w:after="0"/>
        <w:rPr>
          <w:sz w:val="20"/>
          <w:szCs w:val="20"/>
          <w:color w:val="auto"/>
        </w:rPr>
      </w:pPr>
      <w:r>
        <w:rPr>
          <w:rFonts w:ascii="Arial" w:cs="Arial" w:eastAsia="Arial" w:hAnsi="Arial"/>
          <w:sz w:val="20"/>
          <w:szCs w:val="20"/>
          <w:color w:val="auto"/>
        </w:rPr>
        <w:t>ORIGINAL PRINCIPAL AMOUNT: $5,000,000</w:t>
      </w:r>
    </w:p>
    <w:p>
      <w:pPr>
        <w:spacing w:after="0" w:line="13" w:lineRule="exact"/>
        <w:rPr>
          <w:sz w:val="20"/>
          <w:szCs w:val="20"/>
          <w:color w:val="auto"/>
        </w:rPr>
      </w:pPr>
    </w:p>
    <w:p>
      <w:pPr>
        <w:ind w:left="200"/>
        <w:spacing w:after="0"/>
        <w:rPr>
          <w:sz w:val="20"/>
          <w:szCs w:val="20"/>
          <w:color w:val="auto"/>
        </w:rPr>
      </w:pPr>
      <w:r>
        <w:rPr>
          <w:rFonts w:ascii="Arial" w:cs="Arial" w:eastAsia="Arial" w:hAnsi="Arial"/>
          <w:sz w:val="20"/>
          <w:szCs w:val="20"/>
          <w:color w:val="auto"/>
        </w:rPr>
        <w:t>ORIGINAL ISSUE DATE: August 10, 2020</w:t>
      </w:r>
    </w:p>
    <w:p>
      <w:pPr>
        <w:spacing w:after="0" w:line="13" w:lineRule="exact"/>
        <w:rPr>
          <w:sz w:val="20"/>
          <w:szCs w:val="20"/>
          <w:color w:val="auto"/>
        </w:rPr>
      </w:pPr>
    </w:p>
    <w:p>
      <w:pPr>
        <w:ind w:left="200"/>
        <w:spacing w:after="0"/>
        <w:rPr>
          <w:sz w:val="20"/>
          <w:szCs w:val="20"/>
          <w:color w:val="auto"/>
        </w:rPr>
      </w:pPr>
      <w:r>
        <w:rPr>
          <w:rFonts w:ascii="Arial" w:cs="Arial" w:eastAsia="Arial" w:hAnsi="Arial"/>
          <w:sz w:val="20"/>
          <w:szCs w:val="20"/>
          <w:color w:val="auto"/>
        </w:rPr>
        <w:t>INTEREST RATE: 3.15%</w:t>
      </w:r>
    </w:p>
    <w:p>
      <w:pPr>
        <w:spacing w:after="0" w:line="13" w:lineRule="exact"/>
        <w:rPr>
          <w:sz w:val="20"/>
          <w:szCs w:val="20"/>
          <w:color w:val="auto"/>
        </w:rPr>
      </w:pPr>
    </w:p>
    <w:p>
      <w:pPr>
        <w:ind w:left="200" w:right="579"/>
        <w:spacing w:after="0" w:line="253" w:lineRule="auto"/>
        <w:rPr>
          <w:sz w:val="20"/>
          <w:szCs w:val="20"/>
          <w:color w:val="auto"/>
        </w:rPr>
      </w:pPr>
      <w:r>
        <w:rPr>
          <w:rFonts w:ascii="Arial" w:cs="Arial" w:eastAsia="Arial" w:hAnsi="Arial"/>
          <w:sz w:val="20"/>
          <w:szCs w:val="20"/>
          <w:color w:val="auto"/>
        </w:rPr>
        <w:t>INTEREST PAYMENT DATES: Semi-annually, in arrears, on February 10 and August 10 of each year, commencing on February 10, 2021</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20"/>
          <w:szCs w:val="20"/>
          <w:color w:val="auto"/>
        </w:rPr>
        <w:t>FINAL MATURITY DATE: August 10, 2035</w:t>
      </w:r>
    </w:p>
    <w:p>
      <w:pPr>
        <w:spacing w:after="0" w:line="13" w:lineRule="exact"/>
        <w:rPr>
          <w:sz w:val="20"/>
          <w:szCs w:val="20"/>
          <w:color w:val="auto"/>
        </w:rPr>
      </w:pPr>
    </w:p>
    <w:p>
      <w:pPr>
        <w:ind w:left="200" w:right="1979"/>
        <w:spacing w:after="0" w:line="267" w:lineRule="auto"/>
        <w:rPr>
          <w:sz w:val="20"/>
          <w:szCs w:val="20"/>
          <w:color w:val="auto"/>
        </w:rPr>
      </w:pPr>
      <w:r>
        <w:rPr>
          <w:rFonts w:ascii="Arial" w:cs="Arial" w:eastAsia="Arial" w:hAnsi="Arial"/>
          <w:sz w:val="20"/>
          <w:szCs w:val="20"/>
          <w:color w:val="auto"/>
        </w:rPr>
        <w:t>PRINCIPAL PREPAYMENT DATES AND AMOUNTS: None, bullet due at maturity PPN 913543 E*1</w:t>
      </w:r>
    </w:p>
    <w:p>
      <w:pPr>
        <w:spacing w:after="0" w:line="115" w:lineRule="exact"/>
        <w:rPr>
          <w:sz w:val="20"/>
          <w:szCs w:val="20"/>
          <w:color w:val="auto"/>
        </w:rPr>
      </w:pPr>
    </w:p>
    <w:p>
      <w:pPr>
        <w:jc w:val="both"/>
        <w:ind w:left="200" w:right="219" w:firstLine="648"/>
        <w:spacing w:after="0" w:line="270" w:lineRule="auto"/>
        <w:rPr>
          <w:sz w:val="20"/>
          <w:szCs w:val="20"/>
          <w:color w:val="auto"/>
        </w:rPr>
      </w:pPr>
      <w:r>
        <w:rPr>
          <w:rFonts w:ascii="Arial" w:cs="Arial" w:eastAsia="Arial" w:hAnsi="Arial"/>
          <w:sz w:val="19"/>
          <w:szCs w:val="19"/>
          <w:color w:val="auto"/>
        </w:rPr>
        <w:t xml:space="preserve">FOR VALUE RECEIVED, the undersigned, UFP Industries, Inc. (f/k/a Universal Forest Products, Inc.), a Michigan corporation (herein called the “Company”), hereby promises to pay to </w:t>
      </w:r>
      <w:r>
        <w:rPr>
          <w:rFonts w:ascii="Arial" w:cs="Arial" w:eastAsia="Arial" w:hAnsi="Arial"/>
          <w:sz w:val="19"/>
          <w:szCs w:val="19"/>
          <w:b w:val="1"/>
          <w:bCs w:val="1"/>
          <w:color w:val="auto"/>
        </w:rPr>
        <w:t>T</w:t>
      </w:r>
      <w:r>
        <w:rPr>
          <w:rFonts w:ascii="Arial" w:cs="Arial" w:eastAsia="Arial" w:hAnsi="Arial"/>
          <w:sz w:val="12"/>
          <w:szCs w:val="12"/>
          <w:b w:val="1"/>
          <w:bCs w:val="1"/>
          <w:color w:val="auto"/>
        </w:rPr>
        <w:t>HE</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P</w:t>
      </w:r>
      <w:r>
        <w:rPr>
          <w:rFonts w:ascii="Arial" w:cs="Arial" w:eastAsia="Arial" w:hAnsi="Arial"/>
          <w:sz w:val="13"/>
          <w:szCs w:val="13"/>
          <w:b w:val="1"/>
          <w:bCs w:val="1"/>
          <w:color w:val="auto"/>
        </w:rPr>
        <w:t>RUDENTIAL</w:t>
      </w:r>
      <w:r>
        <w:rPr>
          <w:rFonts w:ascii="Arial" w:cs="Arial" w:eastAsia="Arial" w:hAnsi="Arial"/>
          <w:sz w:val="20"/>
          <w:szCs w:val="20"/>
          <w:b w:val="1"/>
          <w:bCs w:val="1"/>
          <w:color w:val="auto"/>
        </w:rPr>
        <w:t xml:space="preserve"> I</w:t>
      </w:r>
      <w:r>
        <w:rPr>
          <w:rFonts w:ascii="Arial" w:cs="Arial" w:eastAsia="Arial" w:hAnsi="Arial"/>
          <w:sz w:val="13"/>
          <w:szCs w:val="13"/>
          <w:b w:val="1"/>
          <w:bCs w:val="1"/>
          <w:color w:val="auto"/>
        </w:rPr>
        <w:t>NSURANCE</w:t>
      </w:r>
      <w:r>
        <w:rPr>
          <w:rFonts w:ascii="Arial" w:cs="Arial" w:eastAsia="Arial" w:hAnsi="Arial"/>
          <w:sz w:val="20"/>
          <w:szCs w:val="20"/>
          <w:b w:val="1"/>
          <w:bCs w:val="1"/>
          <w:color w:val="auto"/>
        </w:rPr>
        <w:t xml:space="preserve"> C</w:t>
      </w:r>
      <w:r>
        <w:rPr>
          <w:rFonts w:ascii="Arial" w:cs="Arial" w:eastAsia="Arial" w:hAnsi="Arial"/>
          <w:sz w:val="13"/>
          <w:szCs w:val="13"/>
          <w:b w:val="1"/>
          <w:bCs w:val="1"/>
          <w:color w:val="auto"/>
        </w:rPr>
        <w:t>OMPANY OF</w:t>
      </w:r>
      <w:r>
        <w:rPr>
          <w:rFonts w:ascii="Arial" w:cs="Arial" w:eastAsia="Arial" w:hAnsi="Arial"/>
          <w:sz w:val="20"/>
          <w:szCs w:val="20"/>
          <w:b w:val="1"/>
          <w:bCs w:val="1"/>
          <w:color w:val="auto"/>
        </w:rPr>
        <w:t xml:space="preserve"> A</w:t>
      </w:r>
      <w:r>
        <w:rPr>
          <w:rFonts w:ascii="Arial" w:cs="Arial" w:eastAsia="Arial" w:hAnsi="Arial"/>
          <w:sz w:val="13"/>
          <w:szCs w:val="13"/>
          <w:b w:val="1"/>
          <w:bCs w:val="1"/>
          <w:color w:val="auto"/>
        </w:rPr>
        <w:t>MERICA</w:t>
      </w:r>
      <w:r>
        <w:rPr>
          <w:rFonts w:ascii="Arial" w:cs="Arial" w:eastAsia="Arial" w:hAnsi="Arial"/>
          <w:sz w:val="20"/>
          <w:szCs w:val="20"/>
          <w:color w:val="auto"/>
        </w:rPr>
        <w:t>, or registered assigns, the principal sum of</w:t>
      </w:r>
      <w:r>
        <w:rPr>
          <w:rFonts w:ascii="Arial" w:cs="Arial" w:eastAsia="Arial" w:hAnsi="Arial"/>
          <w:sz w:val="20"/>
          <w:szCs w:val="20"/>
          <w:b w:val="1"/>
          <w:bCs w:val="1"/>
          <w:color w:val="auto"/>
        </w:rPr>
        <w:t xml:space="preserve"> F</w:t>
      </w:r>
      <w:r>
        <w:rPr>
          <w:rFonts w:ascii="Arial" w:cs="Arial" w:eastAsia="Arial" w:hAnsi="Arial"/>
          <w:sz w:val="13"/>
          <w:szCs w:val="13"/>
          <w:b w:val="1"/>
          <w:bCs w:val="1"/>
          <w:color w:val="auto"/>
        </w:rPr>
        <w:t>IVE</w:t>
      </w:r>
      <w:r>
        <w:rPr>
          <w:rFonts w:ascii="Arial" w:cs="Arial" w:eastAsia="Arial" w:hAnsi="Arial"/>
          <w:sz w:val="20"/>
          <w:szCs w:val="20"/>
          <w:b w:val="1"/>
          <w:bCs w:val="1"/>
          <w:color w:val="auto"/>
        </w:rPr>
        <w:t xml:space="preserve"> M</w:t>
      </w:r>
      <w:r>
        <w:rPr>
          <w:rFonts w:ascii="Arial" w:cs="Arial" w:eastAsia="Arial" w:hAnsi="Arial"/>
          <w:sz w:val="13"/>
          <w:szCs w:val="13"/>
          <w:b w:val="1"/>
          <w:bCs w:val="1"/>
          <w:color w:val="auto"/>
        </w:rPr>
        <w:t>ILLION</w:t>
      </w:r>
    </w:p>
    <w:p>
      <w:pPr>
        <w:spacing w:after="0" w:line="13" w:lineRule="exact"/>
        <w:rPr>
          <w:sz w:val="20"/>
          <w:szCs w:val="20"/>
          <w:color w:val="auto"/>
        </w:rPr>
      </w:pPr>
    </w:p>
    <w:p>
      <w:pPr>
        <w:jc w:val="both"/>
        <w:ind w:left="200" w:right="219"/>
        <w:spacing w:after="0" w:line="316" w:lineRule="auto"/>
        <w:rPr>
          <w:sz w:val="20"/>
          <w:szCs w:val="20"/>
          <w:color w:val="auto"/>
        </w:rPr>
      </w:pPr>
      <w:r>
        <w:rPr>
          <w:rFonts w:ascii="Arial" w:cs="Arial" w:eastAsia="Arial" w:hAnsi="Arial"/>
          <w:sz w:val="16"/>
          <w:szCs w:val="16"/>
          <w:b w:val="1"/>
          <w:bCs w:val="1"/>
          <w:color w:val="auto"/>
        </w:rPr>
        <w:t>D</w:t>
      </w:r>
      <w:r>
        <w:rPr>
          <w:rFonts w:ascii="Arial" w:cs="Arial" w:eastAsia="Arial" w:hAnsi="Arial"/>
          <w:sz w:val="11"/>
          <w:szCs w:val="11"/>
          <w:b w:val="1"/>
          <w:bCs w:val="1"/>
          <w:color w:val="auto"/>
        </w:rPr>
        <w:t>OLLARS</w:t>
      </w:r>
      <w:r>
        <w:rPr>
          <w:rFonts w:ascii="Arial" w:cs="Arial" w:eastAsia="Arial" w:hAnsi="Arial"/>
          <w:sz w:val="16"/>
          <w:szCs w:val="16"/>
          <w:b w:val="1"/>
          <w:bCs w:val="1"/>
          <w:color w:val="auto"/>
        </w:rPr>
        <w:t xml:space="preserve"> </w:t>
      </w:r>
      <w:r>
        <w:rPr>
          <w:rFonts w:ascii="Arial" w:cs="Arial" w:eastAsia="Arial" w:hAnsi="Arial"/>
          <w:sz w:val="16"/>
          <w:szCs w:val="16"/>
          <w:color w:val="auto"/>
        </w:rPr>
        <w:t>on the Final Maturity Date specified above, with interest (computed on the basis of a 360-day year</w:t>
      </w:r>
      <w:r>
        <w:rPr>
          <w:rFonts w:ascii="Arial" w:cs="Arial" w:eastAsia="Arial" w:hAnsi="Arial"/>
          <w:sz w:val="16"/>
          <w:szCs w:val="16"/>
          <w:b w:val="1"/>
          <w:bCs w:val="1"/>
          <w:color w:val="auto"/>
        </w:rPr>
        <w:t xml:space="preserve"> </w:t>
      </w:r>
      <w:r>
        <w:rPr>
          <w:rFonts w:ascii="Arial" w:cs="Arial" w:eastAsia="Arial" w:hAnsi="Arial"/>
          <w:sz w:val="16"/>
          <w:szCs w:val="16"/>
          <w:color w:val="auto"/>
        </w:rPr>
        <w:t>—30-day month) on the unpaid balance thereof at the Interest Rate per annum specified above from the date hereof, payable on each Interest Payment Date specified above and on the Final Maturity Date specified above, commencing with the Interest Payment Date next succeeding the date hereof. The Company agrees to pay interest on overdue principal (including any overdue optional prepayment of principal) and premium, if any, and (to the extent legally enforceable) on any overdue installment of interest, at the Overdue Rate after the due date, whether by acceleration or otherwise, until paid. “Overdue Rate” shall mean the lesser of</w:t>
      </w:r>
    </w:p>
    <w:p>
      <w:pPr>
        <w:spacing w:after="0" w:line="5" w:lineRule="exact"/>
        <w:rPr>
          <w:sz w:val="20"/>
          <w:szCs w:val="20"/>
          <w:color w:val="auto"/>
        </w:rPr>
      </w:pPr>
    </w:p>
    <w:p>
      <w:pPr>
        <w:jc w:val="both"/>
        <w:ind w:left="200" w:right="219" w:firstLine="9"/>
        <w:spacing w:after="0" w:line="280" w:lineRule="auto"/>
        <w:tabs>
          <w:tab w:leader="none" w:pos="479" w:val="left"/>
        </w:tabs>
        <w:numPr>
          <w:ilvl w:val="0"/>
          <w:numId w:val="18"/>
        </w:numPr>
        <w:rPr>
          <w:rFonts w:ascii="Arial" w:cs="Arial" w:eastAsia="Arial" w:hAnsi="Arial"/>
          <w:sz w:val="19"/>
          <w:szCs w:val="19"/>
          <w:color w:val="auto"/>
        </w:rPr>
      </w:pPr>
      <w:r>
        <w:rPr>
          <w:rFonts w:ascii="Arial" w:cs="Arial" w:eastAsia="Arial" w:hAnsi="Arial"/>
          <w:sz w:val="19"/>
          <w:szCs w:val="19"/>
          <w:color w:val="auto"/>
        </w:rPr>
        <w:t>the maximum interest rate permitted by law, and (b) the greater of (ii) the Interest Rate specified above plus 2.00% per annum or (b) the rate of interest publicly announced by JPMorgan Chase Bank, National Association, from time to time in New York City as its Prime Rate plus 2.00% per annum.</w:t>
      </w:r>
    </w:p>
    <w:p>
      <w:pPr>
        <w:spacing w:after="0" w:line="92" w:lineRule="exact"/>
        <w:rPr>
          <w:sz w:val="20"/>
          <w:szCs w:val="20"/>
          <w:color w:val="auto"/>
        </w:rPr>
      </w:pPr>
    </w:p>
    <w:p>
      <w:pPr>
        <w:jc w:val="both"/>
        <w:ind w:left="200" w:right="219" w:firstLine="648"/>
        <w:spacing w:after="0" w:line="286" w:lineRule="auto"/>
        <w:rPr>
          <w:sz w:val="20"/>
          <w:szCs w:val="20"/>
          <w:color w:val="auto"/>
        </w:rPr>
      </w:pPr>
      <w:r>
        <w:rPr>
          <w:rFonts w:ascii="Arial" w:cs="Arial" w:eastAsia="Arial" w:hAnsi="Arial"/>
          <w:sz w:val="18"/>
          <w:szCs w:val="18"/>
          <w:color w:val="auto"/>
        </w:rPr>
        <w:t xml:space="preserve">Both the principal hereof and interest hereon are payable at the principal office of the Company in Grand Rapids, Michigan in coin or currency of the United States of America which at the time of payment shall be legal tender for the payment of public and private debts. If any amount of principal, premium, if any, or interest on or in respect of this Note becomes due and payable on any date which is not a Business Day, such amount shall be payable on the immediately succeeding Business Day without including the additional days elapsed in the computation of the interest payable on such next succeeding Business Day;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if the maturity date of this Note is a date other than a Business Day, the payment otherwise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due on such maturity date shall be made on the next succeeding Business Day and shall include the additional days elapsed in the computation of interest payable on such next succeeding Business Day. </w:t>
      </w:r>
      <w:r>
        <w:rPr>
          <w:rFonts w:ascii="Arial" w:cs="Arial" w:eastAsia="Arial" w:hAnsi="Arial"/>
          <w:sz w:val="18"/>
          <w:szCs w:val="18"/>
          <w:i w:val="1"/>
          <w:iCs w:val="1"/>
          <w:color w:val="auto"/>
        </w:rPr>
        <w:t xml:space="preserve">“Business Day” </w:t>
      </w:r>
      <w:r>
        <w:rPr>
          <w:rFonts w:ascii="Arial" w:cs="Arial" w:eastAsia="Arial" w:hAnsi="Arial"/>
          <w:sz w:val="18"/>
          <w:szCs w:val="18"/>
          <w:color w:val="auto"/>
        </w:rPr>
        <w:t>means any day other than a Saturday, Sunday or other day on which banks in either Grand</w:t>
      </w:r>
      <w:r>
        <w:rPr>
          <w:rFonts w:ascii="Arial" w:cs="Arial" w:eastAsia="Arial" w:hAnsi="Arial"/>
          <w:sz w:val="18"/>
          <w:szCs w:val="18"/>
          <w:i w:val="1"/>
          <w:iCs w:val="1"/>
          <w:color w:val="auto"/>
        </w:rPr>
        <w:t xml:space="preserve"> </w:t>
      </w:r>
      <w:r>
        <w:rPr>
          <w:rFonts w:ascii="Arial" w:cs="Arial" w:eastAsia="Arial" w:hAnsi="Arial"/>
          <w:sz w:val="18"/>
          <w:szCs w:val="18"/>
          <w:color w:val="auto"/>
        </w:rPr>
        <w:t>Rapids, Michigan or New York, New York are required by law to close or are customarily closed.</w:t>
      </w:r>
    </w:p>
    <w:p>
      <w:pPr>
        <w:spacing w:after="0" w:line="108" w:lineRule="exact"/>
        <w:rPr>
          <w:sz w:val="20"/>
          <w:szCs w:val="20"/>
          <w:color w:val="auto"/>
        </w:rPr>
      </w:pPr>
    </w:p>
    <w:p>
      <w:pPr>
        <w:jc w:val="both"/>
        <w:ind w:left="200" w:right="219" w:firstLine="648"/>
        <w:spacing w:after="0" w:line="290" w:lineRule="auto"/>
        <w:rPr>
          <w:sz w:val="20"/>
          <w:szCs w:val="20"/>
          <w:color w:val="auto"/>
        </w:rPr>
      </w:pPr>
      <w:r>
        <w:rPr>
          <w:rFonts w:ascii="Arial" w:cs="Arial" w:eastAsia="Arial" w:hAnsi="Arial"/>
          <w:sz w:val="18"/>
          <w:szCs w:val="18"/>
          <w:color w:val="auto"/>
        </w:rPr>
        <w:t xml:space="preserve">This Note is one of the 3.15% Series G Senior Notes, due August 10, 2035 of the Company in the original aggregate principal amount of $50,000,000, which, together with the 3.89% Series A Senior Notes, due December 17, 2022, of the Company in the original aggregate principal amount of $35,000,000, the 3.98% Series B Senior Notes, due December 17, 2024, of the Company in the original aggregate principal amount of $40,000,000, and any other Shelf Notes (as defined in the Note Agreement hereafter mentioned), are issued or to be issued under and pursuant to the terms and provisions of the Note Purchase and Private Shelf Agreement, dated as of December 17, 2012 (the </w:t>
      </w:r>
      <w:r>
        <w:rPr>
          <w:rFonts w:ascii="Arial" w:cs="Arial" w:eastAsia="Arial" w:hAnsi="Arial"/>
          <w:sz w:val="18"/>
          <w:szCs w:val="18"/>
          <w:i w:val="1"/>
          <w:iCs w:val="1"/>
          <w:color w:val="auto"/>
        </w:rPr>
        <w:t>“Note Agreement”</w:t>
      </w:r>
      <w:r>
        <w:rPr>
          <w:rFonts w:ascii="Arial" w:cs="Arial" w:eastAsia="Arial" w:hAnsi="Arial"/>
          <w:sz w:val="18"/>
          <w:szCs w:val="18"/>
          <w:color w:val="auto"/>
        </w:rPr>
        <w:t>), between the Company, on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459105</wp:posOffset>
            </wp:positionV>
            <wp:extent cx="5452110"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61" w:name="page62"/>
    <w:bookmarkEnd w:id="61"/>
    <w:p>
      <w:pPr>
        <w:jc w:val="right"/>
        <w:ind w:right="219"/>
        <w:spacing w:after="0"/>
        <w:rPr>
          <w:sz w:val="20"/>
          <w:szCs w:val="20"/>
          <w:color w:val="auto"/>
        </w:rPr>
      </w:pPr>
      <w:r>
        <w:rPr>
          <w:rFonts w:ascii="Arial" w:cs="Arial" w:eastAsia="Arial" w:hAnsi="Arial"/>
          <w:sz w:val="20"/>
          <w:szCs w:val="20"/>
          <w:b w:val="1"/>
          <w:bCs w:val="1"/>
          <w:color w:val="auto"/>
        </w:rPr>
        <w:t>Exhibit 10(k)</w:t>
      </w:r>
    </w:p>
    <w:p>
      <w:pPr>
        <w:spacing w:after="0" w:line="200" w:lineRule="exact"/>
        <w:rPr>
          <w:sz w:val="20"/>
          <w:szCs w:val="20"/>
          <w:color w:val="auto"/>
        </w:rPr>
      </w:pPr>
    </w:p>
    <w:p>
      <w:pPr>
        <w:spacing w:after="0" w:line="238" w:lineRule="exact"/>
        <w:rPr>
          <w:sz w:val="20"/>
          <w:szCs w:val="20"/>
          <w:color w:val="auto"/>
        </w:rPr>
      </w:pPr>
    </w:p>
    <w:p>
      <w:pPr>
        <w:jc w:val="both"/>
        <w:ind w:left="200" w:right="219"/>
        <w:spacing w:after="0" w:line="258" w:lineRule="auto"/>
        <w:rPr>
          <w:sz w:val="20"/>
          <w:szCs w:val="20"/>
          <w:color w:val="auto"/>
        </w:rPr>
      </w:pPr>
      <w:r>
        <w:rPr>
          <w:rFonts w:ascii="Arial" w:cs="Arial" w:eastAsia="Arial" w:hAnsi="Arial"/>
          <w:sz w:val="20"/>
          <w:szCs w:val="20"/>
          <w:color w:val="auto"/>
        </w:rPr>
        <w:t>one hand, and PGIM, Inc. , the Initial Purchasers named in the Purchaser Schedule attached thereto and each Prudential Affiliate which becomes party thereto, on the other hand, and the holder hereof is entitled equally and ratably with the holders of all other Notes outstanding under the Note Agreement to all the benefits provided for thereby or referred to therein. Reference is hereby made to the Note Agreement for a statement of such rights and benefits.</w:t>
      </w:r>
    </w:p>
    <w:p>
      <w:pPr>
        <w:spacing w:after="0" w:line="127" w:lineRule="exact"/>
        <w:rPr>
          <w:sz w:val="20"/>
          <w:szCs w:val="20"/>
          <w:color w:val="auto"/>
        </w:rPr>
      </w:pPr>
    </w:p>
    <w:p>
      <w:pPr>
        <w:jc w:val="both"/>
        <w:ind w:left="200" w:right="239" w:firstLine="648"/>
        <w:spacing w:after="0" w:line="284" w:lineRule="auto"/>
        <w:rPr>
          <w:sz w:val="20"/>
          <w:szCs w:val="20"/>
          <w:color w:val="auto"/>
        </w:rPr>
      </w:pPr>
      <w:r>
        <w:rPr>
          <w:rFonts w:ascii="Arial" w:cs="Arial" w:eastAsia="Arial" w:hAnsi="Arial"/>
          <w:sz w:val="19"/>
          <w:szCs w:val="19"/>
          <w:color w:val="auto"/>
        </w:rPr>
        <w:t>This Note and the other Notes outstanding under the Note Agreement may be declared due prior to their expressed maturity dates and certain prepayments are required to be made thereon, all in the events, on the terms and in the manner and amounts as provided in the Note Agreements.</w:t>
      </w:r>
    </w:p>
    <w:p>
      <w:pPr>
        <w:spacing w:after="0" w:line="88" w:lineRule="exact"/>
        <w:rPr>
          <w:sz w:val="20"/>
          <w:szCs w:val="20"/>
          <w:color w:val="auto"/>
        </w:rPr>
      </w:pPr>
    </w:p>
    <w:p>
      <w:pPr>
        <w:jc w:val="both"/>
        <w:ind w:left="200" w:right="219" w:firstLine="648"/>
        <w:spacing w:after="0" w:line="264" w:lineRule="auto"/>
        <w:rPr>
          <w:sz w:val="20"/>
          <w:szCs w:val="20"/>
          <w:color w:val="auto"/>
        </w:rPr>
      </w:pPr>
      <w:r>
        <w:rPr>
          <w:rFonts w:ascii="Arial" w:cs="Arial" w:eastAsia="Arial" w:hAnsi="Arial"/>
          <w:sz w:val="20"/>
          <w:szCs w:val="20"/>
          <w:color w:val="auto"/>
        </w:rPr>
        <w:t>The Notes are not subject to prepayment or redemption at the option of the Company prior to their expressed maturity dates except on the terms and conditions and in the amounts and with the premium, if any, set forth in the Note Agreement.</w:t>
      </w:r>
    </w:p>
    <w:p>
      <w:pPr>
        <w:spacing w:after="0" w:line="119" w:lineRule="exact"/>
        <w:rPr>
          <w:sz w:val="20"/>
          <w:szCs w:val="20"/>
          <w:color w:val="auto"/>
        </w:rPr>
      </w:pPr>
    </w:p>
    <w:p>
      <w:pPr>
        <w:jc w:val="both"/>
        <w:ind w:left="200" w:right="219" w:firstLine="648"/>
        <w:spacing w:after="0" w:line="258" w:lineRule="auto"/>
        <w:rPr>
          <w:sz w:val="20"/>
          <w:szCs w:val="20"/>
          <w:color w:val="auto"/>
        </w:rPr>
      </w:pPr>
      <w:r>
        <w:rPr>
          <w:rFonts w:ascii="Arial" w:cs="Arial" w:eastAsia="Arial" w:hAnsi="Arial"/>
          <w:sz w:val="20"/>
          <w:szCs w:val="20"/>
          <w:color w:val="auto"/>
        </w:rPr>
        <w:t>This Note is registered on the books of the Company and is transferable only by surrender thereof at the principal office of the Company duly endorsed or accompanied by a written instrument of transfer duly executed by the registered holder of this Note or its attorney duly authorized in writing. Payment of or on account of principal, premium, if any, and interest on this Note shall be made only to or upon the order in writing of the registered holder.</w:t>
      </w:r>
    </w:p>
    <w:p>
      <w:pPr>
        <w:spacing w:after="0" w:line="127" w:lineRule="exact"/>
        <w:rPr>
          <w:sz w:val="20"/>
          <w:szCs w:val="20"/>
          <w:color w:val="auto"/>
        </w:rPr>
      </w:pPr>
    </w:p>
    <w:p>
      <w:pPr>
        <w:ind w:left="38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follows</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833120</wp:posOffset>
            </wp:positionV>
            <wp:extent cx="5452110"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62" w:name="page63"/>
    <w:bookmarkEnd w:id="62"/>
    <w:p>
      <w:pPr>
        <w:jc w:val="right"/>
        <w:ind w:right="219"/>
        <w:spacing w:after="0"/>
        <w:rPr>
          <w:sz w:val="20"/>
          <w:szCs w:val="20"/>
          <w:color w:val="auto"/>
        </w:rPr>
      </w:pPr>
      <w:r>
        <w:rPr>
          <w:rFonts w:ascii="Arial" w:cs="Arial" w:eastAsia="Arial" w:hAnsi="Arial"/>
          <w:sz w:val="20"/>
          <w:szCs w:val="20"/>
          <w:b w:val="1"/>
          <w:bCs w:val="1"/>
          <w:color w:val="auto"/>
        </w:rPr>
        <w:t>Exhibit 10(k)</w:t>
      </w:r>
    </w:p>
    <w:p>
      <w:pPr>
        <w:spacing w:after="0" w:line="200" w:lineRule="exact"/>
        <w:rPr>
          <w:sz w:val="20"/>
          <w:szCs w:val="20"/>
          <w:color w:val="auto"/>
        </w:rPr>
      </w:pPr>
    </w:p>
    <w:p>
      <w:pPr>
        <w:spacing w:after="0" w:line="232" w:lineRule="exact"/>
        <w:rPr>
          <w:sz w:val="20"/>
          <w:szCs w:val="20"/>
          <w:color w:val="auto"/>
        </w:rPr>
      </w:pPr>
    </w:p>
    <w:p>
      <w:pPr>
        <w:jc w:val="both"/>
        <w:ind w:left="200" w:right="219" w:firstLine="648"/>
        <w:spacing w:after="0" w:line="262" w:lineRule="auto"/>
        <w:rPr>
          <w:sz w:val="20"/>
          <w:szCs w:val="20"/>
          <w:color w:val="auto"/>
        </w:rPr>
      </w:pPr>
      <w:r>
        <w:rPr>
          <w:rFonts w:ascii="Arial" w:cs="Arial" w:eastAsia="Arial" w:hAnsi="Arial"/>
          <w:sz w:val="20"/>
          <w:szCs w:val="20"/>
          <w:b w:val="1"/>
          <w:bCs w:val="1"/>
          <w:color w:val="auto"/>
        </w:rPr>
        <w:t>This Note and said Note Agreement are governed by and construed in accordance with the law of Illinois (excluding any conflicts of law rules which would otherwise cause this note to be construed or enforced in accordance with the laws of any other jurisdiction), including all matters of construction, validity and performance.</w:t>
      </w:r>
    </w:p>
    <w:p>
      <w:pPr>
        <w:spacing w:after="0" w:line="122"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UFP I</w:t>
      </w:r>
      <w:r>
        <w:rPr>
          <w:rFonts w:ascii="Arial" w:cs="Arial" w:eastAsia="Arial" w:hAnsi="Arial"/>
          <w:sz w:val="13"/>
          <w:szCs w:val="13"/>
          <w:color w:val="auto"/>
        </w:rPr>
        <w:t>NDUSTRIES</w:t>
      </w:r>
      <w:r>
        <w:rPr>
          <w:rFonts w:ascii="Arial" w:cs="Arial" w:eastAsia="Arial" w:hAnsi="Arial"/>
          <w:sz w:val="20"/>
          <w:szCs w:val="20"/>
          <w:color w:val="auto"/>
        </w:rPr>
        <w:t>, I</w:t>
      </w:r>
      <w:r>
        <w:rPr>
          <w:rFonts w:ascii="Arial" w:cs="Arial" w:eastAsia="Arial" w:hAnsi="Arial"/>
          <w:sz w:val="13"/>
          <w:szCs w:val="13"/>
          <w:color w:val="auto"/>
        </w:rPr>
        <w:t>NC</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100"/>
        <w:spacing w:after="0"/>
        <w:rPr>
          <w:sz w:val="20"/>
          <w:szCs w:val="20"/>
          <w:color w:val="auto"/>
        </w:rPr>
      </w:pPr>
      <w:r>
        <w:rPr>
          <w:rFonts w:ascii="Arial" w:cs="Arial" w:eastAsia="Arial" w:hAnsi="Arial"/>
          <w:sz w:val="20"/>
          <w:szCs w:val="20"/>
          <w:color w:val="auto"/>
          <w:highlight w:val="white"/>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-31750</wp:posOffset>
            </wp:positionV>
            <wp:extent cx="278574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5">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jc w:val="center"/>
        <w:ind w:right="-14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1009015</wp:posOffset>
            </wp:positionV>
            <wp:extent cx="5452110"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6">
                      <a:extLst>
                        <a:ext uri="{28A0092B-C50C-407E-A947-70E740481C1C}"/>
                      </a:extLst>
                    </a:blip>
                    <a:srcRect/>
                    <a:stretch>
                      <a:fillRect/>
                    </a:stretch>
                  </pic:blipFill>
                  <pic:spPr bwMode="auto">
                    <a:xfrm>
                      <a:off x="0" y="0"/>
                      <a:ext cx="5452110" cy="25400"/>
                    </a:xfrm>
                    <a:prstGeom prst="rect">
                      <a:avLst/>
                    </a:prstGeom>
                    <a:noFill/>
                  </pic:spPr>
                </pic:pic>
              </a:graphicData>
            </a:graphic>
          </wp:anchor>
        </w:drawing>
        <w:drawing>
          <wp:anchor simplePos="0" relativeHeight="251657728" behindDoc="1" locked="0" layoutInCell="0" allowOverlap="1">
            <wp:simplePos x="0" y="0"/>
            <wp:positionH relativeFrom="column">
              <wp:posOffset>2602865</wp:posOffset>
            </wp:positionH>
            <wp:positionV relativeFrom="paragraph">
              <wp:posOffset>-139065</wp:posOffset>
            </wp:positionV>
            <wp:extent cx="2983230" cy="1454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7">
                      <a:extLst>
                        <a:ext uri="{28A0092B-C50C-407E-A947-70E740481C1C}"/>
                      </a:extLst>
                    </a:blip>
                    <a:srcRect/>
                    <a:stretch>
                      <a:fillRect/>
                    </a:stretch>
                  </pic:blipFill>
                  <pic:spPr bwMode="auto">
                    <a:xfrm>
                      <a:off x="0" y="0"/>
                      <a:ext cx="2983230" cy="145415"/>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63" w:name="page64"/>
    <w:bookmarkEnd w:id="63"/>
    <w:p>
      <w:pPr>
        <w:jc w:val="right"/>
        <w:ind w:right="219"/>
        <w:spacing w:after="0"/>
        <w:rPr>
          <w:sz w:val="20"/>
          <w:szCs w:val="20"/>
          <w:color w:val="auto"/>
        </w:rPr>
      </w:pPr>
      <w:r>
        <w:rPr>
          <w:rFonts w:ascii="Arial" w:cs="Arial" w:eastAsia="Arial" w:hAnsi="Arial"/>
          <w:sz w:val="20"/>
          <w:szCs w:val="20"/>
          <w:b w:val="1"/>
          <w:bCs w:val="1"/>
          <w:color w:val="auto"/>
        </w:rPr>
        <w:t>Exhibit 10(k)</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UFP INDUSTRIES, INC.</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3.15% SENIOR SERIES G NOTE DUE AUGUST 10, 2035</w:t>
      </w:r>
    </w:p>
    <w:p>
      <w:pPr>
        <w:spacing w:after="0" w:line="200" w:lineRule="exact"/>
        <w:rPr>
          <w:sz w:val="20"/>
          <w:szCs w:val="20"/>
          <w:color w:val="auto"/>
        </w:rPr>
      </w:pPr>
    </w:p>
    <w:p>
      <w:pPr>
        <w:spacing w:after="0" w:line="251" w:lineRule="exact"/>
        <w:rPr>
          <w:sz w:val="20"/>
          <w:szCs w:val="20"/>
          <w:color w:val="auto"/>
        </w:rPr>
      </w:pPr>
    </w:p>
    <w:p>
      <w:pPr>
        <w:ind w:left="200"/>
        <w:spacing w:after="0"/>
        <w:rPr>
          <w:sz w:val="20"/>
          <w:szCs w:val="20"/>
          <w:color w:val="auto"/>
        </w:rPr>
      </w:pPr>
      <w:r>
        <w:rPr>
          <w:rFonts w:ascii="Arial" w:cs="Arial" w:eastAsia="Arial" w:hAnsi="Arial"/>
          <w:sz w:val="20"/>
          <w:szCs w:val="20"/>
          <w:color w:val="auto"/>
        </w:rPr>
        <w:t>No. G-6</w:t>
      </w:r>
    </w:p>
    <w:p>
      <w:pPr>
        <w:spacing w:after="0" w:line="20" w:lineRule="exact"/>
        <w:rPr>
          <w:sz w:val="20"/>
          <w:szCs w:val="20"/>
          <w:color w:val="auto"/>
        </w:rPr>
      </w:pPr>
    </w:p>
    <w:p>
      <w:pPr>
        <w:ind w:left="200"/>
        <w:spacing w:after="0"/>
        <w:rPr>
          <w:sz w:val="20"/>
          <w:szCs w:val="20"/>
          <w:color w:val="auto"/>
        </w:rPr>
      </w:pPr>
      <w:r>
        <w:rPr>
          <w:rFonts w:ascii="Arial" w:cs="Arial" w:eastAsia="Arial" w:hAnsi="Arial"/>
          <w:sz w:val="20"/>
          <w:szCs w:val="20"/>
          <w:color w:val="auto"/>
        </w:rPr>
        <w:t>ORIGINAL PRINCIPAL AMOUNT: $1,850,000</w:t>
      </w:r>
    </w:p>
    <w:p>
      <w:pPr>
        <w:spacing w:after="0" w:line="13" w:lineRule="exact"/>
        <w:rPr>
          <w:sz w:val="20"/>
          <w:szCs w:val="20"/>
          <w:color w:val="auto"/>
        </w:rPr>
      </w:pPr>
    </w:p>
    <w:p>
      <w:pPr>
        <w:ind w:left="200"/>
        <w:spacing w:after="0"/>
        <w:rPr>
          <w:sz w:val="20"/>
          <w:szCs w:val="20"/>
          <w:color w:val="auto"/>
        </w:rPr>
      </w:pPr>
      <w:r>
        <w:rPr>
          <w:rFonts w:ascii="Arial" w:cs="Arial" w:eastAsia="Arial" w:hAnsi="Arial"/>
          <w:sz w:val="20"/>
          <w:szCs w:val="20"/>
          <w:color w:val="auto"/>
        </w:rPr>
        <w:t>ORIGINAL ISSUE DATE: August 10, 2020</w:t>
      </w:r>
    </w:p>
    <w:p>
      <w:pPr>
        <w:spacing w:after="0" w:line="13" w:lineRule="exact"/>
        <w:rPr>
          <w:sz w:val="20"/>
          <w:szCs w:val="20"/>
          <w:color w:val="auto"/>
        </w:rPr>
      </w:pPr>
    </w:p>
    <w:p>
      <w:pPr>
        <w:ind w:left="200"/>
        <w:spacing w:after="0"/>
        <w:rPr>
          <w:sz w:val="20"/>
          <w:szCs w:val="20"/>
          <w:color w:val="auto"/>
        </w:rPr>
      </w:pPr>
      <w:r>
        <w:rPr>
          <w:rFonts w:ascii="Arial" w:cs="Arial" w:eastAsia="Arial" w:hAnsi="Arial"/>
          <w:sz w:val="20"/>
          <w:szCs w:val="20"/>
          <w:color w:val="auto"/>
        </w:rPr>
        <w:t>INTEREST RATE: 3.15%</w:t>
      </w:r>
    </w:p>
    <w:p>
      <w:pPr>
        <w:spacing w:after="0" w:line="13" w:lineRule="exact"/>
        <w:rPr>
          <w:sz w:val="20"/>
          <w:szCs w:val="20"/>
          <w:color w:val="auto"/>
        </w:rPr>
      </w:pPr>
    </w:p>
    <w:p>
      <w:pPr>
        <w:ind w:left="200" w:right="579"/>
        <w:spacing w:after="0" w:line="253" w:lineRule="auto"/>
        <w:rPr>
          <w:sz w:val="20"/>
          <w:szCs w:val="20"/>
          <w:color w:val="auto"/>
        </w:rPr>
      </w:pPr>
      <w:r>
        <w:rPr>
          <w:rFonts w:ascii="Arial" w:cs="Arial" w:eastAsia="Arial" w:hAnsi="Arial"/>
          <w:sz w:val="20"/>
          <w:szCs w:val="20"/>
          <w:color w:val="auto"/>
        </w:rPr>
        <w:t>INTEREST PAYMENT DATES: Semi-annually, in arrears, on February 10 and August 10 of each year, commencing on February 10, 2021</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20"/>
          <w:szCs w:val="20"/>
          <w:color w:val="auto"/>
        </w:rPr>
        <w:t>FINAL MATURITY DATE: August 10, 2035</w:t>
      </w:r>
    </w:p>
    <w:p>
      <w:pPr>
        <w:spacing w:after="0" w:line="13" w:lineRule="exact"/>
        <w:rPr>
          <w:sz w:val="20"/>
          <w:szCs w:val="20"/>
          <w:color w:val="auto"/>
        </w:rPr>
      </w:pPr>
    </w:p>
    <w:p>
      <w:pPr>
        <w:ind w:left="200" w:right="1979"/>
        <w:spacing w:after="0" w:line="267" w:lineRule="auto"/>
        <w:rPr>
          <w:sz w:val="20"/>
          <w:szCs w:val="20"/>
          <w:color w:val="auto"/>
        </w:rPr>
      </w:pPr>
      <w:r>
        <w:rPr>
          <w:rFonts w:ascii="Arial" w:cs="Arial" w:eastAsia="Arial" w:hAnsi="Arial"/>
          <w:sz w:val="20"/>
          <w:szCs w:val="20"/>
          <w:color w:val="auto"/>
        </w:rPr>
        <w:t>PRINCIPAL PREPAYMENT DATES AND AMOUNTS: None, bullet due at maturity PPN 913543 E*1</w:t>
      </w:r>
    </w:p>
    <w:p>
      <w:pPr>
        <w:spacing w:after="0" w:line="115" w:lineRule="exact"/>
        <w:rPr>
          <w:sz w:val="20"/>
          <w:szCs w:val="20"/>
          <w:color w:val="auto"/>
        </w:rPr>
      </w:pPr>
    </w:p>
    <w:p>
      <w:pPr>
        <w:jc w:val="both"/>
        <w:ind w:left="200" w:right="219" w:firstLine="648"/>
        <w:spacing w:after="0" w:line="270" w:lineRule="auto"/>
        <w:rPr>
          <w:sz w:val="20"/>
          <w:szCs w:val="20"/>
          <w:color w:val="auto"/>
        </w:rPr>
      </w:pPr>
      <w:r>
        <w:rPr>
          <w:rFonts w:ascii="Arial" w:cs="Arial" w:eastAsia="Arial" w:hAnsi="Arial"/>
          <w:sz w:val="19"/>
          <w:szCs w:val="19"/>
          <w:color w:val="auto"/>
        </w:rPr>
        <w:t xml:space="preserve">FOR VALUE RECEIVED, the undersigned, UFP Industries, Inc. (f/k/a Universal Forest Products, Inc.), a Michigan corporation (herein called the “Company”), hereby promises to pay to </w:t>
      </w:r>
      <w:r>
        <w:rPr>
          <w:rFonts w:ascii="Arial" w:cs="Arial" w:eastAsia="Arial" w:hAnsi="Arial"/>
          <w:sz w:val="19"/>
          <w:szCs w:val="19"/>
          <w:b w:val="1"/>
          <w:bCs w:val="1"/>
          <w:color w:val="auto"/>
        </w:rPr>
        <w:t>T</w:t>
      </w:r>
      <w:r>
        <w:rPr>
          <w:rFonts w:ascii="Arial" w:cs="Arial" w:eastAsia="Arial" w:hAnsi="Arial"/>
          <w:sz w:val="12"/>
          <w:szCs w:val="12"/>
          <w:b w:val="1"/>
          <w:bCs w:val="1"/>
          <w:color w:val="auto"/>
        </w:rPr>
        <w:t>HE</w:t>
      </w:r>
    </w:p>
    <w:p>
      <w:pPr>
        <w:spacing w:after="0" w:line="2"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P</w:t>
      </w:r>
      <w:r>
        <w:rPr>
          <w:rFonts w:ascii="Arial" w:cs="Arial" w:eastAsia="Arial" w:hAnsi="Arial"/>
          <w:sz w:val="13"/>
          <w:szCs w:val="13"/>
          <w:b w:val="1"/>
          <w:bCs w:val="1"/>
          <w:color w:val="auto"/>
        </w:rPr>
        <w:t>RUDENTIAL</w:t>
      </w:r>
      <w:r>
        <w:rPr>
          <w:rFonts w:ascii="Arial" w:cs="Arial" w:eastAsia="Arial" w:hAnsi="Arial"/>
          <w:sz w:val="20"/>
          <w:szCs w:val="20"/>
          <w:b w:val="1"/>
          <w:bCs w:val="1"/>
          <w:color w:val="auto"/>
        </w:rPr>
        <w:t xml:space="preserve"> I</w:t>
      </w:r>
      <w:r>
        <w:rPr>
          <w:rFonts w:ascii="Arial" w:cs="Arial" w:eastAsia="Arial" w:hAnsi="Arial"/>
          <w:sz w:val="13"/>
          <w:szCs w:val="13"/>
          <w:b w:val="1"/>
          <w:bCs w:val="1"/>
          <w:color w:val="auto"/>
        </w:rPr>
        <w:t>NSURANCE</w:t>
      </w:r>
      <w:r>
        <w:rPr>
          <w:rFonts w:ascii="Arial" w:cs="Arial" w:eastAsia="Arial" w:hAnsi="Arial"/>
          <w:sz w:val="20"/>
          <w:szCs w:val="20"/>
          <w:b w:val="1"/>
          <w:bCs w:val="1"/>
          <w:color w:val="auto"/>
        </w:rPr>
        <w:t xml:space="preserve"> C</w:t>
      </w:r>
      <w:r>
        <w:rPr>
          <w:rFonts w:ascii="Arial" w:cs="Arial" w:eastAsia="Arial" w:hAnsi="Arial"/>
          <w:sz w:val="13"/>
          <w:szCs w:val="13"/>
          <w:b w:val="1"/>
          <w:bCs w:val="1"/>
          <w:color w:val="auto"/>
        </w:rPr>
        <w:t>OMPANY OF</w:t>
      </w:r>
      <w:r>
        <w:rPr>
          <w:rFonts w:ascii="Arial" w:cs="Arial" w:eastAsia="Arial" w:hAnsi="Arial"/>
          <w:sz w:val="20"/>
          <w:szCs w:val="20"/>
          <w:b w:val="1"/>
          <w:bCs w:val="1"/>
          <w:color w:val="auto"/>
        </w:rPr>
        <w:t xml:space="preserve"> A</w:t>
      </w:r>
      <w:r>
        <w:rPr>
          <w:rFonts w:ascii="Arial" w:cs="Arial" w:eastAsia="Arial" w:hAnsi="Arial"/>
          <w:sz w:val="13"/>
          <w:szCs w:val="13"/>
          <w:b w:val="1"/>
          <w:bCs w:val="1"/>
          <w:color w:val="auto"/>
        </w:rPr>
        <w:t>MERICA</w:t>
      </w:r>
      <w:r>
        <w:rPr>
          <w:rFonts w:ascii="Arial" w:cs="Arial" w:eastAsia="Arial" w:hAnsi="Arial"/>
          <w:sz w:val="20"/>
          <w:szCs w:val="20"/>
          <w:color w:val="auto"/>
        </w:rPr>
        <w:t>, or registered assigns, the principal sum of</w:t>
      </w:r>
      <w:r>
        <w:rPr>
          <w:rFonts w:ascii="Arial" w:cs="Arial" w:eastAsia="Arial" w:hAnsi="Arial"/>
          <w:sz w:val="20"/>
          <w:szCs w:val="20"/>
          <w:b w:val="1"/>
          <w:bCs w:val="1"/>
          <w:color w:val="auto"/>
        </w:rPr>
        <w:t xml:space="preserve"> O</w:t>
      </w:r>
      <w:r>
        <w:rPr>
          <w:rFonts w:ascii="Arial" w:cs="Arial" w:eastAsia="Arial" w:hAnsi="Arial"/>
          <w:sz w:val="13"/>
          <w:szCs w:val="13"/>
          <w:b w:val="1"/>
          <w:bCs w:val="1"/>
          <w:color w:val="auto"/>
        </w:rPr>
        <w:t>NE</w:t>
      </w:r>
      <w:r>
        <w:rPr>
          <w:rFonts w:ascii="Arial" w:cs="Arial" w:eastAsia="Arial" w:hAnsi="Arial"/>
          <w:sz w:val="20"/>
          <w:szCs w:val="20"/>
          <w:b w:val="1"/>
          <w:bCs w:val="1"/>
          <w:color w:val="auto"/>
        </w:rPr>
        <w:t xml:space="preserve"> M</w:t>
      </w:r>
      <w:r>
        <w:rPr>
          <w:rFonts w:ascii="Arial" w:cs="Arial" w:eastAsia="Arial" w:hAnsi="Arial"/>
          <w:sz w:val="13"/>
          <w:szCs w:val="13"/>
          <w:b w:val="1"/>
          <w:bCs w:val="1"/>
          <w:color w:val="auto"/>
        </w:rPr>
        <w:t>ILLION</w:t>
      </w:r>
    </w:p>
    <w:p>
      <w:pPr>
        <w:spacing w:after="0" w:line="13" w:lineRule="exact"/>
        <w:rPr>
          <w:sz w:val="20"/>
          <w:szCs w:val="20"/>
          <w:color w:val="auto"/>
        </w:rPr>
      </w:pPr>
    </w:p>
    <w:p>
      <w:pPr>
        <w:jc w:val="both"/>
        <w:ind w:left="200" w:right="219"/>
        <w:spacing w:after="0" w:line="269" w:lineRule="auto"/>
        <w:rPr>
          <w:sz w:val="20"/>
          <w:szCs w:val="20"/>
          <w:color w:val="auto"/>
        </w:rPr>
      </w:pPr>
      <w:r>
        <w:rPr>
          <w:rFonts w:ascii="Arial" w:cs="Arial" w:eastAsia="Arial" w:hAnsi="Arial"/>
          <w:sz w:val="19"/>
          <w:szCs w:val="19"/>
          <w:b w:val="1"/>
          <w:bCs w:val="1"/>
          <w:color w:val="auto"/>
        </w:rPr>
        <w:t>E</w:t>
      </w:r>
      <w:r>
        <w:rPr>
          <w:rFonts w:ascii="Arial" w:cs="Arial" w:eastAsia="Arial" w:hAnsi="Arial"/>
          <w:sz w:val="12"/>
          <w:szCs w:val="12"/>
          <w:b w:val="1"/>
          <w:bCs w:val="1"/>
          <w:color w:val="auto"/>
        </w:rPr>
        <w:t>IGHT</w:t>
      </w:r>
      <w:r>
        <w:rPr>
          <w:rFonts w:ascii="Arial" w:cs="Arial" w:eastAsia="Arial" w:hAnsi="Arial"/>
          <w:sz w:val="19"/>
          <w:szCs w:val="19"/>
          <w:b w:val="1"/>
          <w:bCs w:val="1"/>
          <w:color w:val="auto"/>
        </w:rPr>
        <w:t xml:space="preserve"> H</w:t>
      </w:r>
      <w:r>
        <w:rPr>
          <w:rFonts w:ascii="Arial" w:cs="Arial" w:eastAsia="Arial" w:hAnsi="Arial"/>
          <w:sz w:val="12"/>
          <w:szCs w:val="12"/>
          <w:b w:val="1"/>
          <w:bCs w:val="1"/>
          <w:color w:val="auto"/>
        </w:rPr>
        <w:t>UNDRED</w:t>
      </w:r>
      <w:r>
        <w:rPr>
          <w:rFonts w:ascii="Arial" w:cs="Arial" w:eastAsia="Arial" w:hAnsi="Arial"/>
          <w:sz w:val="19"/>
          <w:szCs w:val="19"/>
          <w:b w:val="1"/>
          <w:bCs w:val="1"/>
          <w:color w:val="auto"/>
        </w:rPr>
        <w:t xml:space="preserve"> F</w:t>
      </w:r>
      <w:r>
        <w:rPr>
          <w:rFonts w:ascii="Arial" w:cs="Arial" w:eastAsia="Arial" w:hAnsi="Arial"/>
          <w:sz w:val="12"/>
          <w:szCs w:val="12"/>
          <w:b w:val="1"/>
          <w:bCs w:val="1"/>
          <w:color w:val="auto"/>
        </w:rPr>
        <w:t>IFTY</w:t>
      </w:r>
      <w:r>
        <w:rPr>
          <w:rFonts w:ascii="Arial" w:cs="Arial" w:eastAsia="Arial" w:hAnsi="Arial"/>
          <w:sz w:val="19"/>
          <w:szCs w:val="19"/>
          <w:b w:val="1"/>
          <w:bCs w:val="1"/>
          <w:color w:val="auto"/>
        </w:rPr>
        <w:t xml:space="preserve"> T</w:t>
      </w:r>
      <w:r>
        <w:rPr>
          <w:rFonts w:ascii="Arial" w:cs="Arial" w:eastAsia="Arial" w:hAnsi="Arial"/>
          <w:sz w:val="12"/>
          <w:szCs w:val="12"/>
          <w:b w:val="1"/>
          <w:bCs w:val="1"/>
          <w:color w:val="auto"/>
        </w:rPr>
        <w:t>HOUSAND</w:t>
      </w:r>
      <w:r>
        <w:rPr>
          <w:rFonts w:ascii="Arial" w:cs="Arial" w:eastAsia="Arial" w:hAnsi="Arial"/>
          <w:sz w:val="19"/>
          <w:szCs w:val="19"/>
          <w:b w:val="1"/>
          <w:bCs w:val="1"/>
          <w:color w:val="auto"/>
        </w:rPr>
        <w:t xml:space="preserve"> D</w:t>
      </w:r>
      <w:r>
        <w:rPr>
          <w:rFonts w:ascii="Arial" w:cs="Arial" w:eastAsia="Arial" w:hAnsi="Arial"/>
          <w:sz w:val="12"/>
          <w:szCs w:val="12"/>
          <w:b w:val="1"/>
          <w:bCs w:val="1"/>
          <w:color w:val="auto"/>
        </w:rPr>
        <w:t>OLLARS</w:t>
      </w:r>
      <w:r>
        <w:rPr>
          <w:rFonts w:ascii="Arial" w:cs="Arial" w:eastAsia="Arial" w:hAnsi="Arial"/>
          <w:sz w:val="19"/>
          <w:szCs w:val="19"/>
          <w:b w:val="1"/>
          <w:bCs w:val="1"/>
          <w:color w:val="auto"/>
        </w:rPr>
        <w:t xml:space="preserve"> </w:t>
      </w:r>
      <w:r>
        <w:rPr>
          <w:rFonts w:ascii="Arial" w:cs="Arial" w:eastAsia="Arial" w:hAnsi="Arial"/>
          <w:sz w:val="19"/>
          <w:szCs w:val="19"/>
          <w:color w:val="auto"/>
        </w:rPr>
        <w:t>on the Final Maturity Date specified above, with interest</w:t>
      </w:r>
      <w:r>
        <w:rPr>
          <w:rFonts w:ascii="Arial" w:cs="Arial" w:eastAsia="Arial" w:hAnsi="Arial"/>
          <w:sz w:val="19"/>
          <w:szCs w:val="19"/>
          <w:b w:val="1"/>
          <w:bCs w:val="1"/>
          <w:color w:val="auto"/>
        </w:rPr>
        <w:t xml:space="preserve"> </w:t>
      </w:r>
      <w:r>
        <w:rPr>
          <w:rFonts w:ascii="Arial" w:cs="Arial" w:eastAsia="Arial" w:hAnsi="Arial"/>
          <w:sz w:val="19"/>
          <w:szCs w:val="19"/>
          <w:color w:val="auto"/>
        </w:rPr>
        <w:t>(computed on the basis of a 360-day year—30-day month) on the unpaid balance thereof at the Interest Rate per annum specified above from the date hereof, payable on each Interest Payment Date specified above and on the Final Maturity Date specified above, commencing with the Interest Payment Date next succeeding the date hereof. The Company agrees to pay interest on overdue principal (including any overdue optional prepayment of principal) and premium, if any, and (to the extent legally enforceable) on any overdue installment of interest, at the Overdue Rate after the due date, whether by acceleration or otherwise, until paid. “Overdue Rate” shall mean the lesser of (a) the maximum interest rate permitted by law, and (b) the greater of (ii) the Interest Rate specified above plus 2.00% per annum or (b) the rate of interest publicly announced by JPMorgan Chase Bank, National Association, from time to time in New York City as its Prime Rate plus 2.00% per annum.</w:t>
      </w:r>
    </w:p>
    <w:p>
      <w:pPr>
        <w:spacing w:after="0" w:line="107" w:lineRule="exact"/>
        <w:rPr>
          <w:sz w:val="20"/>
          <w:szCs w:val="20"/>
          <w:color w:val="auto"/>
        </w:rPr>
      </w:pPr>
    </w:p>
    <w:p>
      <w:pPr>
        <w:jc w:val="both"/>
        <w:ind w:left="200" w:right="219" w:firstLine="648"/>
        <w:spacing w:after="0" w:line="286" w:lineRule="auto"/>
        <w:rPr>
          <w:sz w:val="20"/>
          <w:szCs w:val="20"/>
          <w:color w:val="auto"/>
        </w:rPr>
      </w:pPr>
      <w:r>
        <w:rPr>
          <w:rFonts w:ascii="Arial" w:cs="Arial" w:eastAsia="Arial" w:hAnsi="Arial"/>
          <w:sz w:val="18"/>
          <w:szCs w:val="18"/>
          <w:color w:val="auto"/>
        </w:rPr>
        <w:t xml:space="preserve">Both the principal hereof and interest hereon are payable at the principal office of the Company in Grand Rapids, Michigan in coin or currency of the United States of America which at the time of payment shall be legal tender for the payment of public and private debts. If any amount of principal, premium, if any, or interest on or in respect of this Note becomes due and payable on any date which is not a Business Day, such amount shall be payable on the immediately succeeding Business Day without including the additional days elapsed in the computation of the interest payable on such next succeeding Business Day;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if the maturity date of this Note is a date other than a Business Day, the payment otherwise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due on such maturity date shall be made on the next succeeding Business Day and shall include the additional days elapsed in the computation of interest payable on such next succeeding Business Day. </w:t>
      </w:r>
      <w:r>
        <w:rPr>
          <w:rFonts w:ascii="Arial" w:cs="Arial" w:eastAsia="Arial" w:hAnsi="Arial"/>
          <w:sz w:val="18"/>
          <w:szCs w:val="18"/>
          <w:i w:val="1"/>
          <w:iCs w:val="1"/>
          <w:color w:val="auto"/>
        </w:rPr>
        <w:t xml:space="preserve">“Business Day” </w:t>
      </w:r>
      <w:r>
        <w:rPr>
          <w:rFonts w:ascii="Arial" w:cs="Arial" w:eastAsia="Arial" w:hAnsi="Arial"/>
          <w:sz w:val="18"/>
          <w:szCs w:val="18"/>
          <w:color w:val="auto"/>
        </w:rPr>
        <w:t>means any day other than a Saturday, Sunday or other day on which banks in either Grand</w:t>
      </w:r>
      <w:r>
        <w:rPr>
          <w:rFonts w:ascii="Arial" w:cs="Arial" w:eastAsia="Arial" w:hAnsi="Arial"/>
          <w:sz w:val="18"/>
          <w:szCs w:val="18"/>
          <w:i w:val="1"/>
          <w:iCs w:val="1"/>
          <w:color w:val="auto"/>
        </w:rPr>
        <w:t xml:space="preserve"> </w:t>
      </w:r>
      <w:r>
        <w:rPr>
          <w:rFonts w:ascii="Arial" w:cs="Arial" w:eastAsia="Arial" w:hAnsi="Arial"/>
          <w:sz w:val="18"/>
          <w:szCs w:val="18"/>
          <w:color w:val="auto"/>
        </w:rPr>
        <w:t>Rapids, Michigan or New York, New York are required by law to close or are customarily closed.</w:t>
      </w:r>
    </w:p>
    <w:p>
      <w:pPr>
        <w:spacing w:after="0" w:line="108" w:lineRule="exact"/>
        <w:rPr>
          <w:sz w:val="20"/>
          <w:szCs w:val="20"/>
          <w:color w:val="auto"/>
        </w:rPr>
      </w:pPr>
    </w:p>
    <w:p>
      <w:pPr>
        <w:jc w:val="both"/>
        <w:ind w:left="200" w:right="219" w:firstLine="648"/>
        <w:spacing w:after="0" w:line="291" w:lineRule="auto"/>
        <w:rPr>
          <w:sz w:val="20"/>
          <w:szCs w:val="20"/>
          <w:color w:val="auto"/>
        </w:rPr>
      </w:pPr>
      <w:r>
        <w:rPr>
          <w:rFonts w:ascii="Arial" w:cs="Arial" w:eastAsia="Arial" w:hAnsi="Arial"/>
          <w:sz w:val="18"/>
          <w:szCs w:val="18"/>
          <w:color w:val="auto"/>
        </w:rPr>
        <w:t>This Note is one of the 3.15% Series G Senior Notes, due August 10, 2035 of the Company in the original aggregate principal amount of $50,000,000, which, together with the 3.89% Series A Senior Notes, due December 17, 2022, of the Company in the original aggregate principal amount of $35,000,000, the 3.98% Series B Senior Notes, due December 17, 2024, of the Company in the original aggregate principal amount of $40,000,000, and any other Shelf Notes (as defined in the Note Agreement hereafter mentioned), are issued or to be issued under and pursuant to the terms and provisions of the Note Purchase and Private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460375</wp:posOffset>
            </wp:positionV>
            <wp:extent cx="5452110"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64" w:name="page65"/>
    <w:bookmarkEnd w:id="64"/>
    <w:p>
      <w:pPr>
        <w:jc w:val="right"/>
        <w:ind w:right="219"/>
        <w:spacing w:after="0"/>
        <w:rPr>
          <w:sz w:val="20"/>
          <w:szCs w:val="20"/>
          <w:color w:val="auto"/>
        </w:rPr>
      </w:pPr>
      <w:r>
        <w:rPr>
          <w:rFonts w:ascii="Arial" w:cs="Arial" w:eastAsia="Arial" w:hAnsi="Arial"/>
          <w:sz w:val="20"/>
          <w:szCs w:val="20"/>
          <w:b w:val="1"/>
          <w:bCs w:val="1"/>
          <w:color w:val="auto"/>
        </w:rPr>
        <w:t>Exhibit 10(k)</w:t>
      </w:r>
    </w:p>
    <w:p>
      <w:pPr>
        <w:spacing w:after="0" w:line="200" w:lineRule="exact"/>
        <w:rPr>
          <w:sz w:val="20"/>
          <w:szCs w:val="20"/>
          <w:color w:val="auto"/>
        </w:rPr>
      </w:pPr>
    </w:p>
    <w:p>
      <w:pPr>
        <w:spacing w:after="0" w:line="238" w:lineRule="exact"/>
        <w:rPr>
          <w:sz w:val="20"/>
          <w:szCs w:val="20"/>
          <w:color w:val="auto"/>
        </w:rPr>
      </w:pPr>
    </w:p>
    <w:p>
      <w:pPr>
        <w:jc w:val="both"/>
        <w:ind w:left="200" w:right="219"/>
        <w:spacing w:after="0" w:line="273" w:lineRule="auto"/>
        <w:rPr>
          <w:sz w:val="20"/>
          <w:szCs w:val="20"/>
          <w:color w:val="auto"/>
        </w:rPr>
      </w:pPr>
      <w:r>
        <w:rPr>
          <w:rFonts w:ascii="Arial" w:cs="Arial" w:eastAsia="Arial" w:hAnsi="Arial"/>
          <w:sz w:val="19"/>
          <w:szCs w:val="19"/>
          <w:color w:val="auto"/>
        </w:rPr>
        <w:t xml:space="preserve">Shelf Agreement, dated as of December 17, 2012 (the </w:t>
      </w:r>
      <w:r>
        <w:rPr>
          <w:rFonts w:ascii="Arial" w:cs="Arial" w:eastAsia="Arial" w:hAnsi="Arial"/>
          <w:sz w:val="19"/>
          <w:szCs w:val="19"/>
          <w:i w:val="1"/>
          <w:iCs w:val="1"/>
          <w:color w:val="auto"/>
        </w:rPr>
        <w:t>“Note Agreement”</w:t>
      </w:r>
      <w:r>
        <w:rPr>
          <w:rFonts w:ascii="Arial" w:cs="Arial" w:eastAsia="Arial" w:hAnsi="Arial"/>
          <w:sz w:val="19"/>
          <w:szCs w:val="19"/>
          <w:color w:val="auto"/>
        </w:rPr>
        <w:t>), between the Company, on the one hand, and PGIM, Inc. , the Initial Purchasers named in the Purchaser Schedule attached thereto and each Prudential Affiliate which becomes party thereto, on the other hand, and the holder hereof is entitled equally and ratably with the holders of all other Notes outstanding under the Note Agreement to all the benefits provided for thereby or referred to therein. Reference is hereby made to the Note Agreement for a statement of such rights and benefits.</w:t>
      </w:r>
    </w:p>
    <w:p>
      <w:pPr>
        <w:spacing w:after="0" w:line="115" w:lineRule="exact"/>
        <w:rPr>
          <w:sz w:val="20"/>
          <w:szCs w:val="20"/>
          <w:color w:val="auto"/>
        </w:rPr>
      </w:pPr>
    </w:p>
    <w:p>
      <w:pPr>
        <w:jc w:val="both"/>
        <w:ind w:left="200" w:right="239" w:firstLine="648"/>
        <w:spacing w:after="0" w:line="284" w:lineRule="auto"/>
        <w:rPr>
          <w:sz w:val="20"/>
          <w:szCs w:val="20"/>
          <w:color w:val="auto"/>
        </w:rPr>
      </w:pPr>
      <w:r>
        <w:rPr>
          <w:rFonts w:ascii="Arial" w:cs="Arial" w:eastAsia="Arial" w:hAnsi="Arial"/>
          <w:sz w:val="19"/>
          <w:szCs w:val="19"/>
          <w:color w:val="auto"/>
        </w:rPr>
        <w:t>This Note and the other Notes outstanding under the Note Agreement may be declared due prior to their expressed maturity dates and certain prepayments are required to be made thereon, all in the events, on the terms and in the manner and amounts as provided in the Note Agreements.</w:t>
      </w:r>
    </w:p>
    <w:p>
      <w:pPr>
        <w:spacing w:after="0" w:line="88" w:lineRule="exact"/>
        <w:rPr>
          <w:sz w:val="20"/>
          <w:szCs w:val="20"/>
          <w:color w:val="auto"/>
        </w:rPr>
      </w:pPr>
    </w:p>
    <w:p>
      <w:pPr>
        <w:jc w:val="both"/>
        <w:ind w:left="200" w:right="219" w:firstLine="648"/>
        <w:spacing w:after="0" w:line="264" w:lineRule="auto"/>
        <w:rPr>
          <w:sz w:val="20"/>
          <w:szCs w:val="20"/>
          <w:color w:val="auto"/>
        </w:rPr>
      </w:pPr>
      <w:r>
        <w:rPr>
          <w:rFonts w:ascii="Arial" w:cs="Arial" w:eastAsia="Arial" w:hAnsi="Arial"/>
          <w:sz w:val="20"/>
          <w:szCs w:val="20"/>
          <w:color w:val="auto"/>
        </w:rPr>
        <w:t>The Notes are not subject to prepayment or redemption at the option of the Company prior to their expressed maturity dates except on the terms and conditions and in the amounts and with the premium, if any, set forth in the Note Agreement.</w:t>
      </w:r>
    </w:p>
    <w:p>
      <w:pPr>
        <w:spacing w:after="0" w:line="119" w:lineRule="exact"/>
        <w:rPr>
          <w:sz w:val="20"/>
          <w:szCs w:val="20"/>
          <w:color w:val="auto"/>
        </w:rPr>
      </w:pPr>
    </w:p>
    <w:p>
      <w:pPr>
        <w:jc w:val="both"/>
        <w:ind w:left="200" w:right="219" w:firstLine="648"/>
        <w:spacing w:after="0" w:line="258" w:lineRule="auto"/>
        <w:rPr>
          <w:sz w:val="20"/>
          <w:szCs w:val="20"/>
          <w:color w:val="auto"/>
        </w:rPr>
      </w:pPr>
      <w:r>
        <w:rPr>
          <w:rFonts w:ascii="Arial" w:cs="Arial" w:eastAsia="Arial" w:hAnsi="Arial"/>
          <w:sz w:val="20"/>
          <w:szCs w:val="20"/>
          <w:color w:val="auto"/>
        </w:rPr>
        <w:t>This Note is registered on the books of the Company and is transferable only by surrender thereof at the principal office of the Company duly endorsed or accompanied by a written instrument of transfer duly executed by the registered holder of this Note or its attorney duly authorized in writing. Payment of or on account of principal, premium, if any, and interest on this Note shall be made only to or upon the order in writing of the registered holder.</w:t>
      </w:r>
    </w:p>
    <w:p>
      <w:pPr>
        <w:spacing w:after="0" w:line="127" w:lineRule="exact"/>
        <w:rPr>
          <w:sz w:val="20"/>
          <w:szCs w:val="20"/>
          <w:color w:val="auto"/>
        </w:rPr>
      </w:pPr>
    </w:p>
    <w:p>
      <w:pPr>
        <w:ind w:left="38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follows</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1082040</wp:posOffset>
            </wp:positionV>
            <wp:extent cx="545211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9">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65" w:name="page66"/>
    <w:bookmarkEnd w:id="65"/>
    <w:p>
      <w:pPr>
        <w:jc w:val="right"/>
        <w:ind w:right="219"/>
        <w:spacing w:after="0"/>
        <w:rPr>
          <w:sz w:val="20"/>
          <w:szCs w:val="20"/>
          <w:color w:val="auto"/>
        </w:rPr>
      </w:pPr>
      <w:r>
        <w:rPr>
          <w:rFonts w:ascii="Arial" w:cs="Arial" w:eastAsia="Arial" w:hAnsi="Arial"/>
          <w:sz w:val="20"/>
          <w:szCs w:val="20"/>
          <w:b w:val="1"/>
          <w:bCs w:val="1"/>
          <w:color w:val="auto"/>
        </w:rPr>
        <w:t>Exhibit 10(k)</w:t>
      </w:r>
    </w:p>
    <w:p>
      <w:pPr>
        <w:spacing w:after="0" w:line="200" w:lineRule="exact"/>
        <w:rPr>
          <w:sz w:val="20"/>
          <w:szCs w:val="20"/>
          <w:color w:val="auto"/>
        </w:rPr>
      </w:pPr>
    </w:p>
    <w:p>
      <w:pPr>
        <w:spacing w:after="0" w:line="232" w:lineRule="exact"/>
        <w:rPr>
          <w:sz w:val="20"/>
          <w:szCs w:val="20"/>
          <w:color w:val="auto"/>
        </w:rPr>
      </w:pPr>
    </w:p>
    <w:p>
      <w:pPr>
        <w:jc w:val="both"/>
        <w:ind w:left="200" w:right="219" w:firstLine="648"/>
        <w:spacing w:after="0" w:line="262" w:lineRule="auto"/>
        <w:rPr>
          <w:sz w:val="20"/>
          <w:szCs w:val="20"/>
          <w:color w:val="auto"/>
        </w:rPr>
      </w:pPr>
      <w:r>
        <w:rPr>
          <w:rFonts w:ascii="Arial" w:cs="Arial" w:eastAsia="Arial" w:hAnsi="Arial"/>
          <w:sz w:val="20"/>
          <w:szCs w:val="20"/>
          <w:b w:val="1"/>
          <w:bCs w:val="1"/>
          <w:color w:val="auto"/>
        </w:rPr>
        <w:t>This Note and said Note Agreement are governed by and construed in accordance with the law of Illinois (excluding any conflicts of law rules which would otherwise cause this note to be construed or enforced in accordance with the laws of any other jurisdiction), including all matters of construction, validity and performance.</w:t>
      </w:r>
    </w:p>
    <w:p>
      <w:pPr>
        <w:spacing w:after="0" w:line="122"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UFP I</w:t>
      </w:r>
      <w:r>
        <w:rPr>
          <w:rFonts w:ascii="Arial" w:cs="Arial" w:eastAsia="Arial" w:hAnsi="Arial"/>
          <w:sz w:val="13"/>
          <w:szCs w:val="13"/>
          <w:color w:val="auto"/>
        </w:rPr>
        <w:t>NDUSTRIES</w:t>
      </w:r>
      <w:r>
        <w:rPr>
          <w:rFonts w:ascii="Arial" w:cs="Arial" w:eastAsia="Arial" w:hAnsi="Arial"/>
          <w:sz w:val="20"/>
          <w:szCs w:val="20"/>
          <w:color w:val="auto"/>
        </w:rPr>
        <w:t>, I</w:t>
      </w:r>
      <w:r>
        <w:rPr>
          <w:rFonts w:ascii="Arial" w:cs="Arial" w:eastAsia="Arial" w:hAnsi="Arial"/>
          <w:sz w:val="13"/>
          <w:szCs w:val="13"/>
          <w:color w:val="auto"/>
        </w:rPr>
        <w:t>NC</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100"/>
        <w:spacing w:after="0"/>
        <w:rPr>
          <w:sz w:val="20"/>
          <w:szCs w:val="20"/>
          <w:color w:val="auto"/>
        </w:rPr>
      </w:pPr>
      <w:r>
        <w:rPr>
          <w:rFonts w:ascii="Arial" w:cs="Arial" w:eastAsia="Arial" w:hAnsi="Arial"/>
          <w:sz w:val="20"/>
          <w:szCs w:val="20"/>
          <w:color w:val="auto"/>
          <w:highlight w:val="white"/>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-31750</wp:posOffset>
            </wp:positionV>
            <wp:extent cx="278574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0">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jc w:val="center"/>
        <w:ind w:right="-14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1009015</wp:posOffset>
            </wp:positionV>
            <wp:extent cx="5452110"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1">
                      <a:extLst>
                        <a:ext uri="{28A0092B-C50C-407E-A947-70E740481C1C}"/>
                      </a:extLst>
                    </a:blip>
                    <a:srcRect/>
                    <a:stretch>
                      <a:fillRect/>
                    </a:stretch>
                  </pic:blipFill>
                  <pic:spPr bwMode="auto">
                    <a:xfrm>
                      <a:off x="0" y="0"/>
                      <a:ext cx="5452110" cy="25400"/>
                    </a:xfrm>
                    <a:prstGeom prst="rect">
                      <a:avLst/>
                    </a:prstGeom>
                    <a:noFill/>
                  </pic:spPr>
                </pic:pic>
              </a:graphicData>
            </a:graphic>
          </wp:anchor>
        </w:drawing>
        <w:drawing>
          <wp:anchor simplePos="0" relativeHeight="251657728" behindDoc="1" locked="0" layoutInCell="0" allowOverlap="1">
            <wp:simplePos x="0" y="0"/>
            <wp:positionH relativeFrom="column">
              <wp:posOffset>2602865</wp:posOffset>
            </wp:positionH>
            <wp:positionV relativeFrom="paragraph">
              <wp:posOffset>-139065</wp:posOffset>
            </wp:positionV>
            <wp:extent cx="2983230" cy="1454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2">
                      <a:extLst>
                        <a:ext uri="{28A0092B-C50C-407E-A947-70E740481C1C}"/>
                      </a:extLst>
                    </a:blip>
                    <a:srcRect/>
                    <a:stretch>
                      <a:fillRect/>
                    </a:stretch>
                  </pic:blipFill>
                  <pic:spPr bwMode="auto">
                    <a:xfrm>
                      <a:off x="0" y="0"/>
                      <a:ext cx="2983230" cy="145415"/>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66" w:name="page67"/>
    <w:bookmarkEnd w:id="66"/>
    <w:p>
      <w:pPr>
        <w:jc w:val="right"/>
        <w:ind w:right="219"/>
        <w:spacing w:after="0"/>
        <w:rPr>
          <w:sz w:val="20"/>
          <w:szCs w:val="20"/>
          <w:color w:val="auto"/>
        </w:rPr>
      </w:pPr>
      <w:r>
        <w:rPr>
          <w:rFonts w:ascii="Arial" w:cs="Arial" w:eastAsia="Arial" w:hAnsi="Arial"/>
          <w:sz w:val="20"/>
          <w:szCs w:val="20"/>
          <w:b w:val="1"/>
          <w:bCs w:val="1"/>
          <w:color w:val="auto"/>
        </w:rPr>
        <w:t>Exhibit 10(k)</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UFP INDUSTRIES, INC.</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3.15% SENIOR SERIES G NOTE DUE AUGUST 10, 2035</w:t>
      </w:r>
    </w:p>
    <w:p>
      <w:pPr>
        <w:spacing w:after="0" w:line="200" w:lineRule="exact"/>
        <w:rPr>
          <w:sz w:val="20"/>
          <w:szCs w:val="20"/>
          <w:color w:val="auto"/>
        </w:rPr>
      </w:pPr>
    </w:p>
    <w:p>
      <w:pPr>
        <w:spacing w:after="0" w:line="251" w:lineRule="exact"/>
        <w:rPr>
          <w:sz w:val="20"/>
          <w:szCs w:val="20"/>
          <w:color w:val="auto"/>
        </w:rPr>
      </w:pPr>
    </w:p>
    <w:p>
      <w:pPr>
        <w:ind w:left="200"/>
        <w:spacing w:after="0"/>
        <w:rPr>
          <w:sz w:val="20"/>
          <w:szCs w:val="20"/>
          <w:color w:val="auto"/>
        </w:rPr>
      </w:pPr>
      <w:r>
        <w:rPr>
          <w:rFonts w:ascii="Arial" w:cs="Arial" w:eastAsia="Arial" w:hAnsi="Arial"/>
          <w:sz w:val="20"/>
          <w:szCs w:val="20"/>
          <w:color w:val="auto"/>
        </w:rPr>
        <w:t>No. G-7</w:t>
      </w:r>
    </w:p>
    <w:p>
      <w:pPr>
        <w:spacing w:after="0" w:line="20" w:lineRule="exact"/>
        <w:rPr>
          <w:sz w:val="20"/>
          <w:szCs w:val="20"/>
          <w:color w:val="auto"/>
        </w:rPr>
      </w:pPr>
    </w:p>
    <w:p>
      <w:pPr>
        <w:ind w:left="200"/>
        <w:spacing w:after="0"/>
        <w:rPr>
          <w:sz w:val="20"/>
          <w:szCs w:val="20"/>
          <w:color w:val="auto"/>
        </w:rPr>
      </w:pPr>
      <w:r>
        <w:rPr>
          <w:rFonts w:ascii="Arial" w:cs="Arial" w:eastAsia="Arial" w:hAnsi="Arial"/>
          <w:sz w:val="20"/>
          <w:szCs w:val="20"/>
          <w:color w:val="auto"/>
        </w:rPr>
        <w:t>ORIGINAL PRINCIPAL AMOUNT: $23,860,000</w:t>
      </w:r>
    </w:p>
    <w:p>
      <w:pPr>
        <w:spacing w:after="0" w:line="13" w:lineRule="exact"/>
        <w:rPr>
          <w:sz w:val="20"/>
          <w:szCs w:val="20"/>
          <w:color w:val="auto"/>
        </w:rPr>
      </w:pPr>
    </w:p>
    <w:p>
      <w:pPr>
        <w:ind w:left="200"/>
        <w:spacing w:after="0"/>
        <w:rPr>
          <w:sz w:val="20"/>
          <w:szCs w:val="20"/>
          <w:color w:val="auto"/>
        </w:rPr>
      </w:pPr>
      <w:r>
        <w:rPr>
          <w:rFonts w:ascii="Arial" w:cs="Arial" w:eastAsia="Arial" w:hAnsi="Arial"/>
          <w:sz w:val="20"/>
          <w:szCs w:val="20"/>
          <w:color w:val="auto"/>
        </w:rPr>
        <w:t>ORIGINAL ISSUE DATE: August 10, 2020</w:t>
      </w:r>
    </w:p>
    <w:p>
      <w:pPr>
        <w:spacing w:after="0" w:line="13" w:lineRule="exact"/>
        <w:rPr>
          <w:sz w:val="20"/>
          <w:szCs w:val="20"/>
          <w:color w:val="auto"/>
        </w:rPr>
      </w:pPr>
    </w:p>
    <w:p>
      <w:pPr>
        <w:ind w:left="200"/>
        <w:spacing w:after="0"/>
        <w:rPr>
          <w:sz w:val="20"/>
          <w:szCs w:val="20"/>
          <w:color w:val="auto"/>
        </w:rPr>
      </w:pPr>
      <w:r>
        <w:rPr>
          <w:rFonts w:ascii="Arial" w:cs="Arial" w:eastAsia="Arial" w:hAnsi="Arial"/>
          <w:sz w:val="20"/>
          <w:szCs w:val="20"/>
          <w:color w:val="auto"/>
        </w:rPr>
        <w:t>INTEREST RATE: 3.15%</w:t>
      </w:r>
    </w:p>
    <w:p>
      <w:pPr>
        <w:spacing w:after="0" w:line="13" w:lineRule="exact"/>
        <w:rPr>
          <w:sz w:val="20"/>
          <w:szCs w:val="20"/>
          <w:color w:val="auto"/>
        </w:rPr>
      </w:pPr>
    </w:p>
    <w:p>
      <w:pPr>
        <w:ind w:left="200" w:right="579"/>
        <w:spacing w:after="0" w:line="253" w:lineRule="auto"/>
        <w:rPr>
          <w:sz w:val="20"/>
          <w:szCs w:val="20"/>
          <w:color w:val="auto"/>
        </w:rPr>
      </w:pPr>
      <w:r>
        <w:rPr>
          <w:rFonts w:ascii="Arial" w:cs="Arial" w:eastAsia="Arial" w:hAnsi="Arial"/>
          <w:sz w:val="20"/>
          <w:szCs w:val="20"/>
          <w:color w:val="auto"/>
        </w:rPr>
        <w:t>INTEREST PAYMENT DATES: Semi-annually, in arrears, on February 10 and August 10 of each year, commencing on February 10, 2021</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20"/>
          <w:szCs w:val="20"/>
          <w:color w:val="auto"/>
        </w:rPr>
        <w:t>FINAL MATURITY DATE: August 10, 2035</w:t>
      </w:r>
    </w:p>
    <w:p>
      <w:pPr>
        <w:spacing w:after="0" w:line="13" w:lineRule="exact"/>
        <w:rPr>
          <w:sz w:val="20"/>
          <w:szCs w:val="20"/>
          <w:color w:val="auto"/>
        </w:rPr>
      </w:pPr>
    </w:p>
    <w:p>
      <w:pPr>
        <w:ind w:left="200" w:right="1979"/>
        <w:spacing w:after="0" w:line="267" w:lineRule="auto"/>
        <w:rPr>
          <w:sz w:val="20"/>
          <w:szCs w:val="20"/>
          <w:color w:val="auto"/>
        </w:rPr>
      </w:pPr>
      <w:r>
        <w:rPr>
          <w:rFonts w:ascii="Arial" w:cs="Arial" w:eastAsia="Arial" w:hAnsi="Arial"/>
          <w:sz w:val="20"/>
          <w:szCs w:val="20"/>
          <w:color w:val="auto"/>
        </w:rPr>
        <w:t>PRINCIPAL PREPAYMENT DATES AND AMOUNTS: None, bullet due at maturity PPN 913543 E*1</w:t>
      </w:r>
    </w:p>
    <w:p>
      <w:pPr>
        <w:spacing w:after="0" w:line="115" w:lineRule="exact"/>
        <w:rPr>
          <w:sz w:val="20"/>
          <w:szCs w:val="20"/>
          <w:color w:val="auto"/>
        </w:rPr>
      </w:pPr>
    </w:p>
    <w:p>
      <w:pPr>
        <w:jc w:val="both"/>
        <w:ind w:left="200" w:right="219" w:firstLine="648"/>
        <w:spacing w:after="0" w:line="270" w:lineRule="auto"/>
        <w:rPr>
          <w:sz w:val="20"/>
          <w:szCs w:val="20"/>
          <w:color w:val="auto"/>
        </w:rPr>
      </w:pPr>
      <w:r>
        <w:rPr>
          <w:rFonts w:ascii="Arial" w:cs="Arial" w:eastAsia="Arial" w:hAnsi="Arial"/>
          <w:sz w:val="19"/>
          <w:szCs w:val="19"/>
          <w:color w:val="auto"/>
        </w:rPr>
        <w:t xml:space="preserve">FOR VALUE RECEIVED, the undersigned, UFP Industries, Inc. (f/k/a Universal Forest Products, Inc.), a Michigan corporation (herein called the “Company”), hereby promises to pay to </w:t>
      </w:r>
      <w:r>
        <w:rPr>
          <w:rFonts w:ascii="Arial" w:cs="Arial" w:eastAsia="Arial" w:hAnsi="Arial"/>
          <w:sz w:val="19"/>
          <w:szCs w:val="19"/>
          <w:b w:val="1"/>
          <w:bCs w:val="1"/>
          <w:color w:val="auto"/>
        </w:rPr>
        <w:t>T</w:t>
      </w:r>
      <w:r>
        <w:rPr>
          <w:rFonts w:ascii="Arial" w:cs="Arial" w:eastAsia="Arial" w:hAnsi="Arial"/>
          <w:sz w:val="12"/>
          <w:szCs w:val="12"/>
          <w:b w:val="1"/>
          <w:bCs w:val="1"/>
          <w:color w:val="auto"/>
        </w:rPr>
        <w:t>HE</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P</w:t>
      </w:r>
      <w:r>
        <w:rPr>
          <w:rFonts w:ascii="Arial" w:cs="Arial" w:eastAsia="Arial" w:hAnsi="Arial"/>
          <w:sz w:val="13"/>
          <w:szCs w:val="13"/>
          <w:b w:val="1"/>
          <w:bCs w:val="1"/>
          <w:color w:val="auto"/>
        </w:rPr>
        <w:t>RUDENTIAL</w:t>
      </w:r>
      <w:r>
        <w:rPr>
          <w:rFonts w:ascii="Arial" w:cs="Arial" w:eastAsia="Arial" w:hAnsi="Arial"/>
          <w:sz w:val="20"/>
          <w:szCs w:val="20"/>
          <w:b w:val="1"/>
          <w:bCs w:val="1"/>
          <w:color w:val="auto"/>
        </w:rPr>
        <w:t xml:space="preserve"> I</w:t>
      </w:r>
      <w:r>
        <w:rPr>
          <w:rFonts w:ascii="Arial" w:cs="Arial" w:eastAsia="Arial" w:hAnsi="Arial"/>
          <w:sz w:val="13"/>
          <w:szCs w:val="13"/>
          <w:b w:val="1"/>
          <w:bCs w:val="1"/>
          <w:color w:val="auto"/>
        </w:rPr>
        <w:t>NSURANCE</w:t>
      </w:r>
      <w:r>
        <w:rPr>
          <w:rFonts w:ascii="Arial" w:cs="Arial" w:eastAsia="Arial" w:hAnsi="Arial"/>
          <w:sz w:val="20"/>
          <w:szCs w:val="20"/>
          <w:b w:val="1"/>
          <w:bCs w:val="1"/>
          <w:color w:val="auto"/>
        </w:rPr>
        <w:t xml:space="preserve"> C</w:t>
      </w:r>
      <w:r>
        <w:rPr>
          <w:rFonts w:ascii="Arial" w:cs="Arial" w:eastAsia="Arial" w:hAnsi="Arial"/>
          <w:sz w:val="13"/>
          <w:szCs w:val="13"/>
          <w:b w:val="1"/>
          <w:bCs w:val="1"/>
          <w:color w:val="auto"/>
        </w:rPr>
        <w:t>OMPANY OF</w:t>
      </w:r>
      <w:r>
        <w:rPr>
          <w:rFonts w:ascii="Arial" w:cs="Arial" w:eastAsia="Arial" w:hAnsi="Arial"/>
          <w:sz w:val="20"/>
          <w:szCs w:val="20"/>
          <w:b w:val="1"/>
          <w:bCs w:val="1"/>
          <w:color w:val="auto"/>
        </w:rPr>
        <w:t xml:space="preserve"> A</w:t>
      </w:r>
      <w:r>
        <w:rPr>
          <w:rFonts w:ascii="Arial" w:cs="Arial" w:eastAsia="Arial" w:hAnsi="Arial"/>
          <w:sz w:val="13"/>
          <w:szCs w:val="13"/>
          <w:b w:val="1"/>
          <w:bCs w:val="1"/>
          <w:color w:val="auto"/>
        </w:rPr>
        <w:t>MERICA</w:t>
      </w:r>
      <w:r>
        <w:rPr>
          <w:rFonts w:ascii="Arial" w:cs="Arial" w:eastAsia="Arial" w:hAnsi="Arial"/>
          <w:sz w:val="20"/>
          <w:szCs w:val="20"/>
          <w:color w:val="auto"/>
        </w:rPr>
        <w:t>, or registered assigns, the principal sum of</w:t>
      </w:r>
      <w:r>
        <w:rPr>
          <w:rFonts w:ascii="Arial" w:cs="Arial" w:eastAsia="Arial" w:hAnsi="Arial"/>
          <w:sz w:val="20"/>
          <w:szCs w:val="20"/>
          <w:b w:val="1"/>
          <w:bCs w:val="1"/>
          <w:color w:val="auto"/>
        </w:rPr>
        <w:t xml:space="preserve"> T</w:t>
      </w:r>
      <w:r>
        <w:rPr>
          <w:rFonts w:ascii="Arial" w:cs="Arial" w:eastAsia="Arial" w:hAnsi="Arial"/>
          <w:sz w:val="13"/>
          <w:szCs w:val="13"/>
          <w:b w:val="1"/>
          <w:bCs w:val="1"/>
          <w:color w:val="auto"/>
        </w:rPr>
        <w:t>WENTY</w:t>
      </w:r>
      <w:r>
        <w:rPr>
          <w:rFonts w:ascii="Arial" w:cs="Arial" w:eastAsia="Arial" w:hAnsi="Arial"/>
          <w:sz w:val="20"/>
          <w:szCs w:val="20"/>
          <w:b w:val="1"/>
          <w:bCs w:val="1"/>
          <w:color w:val="auto"/>
        </w:rPr>
        <w:t>-T</w:t>
      </w:r>
      <w:r>
        <w:rPr>
          <w:rFonts w:ascii="Arial" w:cs="Arial" w:eastAsia="Arial" w:hAnsi="Arial"/>
          <w:sz w:val="13"/>
          <w:szCs w:val="13"/>
          <w:b w:val="1"/>
          <w:bCs w:val="1"/>
          <w:color w:val="auto"/>
        </w:rPr>
        <w:t>HREE</w:t>
      </w:r>
    </w:p>
    <w:p>
      <w:pPr>
        <w:spacing w:after="0" w:line="13" w:lineRule="exact"/>
        <w:rPr>
          <w:sz w:val="20"/>
          <w:szCs w:val="20"/>
          <w:color w:val="auto"/>
        </w:rPr>
      </w:pPr>
    </w:p>
    <w:p>
      <w:pPr>
        <w:jc w:val="both"/>
        <w:ind w:left="200" w:right="219"/>
        <w:spacing w:after="0" w:line="269" w:lineRule="auto"/>
        <w:rPr>
          <w:sz w:val="20"/>
          <w:szCs w:val="20"/>
          <w:color w:val="auto"/>
        </w:rPr>
      </w:pPr>
      <w:r>
        <w:rPr>
          <w:rFonts w:ascii="Arial" w:cs="Arial" w:eastAsia="Arial" w:hAnsi="Arial"/>
          <w:sz w:val="19"/>
          <w:szCs w:val="19"/>
          <w:b w:val="1"/>
          <w:bCs w:val="1"/>
          <w:color w:val="auto"/>
        </w:rPr>
        <w:t>M</w:t>
      </w:r>
      <w:r>
        <w:rPr>
          <w:rFonts w:ascii="Arial" w:cs="Arial" w:eastAsia="Arial" w:hAnsi="Arial"/>
          <w:sz w:val="12"/>
          <w:szCs w:val="12"/>
          <w:b w:val="1"/>
          <w:bCs w:val="1"/>
          <w:color w:val="auto"/>
        </w:rPr>
        <w:t>ILLION</w:t>
      </w:r>
      <w:r>
        <w:rPr>
          <w:rFonts w:ascii="Arial" w:cs="Arial" w:eastAsia="Arial" w:hAnsi="Arial"/>
          <w:sz w:val="19"/>
          <w:szCs w:val="19"/>
          <w:b w:val="1"/>
          <w:bCs w:val="1"/>
          <w:color w:val="auto"/>
        </w:rPr>
        <w:t xml:space="preserve"> E</w:t>
      </w:r>
      <w:r>
        <w:rPr>
          <w:rFonts w:ascii="Arial" w:cs="Arial" w:eastAsia="Arial" w:hAnsi="Arial"/>
          <w:sz w:val="12"/>
          <w:szCs w:val="12"/>
          <w:b w:val="1"/>
          <w:bCs w:val="1"/>
          <w:color w:val="auto"/>
        </w:rPr>
        <w:t>IGHT</w:t>
      </w:r>
      <w:r>
        <w:rPr>
          <w:rFonts w:ascii="Arial" w:cs="Arial" w:eastAsia="Arial" w:hAnsi="Arial"/>
          <w:sz w:val="19"/>
          <w:szCs w:val="19"/>
          <w:b w:val="1"/>
          <w:bCs w:val="1"/>
          <w:color w:val="auto"/>
        </w:rPr>
        <w:t xml:space="preserve"> H</w:t>
      </w:r>
      <w:r>
        <w:rPr>
          <w:rFonts w:ascii="Arial" w:cs="Arial" w:eastAsia="Arial" w:hAnsi="Arial"/>
          <w:sz w:val="12"/>
          <w:szCs w:val="12"/>
          <w:b w:val="1"/>
          <w:bCs w:val="1"/>
          <w:color w:val="auto"/>
        </w:rPr>
        <w:t>UNDRED</w:t>
      </w:r>
      <w:r>
        <w:rPr>
          <w:rFonts w:ascii="Arial" w:cs="Arial" w:eastAsia="Arial" w:hAnsi="Arial"/>
          <w:sz w:val="19"/>
          <w:szCs w:val="19"/>
          <w:b w:val="1"/>
          <w:bCs w:val="1"/>
          <w:color w:val="auto"/>
        </w:rPr>
        <w:t xml:space="preserve"> S</w:t>
      </w:r>
      <w:r>
        <w:rPr>
          <w:rFonts w:ascii="Arial" w:cs="Arial" w:eastAsia="Arial" w:hAnsi="Arial"/>
          <w:sz w:val="12"/>
          <w:szCs w:val="12"/>
          <w:b w:val="1"/>
          <w:bCs w:val="1"/>
          <w:color w:val="auto"/>
        </w:rPr>
        <w:t>IXTY</w:t>
      </w:r>
      <w:r>
        <w:rPr>
          <w:rFonts w:ascii="Arial" w:cs="Arial" w:eastAsia="Arial" w:hAnsi="Arial"/>
          <w:sz w:val="19"/>
          <w:szCs w:val="19"/>
          <w:b w:val="1"/>
          <w:bCs w:val="1"/>
          <w:color w:val="auto"/>
        </w:rPr>
        <w:t xml:space="preserve"> T</w:t>
      </w:r>
      <w:r>
        <w:rPr>
          <w:rFonts w:ascii="Arial" w:cs="Arial" w:eastAsia="Arial" w:hAnsi="Arial"/>
          <w:sz w:val="12"/>
          <w:szCs w:val="12"/>
          <w:b w:val="1"/>
          <w:bCs w:val="1"/>
          <w:color w:val="auto"/>
        </w:rPr>
        <w:t>HOUSAND</w:t>
      </w:r>
      <w:r>
        <w:rPr>
          <w:rFonts w:ascii="Arial" w:cs="Arial" w:eastAsia="Arial" w:hAnsi="Arial"/>
          <w:sz w:val="19"/>
          <w:szCs w:val="19"/>
          <w:b w:val="1"/>
          <w:bCs w:val="1"/>
          <w:color w:val="auto"/>
        </w:rPr>
        <w:t xml:space="preserve"> D</w:t>
      </w:r>
      <w:r>
        <w:rPr>
          <w:rFonts w:ascii="Arial" w:cs="Arial" w:eastAsia="Arial" w:hAnsi="Arial"/>
          <w:sz w:val="12"/>
          <w:szCs w:val="12"/>
          <w:b w:val="1"/>
          <w:bCs w:val="1"/>
          <w:color w:val="auto"/>
        </w:rPr>
        <w:t>OLLARS</w:t>
      </w:r>
      <w:r>
        <w:rPr>
          <w:rFonts w:ascii="Arial" w:cs="Arial" w:eastAsia="Arial" w:hAnsi="Arial"/>
          <w:sz w:val="19"/>
          <w:szCs w:val="19"/>
          <w:b w:val="1"/>
          <w:bCs w:val="1"/>
          <w:color w:val="auto"/>
        </w:rPr>
        <w:t xml:space="preserve"> </w:t>
      </w:r>
      <w:r>
        <w:rPr>
          <w:rFonts w:ascii="Arial" w:cs="Arial" w:eastAsia="Arial" w:hAnsi="Arial"/>
          <w:sz w:val="19"/>
          <w:szCs w:val="19"/>
          <w:color w:val="auto"/>
        </w:rPr>
        <w:t>on the Final Maturity Date specified above, with</w:t>
      </w:r>
      <w:r>
        <w:rPr>
          <w:rFonts w:ascii="Arial" w:cs="Arial" w:eastAsia="Arial" w:hAnsi="Arial"/>
          <w:sz w:val="19"/>
          <w:szCs w:val="19"/>
          <w:b w:val="1"/>
          <w:bCs w:val="1"/>
          <w:color w:val="auto"/>
        </w:rPr>
        <w:t xml:space="preserve"> </w:t>
      </w:r>
      <w:r>
        <w:rPr>
          <w:rFonts w:ascii="Arial" w:cs="Arial" w:eastAsia="Arial" w:hAnsi="Arial"/>
          <w:sz w:val="19"/>
          <w:szCs w:val="19"/>
          <w:color w:val="auto"/>
        </w:rPr>
        <w:t>interest (computed on the basis of a 360-day year—30-day month) on the unpaid balance thereof at the Interest Rate per annum specified above from the date hereof, payable on each Interest Payment Date specified above and on the Final Maturity Date specified above, commencing with the Interest Payment Date next succeeding the date hereof. The Company agrees to pay interest on overdue principal (including any overdue optional prepayment of principal) and premium, if any, and (to the extent legally enforceable) on any overdue installment of interest, at the Overdue Rate after the due date, whether by acceleration or otherwise, until paid. “Overdue Rate” shall mean the lesser of (a) the maximum interest rate permitted by law, and (b) the greater of (ii) the Interest Rate specified above plus 2.00% per annum or (b) the rate of interest publicly announced by JPMorgan Chase Bank, National Association, from time to time in New York City as its Prime Rate plus 2.00% per annum.</w:t>
      </w:r>
    </w:p>
    <w:p>
      <w:pPr>
        <w:spacing w:after="0" w:line="107" w:lineRule="exact"/>
        <w:rPr>
          <w:sz w:val="20"/>
          <w:szCs w:val="20"/>
          <w:color w:val="auto"/>
        </w:rPr>
      </w:pPr>
    </w:p>
    <w:p>
      <w:pPr>
        <w:jc w:val="both"/>
        <w:ind w:left="200" w:right="219" w:firstLine="648"/>
        <w:spacing w:after="0" w:line="286" w:lineRule="auto"/>
        <w:rPr>
          <w:sz w:val="20"/>
          <w:szCs w:val="20"/>
          <w:color w:val="auto"/>
        </w:rPr>
      </w:pPr>
      <w:r>
        <w:rPr>
          <w:rFonts w:ascii="Arial" w:cs="Arial" w:eastAsia="Arial" w:hAnsi="Arial"/>
          <w:sz w:val="18"/>
          <w:szCs w:val="18"/>
          <w:color w:val="auto"/>
        </w:rPr>
        <w:t xml:space="preserve">Both the principal hereof and interest hereon are payable at the principal office of the Company in Grand Rapids, Michigan in coin or currency of the United States of America which at the time of payment shall be legal tender for the payment of public and private debts. If any amount of principal, premium, if any, or interest on or in respect of this Note becomes due and payable on any date which is not a Business Day, such amount shall be payable on the immediately succeeding Business Day without including the additional days elapsed in the computation of the interest payable on such next succeeding Business Day;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if the maturity date of this Note is a date other than a Business Day, the payment otherwise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due on such maturity date shall be made on the next succeeding Business Day and shall include the additional days elapsed in the computation of interest payable on such next succeeding Business Day. </w:t>
      </w:r>
      <w:r>
        <w:rPr>
          <w:rFonts w:ascii="Arial" w:cs="Arial" w:eastAsia="Arial" w:hAnsi="Arial"/>
          <w:sz w:val="18"/>
          <w:szCs w:val="18"/>
          <w:i w:val="1"/>
          <w:iCs w:val="1"/>
          <w:color w:val="auto"/>
        </w:rPr>
        <w:t xml:space="preserve">“Business Day” </w:t>
      </w:r>
      <w:r>
        <w:rPr>
          <w:rFonts w:ascii="Arial" w:cs="Arial" w:eastAsia="Arial" w:hAnsi="Arial"/>
          <w:sz w:val="18"/>
          <w:szCs w:val="18"/>
          <w:color w:val="auto"/>
        </w:rPr>
        <w:t>means any day other than a Saturday, Sunday or other day on which banks in either Grand</w:t>
      </w:r>
      <w:r>
        <w:rPr>
          <w:rFonts w:ascii="Arial" w:cs="Arial" w:eastAsia="Arial" w:hAnsi="Arial"/>
          <w:sz w:val="18"/>
          <w:szCs w:val="18"/>
          <w:i w:val="1"/>
          <w:iCs w:val="1"/>
          <w:color w:val="auto"/>
        </w:rPr>
        <w:t xml:space="preserve"> </w:t>
      </w:r>
      <w:r>
        <w:rPr>
          <w:rFonts w:ascii="Arial" w:cs="Arial" w:eastAsia="Arial" w:hAnsi="Arial"/>
          <w:sz w:val="18"/>
          <w:szCs w:val="18"/>
          <w:color w:val="auto"/>
        </w:rPr>
        <w:t>Rapids, Michigan or New York, New York are required by law to close or are customarily closed.</w:t>
      </w:r>
    </w:p>
    <w:p>
      <w:pPr>
        <w:spacing w:after="0" w:line="108" w:lineRule="exact"/>
        <w:rPr>
          <w:sz w:val="20"/>
          <w:szCs w:val="20"/>
          <w:color w:val="auto"/>
        </w:rPr>
      </w:pPr>
    </w:p>
    <w:p>
      <w:pPr>
        <w:jc w:val="both"/>
        <w:ind w:left="200" w:right="219" w:firstLine="648"/>
        <w:spacing w:after="0" w:line="291" w:lineRule="auto"/>
        <w:rPr>
          <w:sz w:val="20"/>
          <w:szCs w:val="20"/>
          <w:color w:val="auto"/>
        </w:rPr>
      </w:pPr>
      <w:r>
        <w:rPr>
          <w:rFonts w:ascii="Arial" w:cs="Arial" w:eastAsia="Arial" w:hAnsi="Arial"/>
          <w:sz w:val="18"/>
          <w:szCs w:val="18"/>
          <w:color w:val="auto"/>
        </w:rPr>
        <w:t>This Note is one of the 3.15% Series G Senior Notes, due August 10, 2035 of the Company in the original aggregate principal amount of $50,000,000, which, together with the 3.89% Series A Senior Notes, due December 17, 2022, of the Company in the original aggregate principal amount of $35,000,000, the 3.98% Series B Senior Notes, due December 17, 2024, of the Company in the original aggregate principal amount of $40,000,000, and any other Shelf Notes (as defined in the Note Agreement hereafter mentioned), are issued or to be issued under and pursuant to the terms and provisions of the Note Purchase and Private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460375</wp:posOffset>
            </wp:positionV>
            <wp:extent cx="5452110"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67" w:name="page68"/>
    <w:bookmarkEnd w:id="67"/>
    <w:p>
      <w:pPr>
        <w:jc w:val="right"/>
        <w:ind w:right="219"/>
        <w:spacing w:after="0"/>
        <w:rPr>
          <w:sz w:val="20"/>
          <w:szCs w:val="20"/>
          <w:color w:val="auto"/>
        </w:rPr>
      </w:pPr>
      <w:r>
        <w:rPr>
          <w:rFonts w:ascii="Arial" w:cs="Arial" w:eastAsia="Arial" w:hAnsi="Arial"/>
          <w:sz w:val="20"/>
          <w:szCs w:val="20"/>
          <w:b w:val="1"/>
          <w:bCs w:val="1"/>
          <w:color w:val="auto"/>
        </w:rPr>
        <w:t>Exhibit 10(k)</w:t>
      </w:r>
    </w:p>
    <w:p>
      <w:pPr>
        <w:spacing w:after="0" w:line="200" w:lineRule="exact"/>
        <w:rPr>
          <w:sz w:val="20"/>
          <w:szCs w:val="20"/>
          <w:color w:val="auto"/>
        </w:rPr>
      </w:pPr>
    </w:p>
    <w:p>
      <w:pPr>
        <w:spacing w:after="0" w:line="238" w:lineRule="exact"/>
        <w:rPr>
          <w:sz w:val="20"/>
          <w:szCs w:val="20"/>
          <w:color w:val="auto"/>
        </w:rPr>
      </w:pPr>
    </w:p>
    <w:p>
      <w:pPr>
        <w:jc w:val="both"/>
        <w:ind w:left="200" w:right="219"/>
        <w:spacing w:after="0" w:line="273" w:lineRule="auto"/>
        <w:rPr>
          <w:sz w:val="20"/>
          <w:szCs w:val="20"/>
          <w:color w:val="auto"/>
        </w:rPr>
      </w:pPr>
      <w:r>
        <w:rPr>
          <w:rFonts w:ascii="Arial" w:cs="Arial" w:eastAsia="Arial" w:hAnsi="Arial"/>
          <w:sz w:val="19"/>
          <w:szCs w:val="19"/>
          <w:color w:val="auto"/>
        </w:rPr>
        <w:t xml:space="preserve">Shelf Agreement, dated as of December 17, 2012 (the </w:t>
      </w:r>
      <w:r>
        <w:rPr>
          <w:rFonts w:ascii="Arial" w:cs="Arial" w:eastAsia="Arial" w:hAnsi="Arial"/>
          <w:sz w:val="19"/>
          <w:szCs w:val="19"/>
          <w:i w:val="1"/>
          <w:iCs w:val="1"/>
          <w:color w:val="auto"/>
        </w:rPr>
        <w:t>“Note Agreement”</w:t>
      </w:r>
      <w:r>
        <w:rPr>
          <w:rFonts w:ascii="Arial" w:cs="Arial" w:eastAsia="Arial" w:hAnsi="Arial"/>
          <w:sz w:val="19"/>
          <w:szCs w:val="19"/>
          <w:color w:val="auto"/>
        </w:rPr>
        <w:t>), between the Company, on the one hand, and PGIM, Inc. , the Initial Purchasers named in the Purchaser Schedule attached thereto and each Prudential Affiliate which becomes party thereto, on the other hand, and the holder hereof is entitled equally and ratably with the holders of all other Notes outstanding under the Note Agreement to all the benefits provided for thereby or referred to therein. Reference is hereby made to the Note Agreement for a statement of such rights and benefits.</w:t>
      </w:r>
    </w:p>
    <w:p>
      <w:pPr>
        <w:spacing w:after="0" w:line="115" w:lineRule="exact"/>
        <w:rPr>
          <w:sz w:val="20"/>
          <w:szCs w:val="20"/>
          <w:color w:val="auto"/>
        </w:rPr>
      </w:pPr>
    </w:p>
    <w:p>
      <w:pPr>
        <w:jc w:val="both"/>
        <w:ind w:left="200" w:right="239" w:firstLine="648"/>
        <w:spacing w:after="0" w:line="284" w:lineRule="auto"/>
        <w:rPr>
          <w:sz w:val="20"/>
          <w:szCs w:val="20"/>
          <w:color w:val="auto"/>
        </w:rPr>
      </w:pPr>
      <w:r>
        <w:rPr>
          <w:rFonts w:ascii="Arial" w:cs="Arial" w:eastAsia="Arial" w:hAnsi="Arial"/>
          <w:sz w:val="19"/>
          <w:szCs w:val="19"/>
          <w:color w:val="auto"/>
        </w:rPr>
        <w:t>This Note and the other Notes outstanding under the Note Agreement may be declared due prior to their expressed maturity dates and certain prepayments are required to be made thereon, all in the events, on the terms and in the manner and amounts as provided in the Note Agreements.</w:t>
      </w:r>
    </w:p>
    <w:p>
      <w:pPr>
        <w:spacing w:after="0" w:line="88" w:lineRule="exact"/>
        <w:rPr>
          <w:sz w:val="20"/>
          <w:szCs w:val="20"/>
          <w:color w:val="auto"/>
        </w:rPr>
      </w:pPr>
    </w:p>
    <w:p>
      <w:pPr>
        <w:jc w:val="both"/>
        <w:ind w:left="200" w:right="219" w:firstLine="648"/>
        <w:spacing w:after="0" w:line="264" w:lineRule="auto"/>
        <w:rPr>
          <w:sz w:val="20"/>
          <w:szCs w:val="20"/>
          <w:color w:val="auto"/>
        </w:rPr>
      </w:pPr>
      <w:r>
        <w:rPr>
          <w:rFonts w:ascii="Arial" w:cs="Arial" w:eastAsia="Arial" w:hAnsi="Arial"/>
          <w:sz w:val="20"/>
          <w:szCs w:val="20"/>
          <w:color w:val="auto"/>
        </w:rPr>
        <w:t>The Notes are not subject to prepayment or redemption at the option of the Company prior to their expressed maturity dates except on the terms and conditions and in the amounts and with the premium, if any, set forth in the Note Agreement.</w:t>
      </w:r>
    </w:p>
    <w:p>
      <w:pPr>
        <w:spacing w:after="0" w:line="119" w:lineRule="exact"/>
        <w:rPr>
          <w:sz w:val="20"/>
          <w:szCs w:val="20"/>
          <w:color w:val="auto"/>
        </w:rPr>
      </w:pPr>
    </w:p>
    <w:p>
      <w:pPr>
        <w:jc w:val="both"/>
        <w:ind w:left="200" w:right="219" w:firstLine="648"/>
        <w:spacing w:after="0" w:line="258" w:lineRule="auto"/>
        <w:rPr>
          <w:sz w:val="20"/>
          <w:szCs w:val="20"/>
          <w:color w:val="auto"/>
        </w:rPr>
      </w:pPr>
      <w:r>
        <w:rPr>
          <w:rFonts w:ascii="Arial" w:cs="Arial" w:eastAsia="Arial" w:hAnsi="Arial"/>
          <w:sz w:val="20"/>
          <w:szCs w:val="20"/>
          <w:color w:val="auto"/>
        </w:rPr>
        <w:t>This Note is registered on the books of the Company and is transferable only by surrender thereof at the principal office of the Company duly endorsed or accompanied by a written instrument of transfer duly executed by the registered holder of this Note or its attorney duly authorized in writing. Payment of or on account of principal, premium, if any, and interest on this Note shall be made only to or upon the order in writing of the registered holder.</w:t>
      </w:r>
    </w:p>
    <w:p>
      <w:pPr>
        <w:spacing w:after="0" w:line="127" w:lineRule="exact"/>
        <w:rPr>
          <w:sz w:val="20"/>
          <w:szCs w:val="20"/>
          <w:color w:val="auto"/>
        </w:rPr>
      </w:pPr>
    </w:p>
    <w:p>
      <w:pPr>
        <w:ind w:left="38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follows</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1082040</wp:posOffset>
            </wp:positionV>
            <wp:extent cx="545211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4">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68" w:name="page69"/>
    <w:bookmarkEnd w:id="68"/>
    <w:p>
      <w:pPr>
        <w:jc w:val="right"/>
        <w:ind w:right="219"/>
        <w:spacing w:after="0"/>
        <w:rPr>
          <w:sz w:val="20"/>
          <w:szCs w:val="20"/>
          <w:color w:val="auto"/>
        </w:rPr>
      </w:pPr>
      <w:r>
        <w:rPr>
          <w:rFonts w:ascii="Arial" w:cs="Arial" w:eastAsia="Arial" w:hAnsi="Arial"/>
          <w:sz w:val="20"/>
          <w:szCs w:val="20"/>
          <w:b w:val="1"/>
          <w:bCs w:val="1"/>
          <w:color w:val="auto"/>
        </w:rPr>
        <w:t>Exhibit 10(k)</w:t>
      </w:r>
    </w:p>
    <w:p>
      <w:pPr>
        <w:spacing w:after="0" w:line="200" w:lineRule="exact"/>
        <w:rPr>
          <w:sz w:val="20"/>
          <w:szCs w:val="20"/>
          <w:color w:val="auto"/>
        </w:rPr>
      </w:pPr>
    </w:p>
    <w:p>
      <w:pPr>
        <w:spacing w:after="0" w:line="232" w:lineRule="exact"/>
        <w:rPr>
          <w:sz w:val="20"/>
          <w:szCs w:val="20"/>
          <w:color w:val="auto"/>
        </w:rPr>
      </w:pPr>
    </w:p>
    <w:p>
      <w:pPr>
        <w:jc w:val="both"/>
        <w:ind w:left="200" w:right="219" w:firstLine="648"/>
        <w:spacing w:after="0" w:line="262" w:lineRule="auto"/>
        <w:rPr>
          <w:sz w:val="20"/>
          <w:szCs w:val="20"/>
          <w:color w:val="auto"/>
        </w:rPr>
      </w:pPr>
      <w:r>
        <w:rPr>
          <w:rFonts w:ascii="Arial" w:cs="Arial" w:eastAsia="Arial" w:hAnsi="Arial"/>
          <w:sz w:val="20"/>
          <w:szCs w:val="20"/>
          <w:b w:val="1"/>
          <w:bCs w:val="1"/>
          <w:color w:val="auto"/>
        </w:rPr>
        <w:t>This Note and said Note Agreement are governed by and construed in accordance with the law of Illinois (excluding any conflicts of law rules which would otherwise cause this note to be construed or enforced in accordance with the laws of any other jurisdiction), including all matters of construction, validity and performance.</w:t>
      </w:r>
    </w:p>
    <w:p>
      <w:pPr>
        <w:spacing w:after="0" w:line="122" w:lineRule="exact"/>
        <w:rPr>
          <w:sz w:val="20"/>
          <w:szCs w:val="20"/>
          <w:color w:val="auto"/>
        </w:rPr>
      </w:pPr>
    </w:p>
    <w:p>
      <w:pPr>
        <w:ind w:left="4100"/>
        <w:spacing w:after="0"/>
        <w:rPr>
          <w:sz w:val="20"/>
          <w:szCs w:val="20"/>
          <w:color w:val="auto"/>
        </w:rPr>
      </w:pPr>
      <w:r>
        <w:rPr>
          <w:rFonts w:ascii="Arial" w:cs="Arial" w:eastAsia="Arial" w:hAnsi="Arial"/>
          <w:sz w:val="20"/>
          <w:szCs w:val="20"/>
          <w:color w:val="auto"/>
        </w:rPr>
        <w:t>UFP I</w:t>
      </w:r>
      <w:r>
        <w:rPr>
          <w:rFonts w:ascii="Arial" w:cs="Arial" w:eastAsia="Arial" w:hAnsi="Arial"/>
          <w:sz w:val="13"/>
          <w:szCs w:val="13"/>
          <w:color w:val="auto"/>
        </w:rPr>
        <w:t>NDUSTRIES</w:t>
      </w:r>
      <w:r>
        <w:rPr>
          <w:rFonts w:ascii="Arial" w:cs="Arial" w:eastAsia="Arial" w:hAnsi="Arial"/>
          <w:sz w:val="20"/>
          <w:szCs w:val="20"/>
          <w:color w:val="auto"/>
        </w:rPr>
        <w:t>, I</w:t>
      </w:r>
      <w:r>
        <w:rPr>
          <w:rFonts w:ascii="Arial" w:cs="Arial" w:eastAsia="Arial" w:hAnsi="Arial"/>
          <w:sz w:val="13"/>
          <w:szCs w:val="13"/>
          <w:color w:val="auto"/>
        </w:rPr>
        <w:t>NC</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100"/>
        <w:spacing w:after="0"/>
        <w:rPr>
          <w:sz w:val="20"/>
          <w:szCs w:val="20"/>
          <w:color w:val="auto"/>
        </w:rPr>
      </w:pPr>
      <w:r>
        <w:rPr>
          <w:rFonts w:ascii="Arial" w:cs="Arial" w:eastAsia="Arial" w:hAnsi="Arial"/>
          <w:sz w:val="20"/>
          <w:szCs w:val="20"/>
          <w:color w:val="auto"/>
          <w:highlight w:val="white"/>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-31750</wp:posOffset>
            </wp:positionV>
            <wp:extent cx="278574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5">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jc w:val="center"/>
        <w:ind w:right="-14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768985</wp:posOffset>
            </wp:positionV>
            <wp:extent cx="545211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6">
                      <a:extLst>
                        <a:ext uri="{28A0092B-C50C-407E-A947-70E740481C1C}"/>
                      </a:extLst>
                    </a:blip>
                    <a:srcRect/>
                    <a:stretch>
                      <a:fillRect/>
                    </a:stretch>
                  </pic:blipFill>
                  <pic:spPr bwMode="auto">
                    <a:xfrm>
                      <a:off x="0" y="0"/>
                      <a:ext cx="5452110" cy="17145"/>
                    </a:xfrm>
                    <a:prstGeom prst="rect">
                      <a:avLst/>
                    </a:prstGeom>
                    <a:noFill/>
                  </pic:spPr>
                </pic:pic>
              </a:graphicData>
            </a:graphic>
          </wp:anchor>
        </w:drawing>
        <w:drawing>
          <wp:anchor simplePos="0" relativeHeight="251657728" behindDoc="1" locked="0" layoutInCell="0" allowOverlap="1">
            <wp:simplePos x="0" y="0"/>
            <wp:positionH relativeFrom="column">
              <wp:posOffset>2602865</wp:posOffset>
            </wp:positionH>
            <wp:positionV relativeFrom="paragraph">
              <wp:posOffset>-139065</wp:posOffset>
            </wp:positionV>
            <wp:extent cx="2983230" cy="1454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7">
                      <a:extLst>
                        <a:ext uri="{28A0092B-C50C-407E-A947-70E740481C1C}"/>
                      </a:extLst>
                    </a:blip>
                    <a:srcRect/>
                    <a:stretch>
                      <a:fillRect/>
                    </a:stretch>
                  </pic:blipFill>
                  <pic:spPr bwMode="auto">
                    <a:xfrm>
                      <a:off x="0" y="0"/>
                      <a:ext cx="2983230" cy="145415"/>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69" w:name="page70"/>
    <w:bookmarkEnd w:id="6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Exhibit 13</w:t>
            </w:r>
          </w:p>
        </w:tc>
      </w:tr>
      <w:tr>
        <w:trPr>
          <w:trHeight w:val="414"/>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560" w:type="dxa"/>
            <w:vAlign w:val="bottom"/>
            <w:gridSpan w:val="4"/>
          </w:tcPr>
          <w:p>
            <w:pPr>
              <w:jc w:val="center"/>
              <w:ind w:right="2360"/>
              <w:spacing w:after="0"/>
              <w:rPr>
                <w:sz w:val="20"/>
                <w:szCs w:val="20"/>
                <w:color w:val="auto"/>
              </w:rPr>
            </w:pPr>
            <w:r>
              <w:rPr>
                <w:rFonts w:ascii="Arial" w:cs="Arial" w:eastAsia="Arial" w:hAnsi="Arial"/>
                <w:sz w:val="18"/>
                <w:szCs w:val="18"/>
                <w:b w:val="1"/>
                <w:bCs w:val="1"/>
                <w:color w:val="auto"/>
                <w:w w:val="99"/>
              </w:rPr>
              <w:t>UFP INDUSTRIES, INC.</w:t>
            </w:r>
          </w:p>
        </w:tc>
        <w:tc>
          <w:tcPr>
            <w:tcW w:w="100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600" w:type="dxa"/>
            <w:vAlign w:val="bottom"/>
            <w:gridSpan w:val="5"/>
          </w:tcPr>
          <w:p>
            <w:pPr>
              <w:jc w:val="center"/>
              <w:ind w:right="1320"/>
              <w:spacing w:after="0"/>
              <w:rPr>
                <w:sz w:val="20"/>
                <w:szCs w:val="20"/>
                <w:color w:val="auto"/>
              </w:rPr>
            </w:pPr>
            <w:r>
              <w:rPr>
                <w:rFonts w:ascii="Arial" w:cs="Arial" w:eastAsia="Arial" w:hAnsi="Arial"/>
                <w:sz w:val="18"/>
                <w:szCs w:val="18"/>
                <w:b w:val="1"/>
                <w:bCs w:val="1"/>
                <w:color w:val="auto"/>
              </w:rPr>
              <w:t>FINANCIAL INFORMATION</w:t>
            </w:r>
          </w:p>
        </w:tc>
        <w:tc>
          <w:tcPr>
            <w:tcW w:w="100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560" w:type="dxa"/>
            <w:vAlign w:val="bottom"/>
            <w:gridSpan w:val="4"/>
          </w:tcPr>
          <w:p>
            <w:pPr>
              <w:jc w:val="center"/>
              <w:ind w:right="2360"/>
              <w:spacing w:after="0"/>
              <w:rPr>
                <w:sz w:val="20"/>
                <w:szCs w:val="20"/>
                <w:color w:val="auto"/>
              </w:rPr>
            </w:pPr>
            <w:r>
              <w:rPr>
                <w:rFonts w:ascii="Arial" w:cs="Arial" w:eastAsia="Arial" w:hAnsi="Arial"/>
                <w:sz w:val="18"/>
                <w:szCs w:val="18"/>
                <w:b w:val="1"/>
                <w:bCs w:val="1"/>
                <w:color w:val="auto"/>
                <w:w w:val="89"/>
              </w:rPr>
              <w:t>Table of Contents</w:t>
            </w:r>
          </w:p>
        </w:tc>
        <w:tc>
          <w:tcPr>
            <w:tcW w:w="1000" w:type="dxa"/>
            <w:vAlign w:val="bottom"/>
          </w:tcPr>
          <w:p>
            <w:pPr>
              <w:spacing w:after="0"/>
              <w:rPr>
                <w:sz w:val="24"/>
                <w:szCs w:val="24"/>
                <w:color w:val="auto"/>
              </w:rPr>
            </w:pPr>
          </w:p>
        </w:tc>
      </w:tr>
      <w:tr>
        <w:trPr>
          <w:trHeight w:val="472"/>
        </w:trPr>
        <w:tc>
          <w:tcPr>
            <w:tcW w:w="20" w:type="dxa"/>
            <w:vAlign w:val="bottom"/>
          </w:tcPr>
          <w:p>
            <w:pPr>
              <w:spacing w:after="0"/>
              <w:rPr>
                <w:sz w:val="24"/>
                <w:szCs w:val="24"/>
                <w:color w:val="auto"/>
              </w:rPr>
            </w:pPr>
          </w:p>
        </w:tc>
        <w:tc>
          <w:tcPr>
            <w:tcW w:w="7900" w:type="dxa"/>
            <w:vAlign w:val="bottom"/>
            <w:gridSpan w:val="8"/>
          </w:tcPr>
          <w:p>
            <w:pPr>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Selected Financial Data</w:t>
              </w:r>
            </w:hyperlink>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567"/>
        </w:trPr>
        <w:tc>
          <w:tcPr>
            <w:tcW w:w="20" w:type="dxa"/>
            <w:vAlign w:val="bottom"/>
          </w:tcPr>
          <w:p>
            <w:pPr>
              <w:spacing w:after="0"/>
              <w:rPr>
                <w:sz w:val="24"/>
                <w:szCs w:val="24"/>
                <w:color w:val="auto"/>
              </w:rPr>
            </w:pPr>
          </w:p>
        </w:tc>
        <w:tc>
          <w:tcPr>
            <w:tcW w:w="7900" w:type="dxa"/>
            <w:vAlign w:val="bottom"/>
            <w:gridSpan w:val="8"/>
          </w:tcPr>
          <w:p>
            <w:pPr>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Management’s Discussion and Analysis of Financial Condition and Results of Operations</w:t>
              </w:r>
            </w:hyperlink>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567"/>
        </w:trPr>
        <w:tc>
          <w:tcPr>
            <w:tcW w:w="20" w:type="dxa"/>
            <w:vAlign w:val="bottom"/>
          </w:tcPr>
          <w:p>
            <w:pPr>
              <w:spacing w:after="0"/>
              <w:rPr>
                <w:sz w:val="24"/>
                <w:szCs w:val="24"/>
                <w:color w:val="auto"/>
              </w:rPr>
            </w:pPr>
          </w:p>
        </w:tc>
        <w:tc>
          <w:tcPr>
            <w:tcW w:w="7900" w:type="dxa"/>
            <w:vAlign w:val="bottom"/>
            <w:gridSpan w:val="8"/>
          </w:tcPr>
          <w:p>
            <w:pPr>
              <w:spacing w:after="0"/>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Report of Independent Registered Public Accounting Firm</w:t>
              </w:r>
            </w:hyperlink>
          </w:p>
        </w:tc>
        <w:tc>
          <w:tcPr>
            <w:tcW w:w="10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567"/>
        </w:trPr>
        <w:tc>
          <w:tcPr>
            <w:tcW w:w="20" w:type="dxa"/>
            <w:vAlign w:val="bottom"/>
          </w:tcPr>
          <w:p>
            <w:pPr>
              <w:spacing w:after="0"/>
              <w:rPr>
                <w:sz w:val="24"/>
                <w:szCs w:val="24"/>
                <w:color w:val="auto"/>
              </w:rPr>
            </w:pPr>
          </w:p>
        </w:tc>
        <w:tc>
          <w:tcPr>
            <w:tcW w:w="7900" w:type="dxa"/>
            <w:vAlign w:val="bottom"/>
            <w:gridSpan w:val="8"/>
          </w:tcPr>
          <w:p>
            <w:pPr>
              <w:spacing w:after="0"/>
              <w:rPr>
                <w:rFonts w:ascii="Arial" w:cs="Arial" w:eastAsia="Arial" w:hAnsi="Arial"/>
                <w:sz w:val="18"/>
                <w:szCs w:val="18"/>
                <w:u w:val="single" w:color="auto"/>
                <w:color w:val="0000EE"/>
              </w:rPr>
            </w:pPr>
            <w:hyperlink w:anchor="page96">
              <w:r>
                <w:rPr>
                  <w:rFonts w:ascii="Arial" w:cs="Arial" w:eastAsia="Arial" w:hAnsi="Arial"/>
                  <w:sz w:val="18"/>
                  <w:szCs w:val="18"/>
                  <w:u w:val="single" w:color="auto"/>
                  <w:color w:val="0000EE"/>
                </w:rPr>
                <w:t>Report of Independent Registered Public Accounting Firm</w:t>
              </w:r>
            </w:hyperlink>
          </w:p>
        </w:tc>
        <w:tc>
          <w:tcPr>
            <w:tcW w:w="10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567"/>
        </w:trPr>
        <w:tc>
          <w:tcPr>
            <w:tcW w:w="20" w:type="dxa"/>
            <w:vAlign w:val="bottom"/>
          </w:tcPr>
          <w:p>
            <w:pPr>
              <w:spacing w:after="0"/>
              <w:rPr>
                <w:sz w:val="24"/>
                <w:szCs w:val="24"/>
                <w:color w:val="auto"/>
              </w:rPr>
            </w:pPr>
          </w:p>
        </w:tc>
        <w:tc>
          <w:tcPr>
            <w:tcW w:w="7900" w:type="dxa"/>
            <w:vAlign w:val="bottom"/>
            <w:gridSpan w:val="8"/>
          </w:tcPr>
          <w:p>
            <w:pPr>
              <w:spacing w:after="0"/>
              <w:rPr>
                <w:rFonts w:ascii="Arial" w:cs="Arial" w:eastAsia="Arial" w:hAnsi="Arial"/>
                <w:sz w:val="18"/>
                <w:szCs w:val="18"/>
                <w:u w:val="single" w:color="auto"/>
                <w:color w:val="0000EE"/>
              </w:rPr>
            </w:pPr>
            <w:hyperlink w:anchor="page98">
              <w:r>
                <w:rPr>
                  <w:rFonts w:ascii="Arial" w:cs="Arial" w:eastAsia="Arial" w:hAnsi="Arial"/>
                  <w:sz w:val="18"/>
                  <w:szCs w:val="18"/>
                  <w:u w:val="single" w:color="auto"/>
                  <w:color w:val="0000EE"/>
                </w:rPr>
                <w:t>Consolidated Balance Sheets as of December 26, 2020 and December 28, 2019</w:t>
              </w:r>
            </w:hyperlink>
          </w:p>
        </w:tc>
        <w:tc>
          <w:tcPr>
            <w:tcW w:w="10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526"/>
        </w:trPr>
        <w:tc>
          <w:tcPr>
            <w:tcW w:w="20" w:type="dxa"/>
            <w:vAlign w:val="bottom"/>
          </w:tcPr>
          <w:p>
            <w:pPr>
              <w:spacing w:after="0"/>
              <w:rPr>
                <w:sz w:val="24"/>
                <w:szCs w:val="24"/>
                <w:color w:val="auto"/>
              </w:rPr>
            </w:pPr>
          </w:p>
        </w:tc>
        <w:tc>
          <w:tcPr>
            <w:tcW w:w="770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99">
              <w:r>
                <w:rPr>
                  <w:rFonts w:ascii="Arial" w:cs="Arial" w:eastAsia="Arial" w:hAnsi="Arial"/>
                  <w:sz w:val="18"/>
                  <w:szCs w:val="18"/>
                  <w:color w:val="0000EE"/>
                  <w:w w:val="89"/>
                </w:rPr>
                <w:t>Consolidated Statements of Earnings and Comprehensive Income for the Years Ended December 26, 2020,</w:t>
              </w:r>
            </w:hyperlink>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196"/>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780" w:type="dxa"/>
            <w:vAlign w:val="bottom"/>
            <w:gridSpan w:val="7"/>
          </w:tcPr>
          <w:p>
            <w:pPr>
              <w:spacing w:after="0" w:line="196" w:lineRule="exact"/>
              <w:rPr>
                <w:rFonts w:ascii="Arial" w:cs="Arial" w:eastAsia="Arial" w:hAnsi="Arial"/>
                <w:sz w:val="18"/>
                <w:szCs w:val="18"/>
                <w:color w:val="0000EE"/>
              </w:rPr>
            </w:pPr>
            <w:hyperlink w:anchor="page99">
              <w:r>
                <w:rPr>
                  <w:rFonts w:ascii="Arial" w:cs="Arial" w:eastAsia="Arial" w:hAnsi="Arial"/>
                  <w:sz w:val="18"/>
                  <w:szCs w:val="18"/>
                  <w:color w:val="0000EE"/>
                </w:rPr>
                <w:t>December 28, 2019, and December 29, 2018</w:t>
              </w:r>
            </w:hyperlink>
          </w:p>
        </w:tc>
        <w:tc>
          <w:tcPr>
            <w:tcW w:w="10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547"/>
        </w:trPr>
        <w:tc>
          <w:tcPr>
            <w:tcW w:w="20" w:type="dxa"/>
            <w:vAlign w:val="bottom"/>
          </w:tcPr>
          <w:p>
            <w:pPr>
              <w:spacing w:after="0"/>
              <w:rPr>
                <w:sz w:val="24"/>
                <w:szCs w:val="24"/>
                <w:color w:val="auto"/>
              </w:rPr>
            </w:pPr>
          </w:p>
        </w:tc>
        <w:tc>
          <w:tcPr>
            <w:tcW w:w="7900" w:type="dxa"/>
            <w:vAlign w:val="bottom"/>
            <w:gridSpan w:val="8"/>
          </w:tcPr>
          <w:p>
            <w:pPr>
              <w:spacing w:after="0"/>
              <w:rPr>
                <w:rFonts w:ascii="Arial" w:cs="Arial" w:eastAsia="Arial" w:hAnsi="Arial"/>
                <w:sz w:val="18"/>
                <w:szCs w:val="18"/>
                <w:color w:val="0000EE"/>
                <w:w w:val="93"/>
              </w:rPr>
            </w:pPr>
            <w:hyperlink w:anchor="page100">
              <w:r>
                <w:rPr>
                  <w:rFonts w:ascii="Arial" w:cs="Arial" w:eastAsia="Arial" w:hAnsi="Arial"/>
                  <w:sz w:val="18"/>
                  <w:szCs w:val="18"/>
                  <w:color w:val="0000EE"/>
                  <w:w w:val="93"/>
                </w:rPr>
                <w:t>Consolidated Statements of Shareholders’ Equity for the Years Ended December 26, 2020, December 28,</w:t>
              </w:r>
            </w:hyperlink>
          </w:p>
        </w:tc>
        <w:tc>
          <w:tcPr>
            <w:tcW w:w="10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196"/>
        </w:trPr>
        <w:tc>
          <w:tcPr>
            <w:tcW w:w="2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1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w:anchor="page100">
              <w:r>
                <w:rPr>
                  <w:rFonts w:ascii="Arial" w:cs="Arial" w:eastAsia="Arial" w:hAnsi="Arial"/>
                  <w:sz w:val="18"/>
                  <w:szCs w:val="18"/>
                  <w:color w:val="0000EE"/>
                  <w:w w:val="88"/>
                </w:rPr>
                <w:t>2019, and December 29, 2018</w:t>
              </w:r>
            </w:hyperlink>
          </w:p>
        </w:tc>
        <w:tc>
          <w:tcPr>
            <w:tcW w:w="5260" w:type="dxa"/>
            <w:vAlign w:val="bottom"/>
            <w:tcBorders>
              <w:top w:val="single" w:sz="8" w:color="0000EE"/>
            </w:tcBorders>
            <w:gridSpan w:val="2"/>
          </w:tcPr>
          <w:p>
            <w:pPr>
              <w:spacing w:after="0"/>
              <w:rPr>
                <w:sz w:val="17"/>
                <w:szCs w:val="17"/>
                <w:color w:val="auto"/>
              </w:rPr>
            </w:pPr>
          </w:p>
        </w:tc>
        <w:tc>
          <w:tcPr>
            <w:tcW w:w="340" w:type="dxa"/>
            <w:vAlign w:val="bottom"/>
            <w:gridSpan w:val="3"/>
          </w:tcPr>
          <w:p>
            <w:pPr>
              <w:spacing w:after="0"/>
              <w:rPr>
                <w:sz w:val="17"/>
                <w:szCs w:val="17"/>
                <w:color w:val="auto"/>
              </w:rPr>
            </w:pPr>
          </w:p>
        </w:tc>
        <w:tc>
          <w:tcPr>
            <w:tcW w:w="1000" w:type="dxa"/>
            <w:vAlign w:val="bottom"/>
          </w:tcPr>
          <w:p>
            <w:pPr>
              <w:spacing w:after="0"/>
              <w:rPr>
                <w:sz w:val="17"/>
                <w:szCs w:val="17"/>
                <w:color w:val="auto"/>
              </w:rPr>
            </w:pPr>
          </w:p>
        </w:tc>
      </w:tr>
      <w:tr>
        <w:trPr>
          <w:trHeight w:val="547"/>
        </w:trPr>
        <w:tc>
          <w:tcPr>
            <w:tcW w:w="20" w:type="dxa"/>
            <w:vAlign w:val="bottom"/>
          </w:tcPr>
          <w:p>
            <w:pPr>
              <w:spacing w:after="0"/>
              <w:rPr>
                <w:sz w:val="24"/>
                <w:szCs w:val="24"/>
                <w:color w:val="auto"/>
              </w:rPr>
            </w:pPr>
          </w:p>
        </w:tc>
        <w:tc>
          <w:tcPr>
            <w:tcW w:w="7900" w:type="dxa"/>
            <w:vAlign w:val="bottom"/>
            <w:gridSpan w:val="8"/>
          </w:tcPr>
          <w:p>
            <w:pPr>
              <w:spacing w:after="0"/>
              <w:rPr>
                <w:rFonts w:ascii="Arial" w:cs="Arial" w:eastAsia="Arial" w:hAnsi="Arial"/>
                <w:sz w:val="18"/>
                <w:szCs w:val="18"/>
                <w:color w:val="0000EE"/>
                <w:w w:val="92"/>
              </w:rPr>
            </w:pPr>
            <w:hyperlink w:anchor="page101">
              <w:r>
                <w:rPr>
                  <w:rFonts w:ascii="Arial" w:cs="Arial" w:eastAsia="Arial" w:hAnsi="Arial"/>
                  <w:sz w:val="18"/>
                  <w:szCs w:val="18"/>
                  <w:color w:val="0000EE"/>
                  <w:w w:val="92"/>
                </w:rPr>
                <w:t>Consolidated Statements of Cash Flows for the Years Ended December 26, 2020, December 28, 2019, and</w:t>
              </w:r>
            </w:hyperlink>
          </w:p>
        </w:tc>
        <w:tc>
          <w:tcPr>
            <w:tcW w:w="10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196"/>
        </w:trPr>
        <w:tc>
          <w:tcPr>
            <w:tcW w:w="2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4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101">
              <w:r>
                <w:rPr>
                  <w:rFonts w:ascii="Arial" w:cs="Arial" w:eastAsia="Arial" w:hAnsi="Arial"/>
                  <w:sz w:val="18"/>
                  <w:szCs w:val="18"/>
                  <w:color w:val="0000EE"/>
                  <w:w w:val="88"/>
                </w:rPr>
                <w:t>December 29, 2018</w:t>
              </w:r>
            </w:hyperlink>
          </w:p>
        </w:tc>
        <w:tc>
          <w:tcPr>
            <w:tcW w:w="6100" w:type="dxa"/>
            <w:vAlign w:val="bottom"/>
            <w:tcBorders>
              <w:top w:val="single" w:sz="8" w:color="0000EE"/>
            </w:tcBorders>
            <w:gridSpan w:val="4"/>
          </w:tcPr>
          <w:p>
            <w:pPr>
              <w:spacing w:after="0"/>
              <w:rPr>
                <w:sz w:val="17"/>
                <w:szCs w:val="17"/>
                <w:color w:val="auto"/>
              </w:rPr>
            </w:pPr>
          </w:p>
        </w:tc>
        <w:tc>
          <w:tcPr>
            <w:tcW w:w="260" w:type="dxa"/>
            <w:vAlign w:val="bottom"/>
            <w:gridSpan w:val="2"/>
          </w:tcPr>
          <w:p>
            <w:pPr>
              <w:spacing w:after="0"/>
              <w:rPr>
                <w:sz w:val="17"/>
                <w:szCs w:val="17"/>
                <w:color w:val="auto"/>
              </w:rPr>
            </w:pPr>
          </w:p>
        </w:tc>
        <w:tc>
          <w:tcPr>
            <w:tcW w:w="1000" w:type="dxa"/>
            <w:vAlign w:val="bottom"/>
          </w:tcPr>
          <w:p>
            <w:pPr>
              <w:spacing w:after="0"/>
              <w:rPr>
                <w:sz w:val="17"/>
                <w:szCs w:val="17"/>
                <w:color w:val="auto"/>
              </w:rPr>
            </w:pPr>
          </w:p>
        </w:tc>
      </w:tr>
      <w:tr>
        <w:trPr>
          <w:trHeight w:val="588"/>
        </w:trPr>
        <w:tc>
          <w:tcPr>
            <w:tcW w:w="20" w:type="dxa"/>
            <w:vAlign w:val="bottom"/>
          </w:tcPr>
          <w:p>
            <w:pPr>
              <w:spacing w:after="0"/>
              <w:rPr>
                <w:sz w:val="24"/>
                <w:szCs w:val="24"/>
                <w:color w:val="auto"/>
              </w:rPr>
            </w:pPr>
          </w:p>
        </w:tc>
        <w:tc>
          <w:tcPr>
            <w:tcW w:w="7900" w:type="dxa"/>
            <w:vAlign w:val="bottom"/>
            <w:gridSpan w:val="8"/>
          </w:tcPr>
          <w:p>
            <w:pPr>
              <w:spacing w:after="0"/>
              <w:rPr>
                <w:rFonts w:ascii="Arial" w:cs="Arial" w:eastAsia="Arial" w:hAnsi="Arial"/>
                <w:sz w:val="18"/>
                <w:szCs w:val="18"/>
                <w:u w:val="single" w:color="auto"/>
                <w:color w:val="0000EE"/>
              </w:rPr>
            </w:pPr>
            <w:hyperlink w:anchor="page102">
              <w:r>
                <w:rPr>
                  <w:rFonts w:ascii="Arial" w:cs="Arial" w:eastAsia="Arial" w:hAnsi="Arial"/>
                  <w:sz w:val="18"/>
                  <w:szCs w:val="18"/>
                  <w:u w:val="single" w:color="auto"/>
                  <w:color w:val="0000EE"/>
                </w:rPr>
                <w:t>Notes to Consolidated Financial Statements</w:t>
              </w:r>
            </w:hyperlink>
          </w:p>
        </w:tc>
        <w:tc>
          <w:tcPr>
            <w:tcW w:w="10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567"/>
        </w:trPr>
        <w:tc>
          <w:tcPr>
            <w:tcW w:w="20" w:type="dxa"/>
            <w:vAlign w:val="bottom"/>
          </w:tcPr>
          <w:p>
            <w:pPr>
              <w:spacing w:after="0"/>
              <w:rPr>
                <w:sz w:val="24"/>
                <w:szCs w:val="24"/>
                <w:color w:val="auto"/>
              </w:rPr>
            </w:pPr>
          </w:p>
        </w:tc>
        <w:tc>
          <w:tcPr>
            <w:tcW w:w="7900" w:type="dxa"/>
            <w:vAlign w:val="bottom"/>
            <w:gridSpan w:val="8"/>
          </w:tcPr>
          <w:p>
            <w:pPr>
              <w:spacing w:after="0"/>
              <w:rPr>
                <w:rFonts w:ascii="Arial" w:cs="Arial" w:eastAsia="Arial" w:hAnsi="Arial"/>
                <w:sz w:val="18"/>
                <w:szCs w:val="18"/>
                <w:u w:val="single" w:color="auto"/>
                <w:color w:val="0000EE"/>
              </w:rPr>
            </w:pPr>
            <w:hyperlink w:anchor="page127">
              <w:r>
                <w:rPr>
                  <w:rFonts w:ascii="Arial" w:cs="Arial" w:eastAsia="Arial" w:hAnsi="Arial"/>
                  <w:sz w:val="18"/>
                  <w:szCs w:val="18"/>
                  <w:u w:val="single" w:color="auto"/>
                  <w:color w:val="0000EE"/>
                </w:rPr>
                <w:t>Market Information for our Common Stock</w:t>
              </w:r>
            </w:hyperlink>
          </w:p>
        </w:tc>
        <w:tc>
          <w:tcPr>
            <w:tcW w:w="10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567"/>
        </w:trPr>
        <w:tc>
          <w:tcPr>
            <w:tcW w:w="20" w:type="dxa"/>
            <w:vAlign w:val="bottom"/>
          </w:tcPr>
          <w:p>
            <w:pPr>
              <w:spacing w:after="0"/>
              <w:rPr>
                <w:sz w:val="24"/>
                <w:szCs w:val="24"/>
                <w:color w:val="auto"/>
              </w:rPr>
            </w:pPr>
          </w:p>
        </w:tc>
        <w:tc>
          <w:tcPr>
            <w:tcW w:w="7900" w:type="dxa"/>
            <w:vAlign w:val="bottom"/>
            <w:gridSpan w:val="8"/>
          </w:tcPr>
          <w:p>
            <w:pPr>
              <w:spacing w:after="0"/>
              <w:rPr>
                <w:rFonts w:ascii="Arial" w:cs="Arial" w:eastAsia="Arial" w:hAnsi="Arial"/>
                <w:sz w:val="18"/>
                <w:szCs w:val="18"/>
                <w:u w:val="single" w:color="auto"/>
                <w:color w:val="0000EE"/>
              </w:rPr>
            </w:pPr>
            <w:hyperlink w:anchor="page127">
              <w:r>
                <w:rPr>
                  <w:rFonts w:ascii="Arial" w:cs="Arial" w:eastAsia="Arial" w:hAnsi="Arial"/>
                  <w:sz w:val="18"/>
                  <w:szCs w:val="18"/>
                  <w:u w:val="single" w:color="auto"/>
                  <w:color w:val="0000EE"/>
                </w:rPr>
                <w:t>Stock Performance Graph</w:t>
              </w:r>
            </w:hyperlink>
          </w:p>
        </w:tc>
        <w:tc>
          <w:tcPr>
            <w:tcW w:w="10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567"/>
        </w:trPr>
        <w:tc>
          <w:tcPr>
            <w:tcW w:w="20" w:type="dxa"/>
            <w:vAlign w:val="bottom"/>
          </w:tcPr>
          <w:p>
            <w:pPr>
              <w:spacing w:after="0"/>
              <w:rPr>
                <w:sz w:val="24"/>
                <w:szCs w:val="24"/>
                <w:color w:val="auto"/>
              </w:rPr>
            </w:pPr>
          </w:p>
        </w:tc>
        <w:tc>
          <w:tcPr>
            <w:tcW w:w="7900" w:type="dxa"/>
            <w:vAlign w:val="bottom"/>
            <w:gridSpan w:val="8"/>
          </w:tcPr>
          <w:p>
            <w:pPr>
              <w:spacing w:after="0"/>
              <w:rPr>
                <w:rFonts w:ascii="Arial" w:cs="Arial" w:eastAsia="Arial" w:hAnsi="Arial"/>
                <w:sz w:val="18"/>
                <w:szCs w:val="18"/>
                <w:u w:val="single" w:color="auto"/>
                <w:color w:val="0000EE"/>
              </w:rPr>
            </w:pPr>
            <w:hyperlink w:anchor="page128">
              <w:r>
                <w:rPr>
                  <w:rFonts w:ascii="Arial" w:cs="Arial" w:eastAsia="Arial" w:hAnsi="Arial"/>
                  <w:sz w:val="18"/>
                  <w:szCs w:val="18"/>
                  <w:u w:val="single" w:color="auto"/>
                  <w:color w:val="0000EE"/>
                </w:rPr>
                <w:t>Directors and Executive Officers</w:t>
              </w:r>
            </w:hyperlink>
          </w:p>
        </w:tc>
        <w:tc>
          <w:tcPr>
            <w:tcW w:w="10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567"/>
        </w:trPr>
        <w:tc>
          <w:tcPr>
            <w:tcW w:w="20" w:type="dxa"/>
            <w:vAlign w:val="bottom"/>
          </w:tcPr>
          <w:p>
            <w:pPr>
              <w:spacing w:after="0"/>
              <w:rPr>
                <w:sz w:val="24"/>
                <w:szCs w:val="24"/>
                <w:color w:val="auto"/>
              </w:rPr>
            </w:pPr>
          </w:p>
        </w:tc>
        <w:tc>
          <w:tcPr>
            <w:tcW w:w="7900" w:type="dxa"/>
            <w:vAlign w:val="bottom"/>
            <w:gridSpan w:val="8"/>
          </w:tcPr>
          <w:p>
            <w:pPr>
              <w:spacing w:after="0"/>
              <w:rPr>
                <w:rFonts w:ascii="Arial" w:cs="Arial" w:eastAsia="Arial" w:hAnsi="Arial"/>
                <w:sz w:val="18"/>
                <w:szCs w:val="18"/>
                <w:u w:val="single" w:color="auto"/>
                <w:color w:val="0000EE"/>
              </w:rPr>
            </w:pPr>
            <w:hyperlink w:anchor="page129">
              <w:r>
                <w:rPr>
                  <w:rFonts w:ascii="Arial" w:cs="Arial" w:eastAsia="Arial" w:hAnsi="Arial"/>
                  <w:sz w:val="18"/>
                  <w:szCs w:val="18"/>
                  <w:u w:val="single" w:color="auto"/>
                  <w:color w:val="0000EE"/>
                </w:rPr>
                <w:t>Shareholder Information</w:t>
              </w:r>
            </w:hyperlink>
          </w:p>
        </w:tc>
        <w:tc>
          <w:tcPr>
            <w:tcW w:w="10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1681"/>
        </w:trPr>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5" w:right="1440" w:bottom="1440" w:gutter="0" w:footer="0" w:header="0"/>
        </w:sectPr>
      </w:pPr>
    </w:p>
    <w:bookmarkStart w:id="70" w:name="page71"/>
    <w:bookmarkEnd w:id="7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SELECTED FINANCIAL DATA</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 thousands, except per share and statistics data)</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222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CEEFF"/>
            </w:tcBorders>
          </w:tcPr>
          <w:p>
            <w:pPr>
              <w:spacing w:after="0"/>
              <w:rPr>
                <w:sz w:val="15"/>
                <w:szCs w:val="15"/>
                <w:color w:val="auto"/>
              </w:rPr>
            </w:pPr>
          </w:p>
        </w:tc>
      </w:tr>
      <w:tr>
        <w:trPr>
          <w:trHeight w:val="184"/>
        </w:trPr>
        <w:tc>
          <w:tcPr>
            <w:tcW w:w="20" w:type="dxa"/>
            <w:vAlign w:val="bottom"/>
          </w:tcPr>
          <w:p>
            <w:pPr>
              <w:spacing w:after="0"/>
              <w:rPr>
                <w:sz w:val="16"/>
                <w:szCs w:val="16"/>
                <w:color w:val="auto"/>
              </w:rPr>
            </w:pPr>
          </w:p>
        </w:tc>
        <w:tc>
          <w:tcPr>
            <w:tcW w:w="3000" w:type="dxa"/>
            <w:vAlign w:val="bottom"/>
            <w:gridSpan w:val="2"/>
            <w:shd w:val="clear" w:color="auto" w:fill="CCEEFF"/>
          </w:tcPr>
          <w:p>
            <w:pPr>
              <w:spacing w:after="0" w:line="184" w:lineRule="exact"/>
              <w:rPr>
                <w:sz w:val="20"/>
                <w:szCs w:val="20"/>
                <w:color w:val="auto"/>
              </w:rPr>
            </w:pPr>
            <w:r>
              <w:rPr>
                <w:rFonts w:ascii="Arial" w:cs="Arial" w:eastAsia="Arial" w:hAnsi="Arial"/>
                <w:sz w:val="18"/>
                <w:szCs w:val="18"/>
                <w:b w:val="1"/>
                <w:bCs w:val="1"/>
                <w:color w:val="auto"/>
                <w:w w:val="96"/>
              </w:rPr>
              <w:t>Consolidated Statement of Earnings</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Data</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tcPr>
          <w:p>
            <w:pPr>
              <w:spacing w:after="0"/>
              <w:rPr>
                <w:sz w:val="20"/>
                <w:szCs w:val="20"/>
                <w:color w:val="auto"/>
              </w:rPr>
            </w:pPr>
            <w:r>
              <w:rPr>
                <w:rFonts w:ascii="Arial" w:cs="Arial" w:eastAsia="Arial" w:hAnsi="Arial"/>
                <w:sz w:val="18"/>
                <w:szCs w:val="18"/>
                <w:color w:val="auto"/>
              </w:rPr>
              <w:t>Net sales</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51"/>
              <w:spacing w:after="0"/>
              <w:rPr>
                <w:sz w:val="20"/>
                <w:szCs w:val="20"/>
                <w:color w:val="auto"/>
              </w:rPr>
            </w:pPr>
            <w:r>
              <w:rPr>
                <w:rFonts w:ascii="Arial" w:cs="Arial" w:eastAsia="Arial" w:hAnsi="Arial"/>
                <w:sz w:val="18"/>
                <w:szCs w:val="18"/>
                <w:color w:val="auto"/>
                <w:w w:val="89"/>
              </w:rPr>
              <w:t>5,153,998</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71"/>
              <w:spacing w:after="0"/>
              <w:rPr>
                <w:sz w:val="20"/>
                <w:szCs w:val="20"/>
                <w:color w:val="auto"/>
              </w:rPr>
            </w:pPr>
            <w:r>
              <w:rPr>
                <w:rFonts w:ascii="Arial" w:cs="Arial" w:eastAsia="Arial" w:hAnsi="Arial"/>
                <w:sz w:val="18"/>
                <w:szCs w:val="18"/>
                <w:color w:val="auto"/>
                <w:w w:val="89"/>
              </w:rPr>
              <w:t>4,416,009</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71"/>
              <w:spacing w:after="0"/>
              <w:rPr>
                <w:sz w:val="20"/>
                <w:szCs w:val="20"/>
                <w:color w:val="auto"/>
              </w:rPr>
            </w:pPr>
            <w:r>
              <w:rPr>
                <w:rFonts w:ascii="Arial" w:cs="Arial" w:eastAsia="Arial" w:hAnsi="Arial"/>
                <w:sz w:val="18"/>
                <w:szCs w:val="18"/>
                <w:color w:val="auto"/>
                <w:w w:val="89"/>
              </w:rPr>
              <w:t>4,489,180</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71"/>
              <w:spacing w:after="0"/>
              <w:rPr>
                <w:sz w:val="20"/>
                <w:szCs w:val="20"/>
                <w:color w:val="auto"/>
              </w:rPr>
            </w:pPr>
            <w:r>
              <w:rPr>
                <w:rFonts w:ascii="Arial" w:cs="Arial" w:eastAsia="Arial" w:hAnsi="Arial"/>
                <w:sz w:val="18"/>
                <w:szCs w:val="18"/>
                <w:color w:val="auto"/>
                <w:w w:val="89"/>
              </w:rPr>
              <w:t>3,941,182</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2"/>
              </w:rPr>
              <w:t>3,240,493</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800,296</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685,518</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592,894</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542,826</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474,590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tcPr>
          <w:p>
            <w:pPr>
              <w:spacing w:after="0"/>
              <w:rPr>
                <w:sz w:val="20"/>
                <w:szCs w:val="20"/>
                <w:color w:val="auto"/>
              </w:rPr>
            </w:pPr>
            <w:r>
              <w:rPr>
                <w:rFonts w:ascii="Arial" w:cs="Arial" w:eastAsia="Arial" w:hAnsi="Arial"/>
                <w:sz w:val="18"/>
                <w:szCs w:val="18"/>
                <w:color w:val="auto"/>
              </w:rPr>
              <w:t>Earnings before income taxes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151"/>
              <w:spacing w:after="0"/>
              <w:rPr>
                <w:sz w:val="20"/>
                <w:szCs w:val="20"/>
                <w:color w:val="auto"/>
              </w:rPr>
            </w:pPr>
            <w:r>
              <w:rPr>
                <w:rFonts w:ascii="Arial" w:cs="Arial" w:eastAsia="Arial" w:hAnsi="Arial"/>
                <w:sz w:val="18"/>
                <w:szCs w:val="18"/>
                <w:color w:val="auto"/>
              </w:rPr>
              <w:t>340,983</w:t>
            </w:r>
          </w:p>
        </w:tc>
        <w:tc>
          <w:tcPr>
            <w:tcW w:w="180" w:type="dxa"/>
            <w:vAlign w:val="bottom"/>
          </w:tcPr>
          <w:p>
            <w:pPr>
              <w:spacing w:after="0"/>
              <w:rPr>
                <w:sz w:val="18"/>
                <w:szCs w:val="18"/>
                <w:color w:val="auto"/>
              </w:rPr>
            </w:pPr>
          </w:p>
        </w:tc>
        <w:tc>
          <w:tcPr>
            <w:tcW w:w="1000" w:type="dxa"/>
            <w:vAlign w:val="bottom"/>
          </w:tcPr>
          <w:p>
            <w:pPr>
              <w:jc w:val="right"/>
              <w:ind w:right="171"/>
              <w:spacing w:after="0"/>
              <w:rPr>
                <w:sz w:val="20"/>
                <w:szCs w:val="20"/>
                <w:color w:val="auto"/>
              </w:rPr>
            </w:pPr>
            <w:r>
              <w:rPr>
                <w:rFonts w:ascii="Arial" w:cs="Arial" w:eastAsia="Arial" w:hAnsi="Arial"/>
                <w:sz w:val="18"/>
                <w:szCs w:val="18"/>
                <w:color w:val="auto"/>
              </w:rPr>
              <w:t>240,674</w:t>
            </w:r>
          </w:p>
        </w:tc>
        <w:tc>
          <w:tcPr>
            <w:tcW w:w="160" w:type="dxa"/>
            <w:vAlign w:val="bottom"/>
          </w:tcPr>
          <w:p>
            <w:pPr>
              <w:spacing w:after="0"/>
              <w:rPr>
                <w:sz w:val="18"/>
                <w:szCs w:val="18"/>
                <w:color w:val="auto"/>
              </w:rPr>
            </w:pPr>
          </w:p>
        </w:tc>
        <w:tc>
          <w:tcPr>
            <w:tcW w:w="1000" w:type="dxa"/>
            <w:vAlign w:val="bottom"/>
          </w:tcPr>
          <w:p>
            <w:pPr>
              <w:jc w:val="right"/>
              <w:ind w:right="171"/>
              <w:spacing w:after="0"/>
              <w:rPr>
                <w:sz w:val="20"/>
                <w:szCs w:val="20"/>
                <w:color w:val="auto"/>
              </w:rPr>
            </w:pPr>
            <w:r>
              <w:rPr>
                <w:rFonts w:ascii="Arial" w:cs="Arial" w:eastAsia="Arial" w:hAnsi="Arial"/>
                <w:sz w:val="18"/>
                <w:szCs w:val="18"/>
                <w:color w:val="auto"/>
              </w:rPr>
              <w:t>197,853</w:t>
            </w:r>
          </w:p>
        </w:tc>
        <w:tc>
          <w:tcPr>
            <w:tcW w:w="160" w:type="dxa"/>
            <w:vAlign w:val="bottom"/>
          </w:tcPr>
          <w:p>
            <w:pPr>
              <w:spacing w:after="0"/>
              <w:rPr>
                <w:sz w:val="18"/>
                <w:szCs w:val="18"/>
                <w:color w:val="auto"/>
              </w:rPr>
            </w:pPr>
          </w:p>
        </w:tc>
        <w:tc>
          <w:tcPr>
            <w:tcW w:w="1000" w:type="dxa"/>
            <w:vAlign w:val="bottom"/>
          </w:tcPr>
          <w:p>
            <w:pPr>
              <w:jc w:val="right"/>
              <w:ind w:right="171"/>
              <w:spacing w:after="0"/>
              <w:rPr>
                <w:sz w:val="20"/>
                <w:szCs w:val="20"/>
                <w:color w:val="auto"/>
              </w:rPr>
            </w:pPr>
            <w:r>
              <w:rPr>
                <w:rFonts w:ascii="Arial" w:cs="Arial" w:eastAsia="Arial" w:hAnsi="Arial"/>
                <w:sz w:val="18"/>
                <w:szCs w:val="18"/>
                <w:color w:val="auto"/>
              </w:rPr>
              <w:t>176,007</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160,671</w:t>
            </w:r>
          </w:p>
        </w:tc>
        <w:tc>
          <w:tcPr>
            <w:tcW w:w="16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0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8"/>
              </w:rPr>
              <w:t>Net earnings attributable to controlling</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246,778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179,650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148,598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119,512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101,179</w:t>
            </w:r>
          </w:p>
        </w:tc>
        <w:tc>
          <w:tcPr>
            <w:tcW w:w="16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tcPr>
          <w:p>
            <w:pPr>
              <w:spacing w:after="0"/>
              <w:rPr>
                <w:sz w:val="20"/>
                <w:szCs w:val="20"/>
                <w:color w:val="auto"/>
              </w:rPr>
            </w:pPr>
            <w:r>
              <w:rPr>
                <w:rFonts w:ascii="Arial" w:cs="Arial" w:eastAsia="Arial" w:hAnsi="Arial"/>
                <w:sz w:val="18"/>
                <w:szCs w:val="18"/>
                <w:color w:val="auto"/>
              </w:rPr>
              <w:t>Diluted earnings per share</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51"/>
              <w:spacing w:after="0"/>
              <w:rPr>
                <w:sz w:val="20"/>
                <w:szCs w:val="20"/>
                <w:color w:val="auto"/>
              </w:rPr>
            </w:pPr>
            <w:r>
              <w:rPr>
                <w:rFonts w:ascii="Arial" w:cs="Arial" w:eastAsia="Arial" w:hAnsi="Arial"/>
                <w:sz w:val="18"/>
                <w:szCs w:val="18"/>
                <w:color w:val="auto"/>
              </w:rPr>
              <w:t>4.00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71"/>
              <w:spacing w:after="0"/>
              <w:rPr>
                <w:sz w:val="20"/>
                <w:szCs w:val="20"/>
                <w:color w:val="auto"/>
              </w:rPr>
            </w:pPr>
            <w:r>
              <w:rPr>
                <w:rFonts w:ascii="Arial" w:cs="Arial" w:eastAsia="Arial" w:hAnsi="Arial"/>
                <w:sz w:val="18"/>
                <w:szCs w:val="18"/>
                <w:color w:val="auto"/>
              </w:rPr>
              <w:t>2.91</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71"/>
              <w:spacing w:after="0"/>
              <w:rPr>
                <w:sz w:val="20"/>
                <w:szCs w:val="20"/>
                <w:color w:val="auto"/>
              </w:rPr>
            </w:pPr>
            <w:r>
              <w:rPr>
                <w:rFonts w:ascii="Arial" w:cs="Arial" w:eastAsia="Arial" w:hAnsi="Arial"/>
                <w:sz w:val="18"/>
                <w:szCs w:val="18"/>
                <w:color w:val="auto"/>
              </w:rPr>
              <w:t>2.40</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71"/>
              <w:spacing w:after="0"/>
              <w:rPr>
                <w:sz w:val="20"/>
                <w:szCs w:val="20"/>
                <w:color w:val="auto"/>
              </w:rPr>
            </w:pPr>
            <w:r>
              <w:rPr>
                <w:rFonts w:ascii="Arial" w:cs="Arial" w:eastAsia="Arial" w:hAnsi="Arial"/>
                <w:sz w:val="18"/>
                <w:szCs w:val="18"/>
                <w:color w:val="auto"/>
              </w:rPr>
              <w:t>1.94</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1.65</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 per share</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0.50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0.40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0.36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0.32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tcPr>
          <w:p>
            <w:pPr>
              <w:spacing w:after="0"/>
              <w:rPr>
                <w:sz w:val="20"/>
                <w:szCs w:val="20"/>
                <w:color w:val="auto"/>
              </w:rPr>
            </w:pPr>
            <w:r>
              <w:rPr>
                <w:rFonts w:ascii="Arial" w:cs="Arial" w:eastAsia="Arial" w:hAnsi="Arial"/>
                <w:sz w:val="18"/>
                <w:szCs w:val="18"/>
                <w:b w:val="1"/>
                <w:bCs w:val="1"/>
                <w:color w:val="auto"/>
              </w:rPr>
              <w:t>Consolidated Balance Sheet Data</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Working capital</w:t>
            </w:r>
            <w:r>
              <w:rPr>
                <w:rFonts w:ascii="Arial" w:cs="Arial" w:eastAsia="Arial" w:hAnsi="Arial"/>
                <w:sz w:val="25"/>
                <w:szCs w:val="25"/>
                <w:color w:val="auto"/>
                <w:vertAlign w:val="superscript"/>
              </w:rPr>
              <w:t>(1)</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89"/>
              </w:rPr>
              <w:t>1,074,613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739,030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685,108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560,241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484,661</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151"/>
              <w:spacing w:after="0"/>
              <w:rPr>
                <w:sz w:val="20"/>
                <w:szCs w:val="20"/>
                <w:color w:val="auto"/>
              </w:rPr>
            </w:pPr>
            <w:r>
              <w:rPr>
                <w:rFonts w:ascii="Arial" w:cs="Arial" w:eastAsia="Arial" w:hAnsi="Arial"/>
                <w:sz w:val="18"/>
                <w:szCs w:val="18"/>
                <w:color w:val="auto"/>
                <w:w w:val="89"/>
              </w:rPr>
              <w:t>2,404,891</w:t>
            </w:r>
          </w:p>
        </w:tc>
        <w:tc>
          <w:tcPr>
            <w:tcW w:w="180" w:type="dxa"/>
            <w:vAlign w:val="bottom"/>
          </w:tcPr>
          <w:p>
            <w:pPr>
              <w:spacing w:after="0"/>
              <w:rPr>
                <w:sz w:val="18"/>
                <w:szCs w:val="18"/>
                <w:color w:val="auto"/>
              </w:rPr>
            </w:pPr>
          </w:p>
        </w:tc>
        <w:tc>
          <w:tcPr>
            <w:tcW w:w="1000" w:type="dxa"/>
            <w:vAlign w:val="bottom"/>
          </w:tcPr>
          <w:p>
            <w:pPr>
              <w:jc w:val="right"/>
              <w:ind w:right="171"/>
              <w:spacing w:after="0"/>
              <w:rPr>
                <w:sz w:val="20"/>
                <w:szCs w:val="20"/>
                <w:color w:val="auto"/>
              </w:rPr>
            </w:pPr>
            <w:r>
              <w:rPr>
                <w:rFonts w:ascii="Arial" w:cs="Arial" w:eastAsia="Arial" w:hAnsi="Arial"/>
                <w:sz w:val="18"/>
                <w:szCs w:val="18"/>
                <w:color w:val="auto"/>
                <w:w w:val="89"/>
              </w:rPr>
              <w:t>1,889,477</w:t>
            </w:r>
          </w:p>
        </w:tc>
        <w:tc>
          <w:tcPr>
            <w:tcW w:w="160" w:type="dxa"/>
            <w:vAlign w:val="bottom"/>
          </w:tcPr>
          <w:p>
            <w:pPr>
              <w:spacing w:after="0"/>
              <w:rPr>
                <w:sz w:val="18"/>
                <w:szCs w:val="18"/>
                <w:color w:val="auto"/>
              </w:rPr>
            </w:pPr>
          </w:p>
        </w:tc>
        <w:tc>
          <w:tcPr>
            <w:tcW w:w="1000" w:type="dxa"/>
            <w:vAlign w:val="bottom"/>
          </w:tcPr>
          <w:p>
            <w:pPr>
              <w:jc w:val="right"/>
              <w:ind w:right="171"/>
              <w:spacing w:after="0"/>
              <w:rPr>
                <w:sz w:val="20"/>
                <w:szCs w:val="20"/>
                <w:color w:val="auto"/>
              </w:rPr>
            </w:pPr>
            <w:r>
              <w:rPr>
                <w:rFonts w:ascii="Arial" w:cs="Arial" w:eastAsia="Arial" w:hAnsi="Arial"/>
                <w:sz w:val="18"/>
                <w:szCs w:val="18"/>
                <w:color w:val="auto"/>
                <w:w w:val="89"/>
              </w:rPr>
              <w:t>1,647,548</w:t>
            </w:r>
          </w:p>
        </w:tc>
        <w:tc>
          <w:tcPr>
            <w:tcW w:w="160" w:type="dxa"/>
            <w:vAlign w:val="bottom"/>
          </w:tcPr>
          <w:p>
            <w:pPr>
              <w:spacing w:after="0"/>
              <w:rPr>
                <w:sz w:val="18"/>
                <w:szCs w:val="18"/>
                <w:color w:val="auto"/>
              </w:rPr>
            </w:pPr>
          </w:p>
        </w:tc>
        <w:tc>
          <w:tcPr>
            <w:tcW w:w="1000" w:type="dxa"/>
            <w:vAlign w:val="bottom"/>
          </w:tcPr>
          <w:p>
            <w:pPr>
              <w:jc w:val="right"/>
              <w:ind w:right="171"/>
              <w:spacing w:after="0"/>
              <w:rPr>
                <w:sz w:val="20"/>
                <w:szCs w:val="20"/>
                <w:color w:val="auto"/>
              </w:rPr>
            </w:pPr>
            <w:r>
              <w:rPr>
                <w:rFonts w:ascii="Arial" w:cs="Arial" w:eastAsia="Arial" w:hAnsi="Arial"/>
                <w:sz w:val="18"/>
                <w:szCs w:val="18"/>
                <w:color w:val="auto"/>
                <w:w w:val="89"/>
              </w:rPr>
              <w:t>1,464,677</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2"/>
              </w:rPr>
              <w:t>1,292,058</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debt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311,707</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163,683</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202,278</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146,003</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111,693</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151"/>
              <w:spacing w:after="0"/>
              <w:rPr>
                <w:sz w:val="20"/>
                <w:szCs w:val="20"/>
                <w:color w:val="auto"/>
              </w:rPr>
            </w:pPr>
            <w:r>
              <w:rPr>
                <w:rFonts w:ascii="Arial" w:cs="Arial" w:eastAsia="Arial" w:hAnsi="Arial"/>
                <w:sz w:val="18"/>
                <w:szCs w:val="18"/>
                <w:color w:val="auto"/>
                <w:w w:val="89"/>
              </w:rPr>
              <w:t>1,483,152</w:t>
            </w:r>
          </w:p>
        </w:tc>
        <w:tc>
          <w:tcPr>
            <w:tcW w:w="180" w:type="dxa"/>
            <w:vAlign w:val="bottom"/>
          </w:tcPr>
          <w:p>
            <w:pPr>
              <w:spacing w:after="0"/>
              <w:rPr>
                <w:sz w:val="18"/>
                <w:szCs w:val="18"/>
                <w:color w:val="auto"/>
              </w:rPr>
            </w:pPr>
          </w:p>
        </w:tc>
        <w:tc>
          <w:tcPr>
            <w:tcW w:w="1000" w:type="dxa"/>
            <w:vAlign w:val="bottom"/>
          </w:tcPr>
          <w:p>
            <w:pPr>
              <w:jc w:val="right"/>
              <w:ind w:right="171"/>
              <w:spacing w:after="0"/>
              <w:rPr>
                <w:sz w:val="20"/>
                <w:szCs w:val="20"/>
                <w:color w:val="auto"/>
              </w:rPr>
            </w:pPr>
            <w:r>
              <w:rPr>
                <w:rFonts w:ascii="Arial" w:cs="Arial" w:eastAsia="Arial" w:hAnsi="Arial"/>
                <w:sz w:val="18"/>
                <w:szCs w:val="18"/>
                <w:color w:val="auto"/>
                <w:w w:val="89"/>
              </w:rPr>
              <w:t>1,257,733</w:t>
            </w:r>
          </w:p>
        </w:tc>
        <w:tc>
          <w:tcPr>
            <w:tcW w:w="160" w:type="dxa"/>
            <w:vAlign w:val="bottom"/>
          </w:tcPr>
          <w:p>
            <w:pPr>
              <w:spacing w:after="0"/>
              <w:rPr>
                <w:sz w:val="18"/>
                <w:szCs w:val="18"/>
                <w:color w:val="auto"/>
              </w:rPr>
            </w:pPr>
          </w:p>
        </w:tc>
        <w:tc>
          <w:tcPr>
            <w:tcW w:w="1000" w:type="dxa"/>
            <w:vAlign w:val="bottom"/>
          </w:tcPr>
          <w:p>
            <w:pPr>
              <w:jc w:val="right"/>
              <w:ind w:right="171"/>
              <w:spacing w:after="0"/>
              <w:rPr>
                <w:sz w:val="20"/>
                <w:szCs w:val="20"/>
                <w:color w:val="auto"/>
              </w:rPr>
            </w:pPr>
            <w:r>
              <w:rPr>
                <w:rFonts w:ascii="Arial" w:cs="Arial" w:eastAsia="Arial" w:hAnsi="Arial"/>
                <w:sz w:val="18"/>
                <w:szCs w:val="18"/>
                <w:color w:val="auto"/>
                <w:w w:val="89"/>
              </w:rPr>
              <w:t>1,088,684</w:t>
            </w:r>
          </w:p>
        </w:tc>
        <w:tc>
          <w:tcPr>
            <w:tcW w:w="160" w:type="dxa"/>
            <w:vAlign w:val="bottom"/>
          </w:tcPr>
          <w:p>
            <w:pPr>
              <w:spacing w:after="0"/>
              <w:rPr>
                <w:sz w:val="18"/>
                <w:szCs w:val="18"/>
                <w:color w:val="auto"/>
              </w:rPr>
            </w:pPr>
          </w:p>
        </w:tc>
        <w:tc>
          <w:tcPr>
            <w:tcW w:w="1000" w:type="dxa"/>
            <w:vAlign w:val="bottom"/>
          </w:tcPr>
          <w:p>
            <w:pPr>
              <w:jc w:val="right"/>
              <w:ind w:right="171"/>
              <w:spacing w:after="0"/>
              <w:rPr>
                <w:sz w:val="20"/>
                <w:szCs w:val="20"/>
                <w:color w:val="auto"/>
              </w:rPr>
            </w:pPr>
            <w:r>
              <w:rPr>
                <w:rFonts w:ascii="Arial" w:cs="Arial" w:eastAsia="Arial" w:hAnsi="Arial"/>
                <w:sz w:val="18"/>
                <w:szCs w:val="18"/>
                <w:color w:val="auto"/>
              </w:rPr>
              <w:t>974,023</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860,466</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Statistics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tcPr>
          <w:p>
            <w:pPr>
              <w:spacing w:after="0"/>
              <w:rPr>
                <w:sz w:val="20"/>
                <w:szCs w:val="20"/>
                <w:color w:val="auto"/>
              </w:rPr>
            </w:pPr>
            <w:r>
              <w:rPr>
                <w:rFonts w:ascii="Arial" w:cs="Arial" w:eastAsia="Arial" w:hAnsi="Arial"/>
                <w:sz w:val="18"/>
                <w:szCs w:val="18"/>
                <w:color w:val="auto"/>
                <w:w w:val="91"/>
              </w:rPr>
              <w:t>Gross profit as a percentage of net sales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15.5 %</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15.5 %</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13.2 %</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13.8 %</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14.6 %</w:t>
            </w:r>
          </w:p>
        </w:tc>
      </w:tr>
      <w:tr>
        <w:trPr>
          <w:trHeight w:val="202"/>
        </w:trPr>
        <w:tc>
          <w:tcPr>
            <w:tcW w:w="20" w:type="dxa"/>
            <w:vAlign w:val="bottom"/>
          </w:tcPr>
          <w:p>
            <w:pPr>
              <w:spacing w:after="0"/>
              <w:rPr>
                <w:sz w:val="17"/>
                <w:szCs w:val="17"/>
                <w:color w:val="auto"/>
              </w:rPr>
            </w:pPr>
          </w:p>
        </w:tc>
        <w:tc>
          <w:tcPr>
            <w:tcW w:w="30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8"/>
              </w:rPr>
              <w:t>Net earnings attributable to controlling</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as a percentage of net sales</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4.8 %</w:t>
            </w: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4.1 %</w:t>
            </w: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3.1 %</w:t>
            </w:r>
          </w:p>
        </w:tc>
      </w:tr>
      <w:tr>
        <w:trPr>
          <w:trHeight w:val="216"/>
        </w:trPr>
        <w:tc>
          <w:tcPr>
            <w:tcW w:w="20" w:type="dxa"/>
            <w:vAlign w:val="bottom"/>
          </w:tcPr>
          <w:p>
            <w:pPr>
              <w:spacing w:after="0"/>
              <w:rPr>
                <w:sz w:val="18"/>
                <w:szCs w:val="18"/>
                <w:color w:val="auto"/>
              </w:rPr>
            </w:pPr>
          </w:p>
        </w:tc>
        <w:tc>
          <w:tcPr>
            <w:tcW w:w="3000" w:type="dxa"/>
            <w:vAlign w:val="bottom"/>
            <w:gridSpan w:val="2"/>
          </w:tcPr>
          <w:p>
            <w:pPr>
              <w:spacing w:after="0" w:line="216" w:lineRule="exact"/>
              <w:rPr>
                <w:sz w:val="20"/>
                <w:szCs w:val="20"/>
                <w:color w:val="auto"/>
              </w:rPr>
            </w:pPr>
            <w:r>
              <w:rPr>
                <w:rFonts w:ascii="Arial" w:cs="Arial" w:eastAsia="Arial" w:hAnsi="Arial"/>
                <w:sz w:val="17"/>
                <w:szCs w:val="17"/>
                <w:color w:val="auto"/>
              </w:rPr>
              <w:t>Return on beginning equity</w:t>
            </w:r>
            <w:r>
              <w:rPr>
                <w:rFonts w:ascii="Arial" w:cs="Arial" w:eastAsia="Arial" w:hAnsi="Arial"/>
                <w:sz w:val="25"/>
                <w:szCs w:val="25"/>
                <w:color w:val="auto"/>
                <w:vertAlign w:val="superscript"/>
              </w:rPr>
              <w:t>(2)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19.6 %</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16.5 %</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15.3 %</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13.9 %</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13.2 %</w:t>
            </w:r>
          </w:p>
        </w:tc>
      </w:tr>
      <w:tr>
        <w:trPr>
          <w:trHeight w:val="216"/>
        </w:trPr>
        <w:tc>
          <w:tcPr>
            <w:tcW w:w="20" w:type="dxa"/>
            <w:vAlign w:val="bottom"/>
          </w:tcPr>
          <w:p>
            <w:pPr>
              <w:spacing w:after="0"/>
              <w:rPr>
                <w:sz w:val="18"/>
                <w:szCs w:val="18"/>
                <w:color w:val="auto"/>
              </w:rPr>
            </w:pPr>
          </w:p>
        </w:tc>
        <w:tc>
          <w:tcPr>
            <w:tcW w:w="300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Current ratio</w:t>
            </w:r>
            <w:r>
              <w:rPr>
                <w:rFonts w:ascii="Arial" w:cs="Arial" w:eastAsia="Arial" w:hAnsi="Arial"/>
                <w:sz w:val="25"/>
                <w:szCs w:val="25"/>
                <w:color w:val="auto"/>
                <w:vertAlign w:val="superscript"/>
              </w:rPr>
              <w:t>(4)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3.32</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3.09</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3.21</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2.85</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tcPr>
          <w:p>
            <w:pPr>
              <w:spacing w:after="0" w:line="216" w:lineRule="exact"/>
              <w:rPr>
                <w:sz w:val="20"/>
                <w:szCs w:val="20"/>
                <w:color w:val="auto"/>
              </w:rPr>
            </w:pPr>
            <w:r>
              <w:rPr>
                <w:rFonts w:ascii="Arial" w:cs="Arial" w:eastAsia="Arial" w:hAnsi="Arial"/>
                <w:sz w:val="17"/>
                <w:szCs w:val="17"/>
                <w:color w:val="auto"/>
              </w:rPr>
              <w:t>Debt to equity ratio</w:t>
            </w:r>
            <w:r>
              <w:rPr>
                <w:rFonts w:ascii="Arial" w:cs="Arial" w:eastAsia="Arial" w:hAnsi="Arial"/>
                <w:sz w:val="25"/>
                <w:szCs w:val="25"/>
                <w:color w:val="auto"/>
                <w:vertAlign w:val="superscript"/>
              </w:rPr>
              <w:t>(5)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151"/>
              <w:spacing w:after="0"/>
              <w:rPr>
                <w:sz w:val="20"/>
                <w:szCs w:val="20"/>
                <w:color w:val="auto"/>
              </w:rPr>
            </w:pPr>
            <w:r>
              <w:rPr>
                <w:rFonts w:ascii="Arial" w:cs="Arial" w:eastAsia="Arial" w:hAnsi="Arial"/>
                <w:sz w:val="18"/>
                <w:szCs w:val="18"/>
                <w:color w:val="auto"/>
              </w:rPr>
              <w:t>0.21</w:t>
            </w:r>
          </w:p>
        </w:tc>
        <w:tc>
          <w:tcPr>
            <w:tcW w:w="180" w:type="dxa"/>
            <w:vAlign w:val="bottom"/>
          </w:tcPr>
          <w:p>
            <w:pPr>
              <w:spacing w:after="0"/>
              <w:rPr>
                <w:sz w:val="18"/>
                <w:szCs w:val="18"/>
                <w:color w:val="auto"/>
              </w:rPr>
            </w:pPr>
          </w:p>
        </w:tc>
        <w:tc>
          <w:tcPr>
            <w:tcW w:w="1000" w:type="dxa"/>
            <w:vAlign w:val="bottom"/>
          </w:tcPr>
          <w:p>
            <w:pPr>
              <w:jc w:val="right"/>
              <w:ind w:right="171"/>
              <w:spacing w:after="0"/>
              <w:rPr>
                <w:sz w:val="20"/>
                <w:szCs w:val="20"/>
                <w:color w:val="auto"/>
              </w:rPr>
            </w:pPr>
            <w:r>
              <w:rPr>
                <w:rFonts w:ascii="Arial" w:cs="Arial" w:eastAsia="Arial" w:hAnsi="Arial"/>
                <w:sz w:val="18"/>
                <w:szCs w:val="18"/>
                <w:color w:val="auto"/>
              </w:rPr>
              <w:t>0.13</w:t>
            </w:r>
          </w:p>
        </w:tc>
        <w:tc>
          <w:tcPr>
            <w:tcW w:w="160" w:type="dxa"/>
            <w:vAlign w:val="bottom"/>
          </w:tcPr>
          <w:p>
            <w:pPr>
              <w:spacing w:after="0"/>
              <w:rPr>
                <w:sz w:val="18"/>
                <w:szCs w:val="18"/>
                <w:color w:val="auto"/>
              </w:rPr>
            </w:pPr>
          </w:p>
        </w:tc>
        <w:tc>
          <w:tcPr>
            <w:tcW w:w="1000" w:type="dxa"/>
            <w:vAlign w:val="bottom"/>
          </w:tcPr>
          <w:p>
            <w:pPr>
              <w:jc w:val="right"/>
              <w:ind w:right="171"/>
              <w:spacing w:after="0"/>
              <w:rPr>
                <w:sz w:val="20"/>
                <w:szCs w:val="20"/>
                <w:color w:val="auto"/>
              </w:rPr>
            </w:pPr>
            <w:r>
              <w:rPr>
                <w:rFonts w:ascii="Arial" w:cs="Arial" w:eastAsia="Arial" w:hAnsi="Arial"/>
                <w:sz w:val="18"/>
                <w:szCs w:val="18"/>
                <w:color w:val="auto"/>
              </w:rPr>
              <w:t>0.19</w:t>
            </w:r>
          </w:p>
        </w:tc>
        <w:tc>
          <w:tcPr>
            <w:tcW w:w="160" w:type="dxa"/>
            <w:vAlign w:val="bottom"/>
          </w:tcPr>
          <w:p>
            <w:pPr>
              <w:spacing w:after="0"/>
              <w:rPr>
                <w:sz w:val="18"/>
                <w:szCs w:val="18"/>
                <w:color w:val="auto"/>
              </w:rPr>
            </w:pPr>
          </w:p>
        </w:tc>
        <w:tc>
          <w:tcPr>
            <w:tcW w:w="1000" w:type="dxa"/>
            <w:vAlign w:val="bottom"/>
          </w:tcPr>
          <w:p>
            <w:pPr>
              <w:jc w:val="right"/>
              <w:ind w:right="171"/>
              <w:spacing w:after="0"/>
              <w:rPr>
                <w:sz w:val="20"/>
                <w:szCs w:val="20"/>
                <w:color w:val="auto"/>
              </w:rPr>
            </w:pPr>
            <w:r>
              <w:rPr>
                <w:rFonts w:ascii="Arial" w:cs="Arial" w:eastAsia="Arial" w:hAnsi="Arial"/>
                <w:sz w:val="18"/>
                <w:szCs w:val="18"/>
                <w:color w:val="auto"/>
              </w:rPr>
              <w:t>0.15</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0.13</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Book value per common share</w:t>
            </w:r>
            <w:r>
              <w:rPr>
                <w:rFonts w:ascii="Arial" w:cs="Arial" w:eastAsia="Arial" w:hAnsi="Arial"/>
                <w:sz w:val="25"/>
                <w:szCs w:val="25"/>
                <w:color w:val="auto"/>
                <w:vertAlign w:val="superscript"/>
              </w:rPr>
              <w:t>(3)</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24.23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20.48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17.88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15.92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w:t>
            </w:r>
          </w:p>
        </w:tc>
        <w:tc>
          <w:tcPr>
            <w:tcW w:w="160" w:type="dxa"/>
            <w:vAlign w:val="bottom"/>
            <w:shd w:val="clear" w:color="auto" w:fill="CCEEFF"/>
          </w:tcPr>
          <w:p>
            <w:pPr>
              <w:spacing w:after="0"/>
              <w:rPr>
                <w:sz w:val="18"/>
                <w:szCs w:val="18"/>
                <w:color w:val="auto"/>
              </w:rPr>
            </w:pPr>
          </w:p>
        </w:tc>
      </w:tr>
      <w:tr>
        <w:trPr>
          <w:trHeight w:val="115"/>
        </w:trPr>
        <w:tc>
          <w:tcPr>
            <w:tcW w:w="2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r>
    </w:tbl>
    <w:p>
      <w:pPr>
        <w:spacing w:after="0" w:line="67" w:lineRule="exact"/>
        <w:rPr>
          <w:sz w:val="20"/>
          <w:szCs w:val="20"/>
          <w:color w:val="auto"/>
        </w:rPr>
      </w:pPr>
    </w:p>
    <w:p>
      <w:pPr>
        <w:ind w:left="380" w:hanging="330"/>
        <w:spacing w:after="0"/>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Current assets less current liabilities.</w:t>
      </w:r>
    </w:p>
    <w:p>
      <w:pPr>
        <w:spacing w:after="0" w:line="23" w:lineRule="exact"/>
        <w:rPr>
          <w:rFonts w:ascii="Arial" w:cs="Arial" w:eastAsia="Arial" w:hAnsi="Arial"/>
          <w:sz w:val="18"/>
          <w:szCs w:val="18"/>
          <w:color w:val="auto"/>
        </w:rPr>
      </w:pPr>
    </w:p>
    <w:p>
      <w:pPr>
        <w:ind w:left="380" w:hanging="330"/>
        <w:spacing w:after="0"/>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Net earnings attributable to controlling interest divided by beginning shareholders’ equity.</w:t>
      </w:r>
    </w:p>
    <w:p>
      <w:pPr>
        <w:spacing w:after="0" w:line="9" w:lineRule="exact"/>
        <w:rPr>
          <w:rFonts w:ascii="Arial" w:cs="Arial" w:eastAsia="Arial" w:hAnsi="Arial"/>
          <w:sz w:val="18"/>
          <w:szCs w:val="18"/>
          <w:color w:val="auto"/>
        </w:rPr>
      </w:pPr>
    </w:p>
    <w:p>
      <w:pPr>
        <w:ind w:left="380" w:hanging="330"/>
        <w:spacing w:after="0"/>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Shareholders’ equity divided by common stock outstanding.</w:t>
      </w:r>
    </w:p>
    <w:p>
      <w:pPr>
        <w:spacing w:after="0" w:line="9" w:lineRule="exact"/>
        <w:rPr>
          <w:rFonts w:ascii="Arial" w:cs="Arial" w:eastAsia="Arial" w:hAnsi="Arial"/>
          <w:sz w:val="18"/>
          <w:szCs w:val="18"/>
          <w:color w:val="auto"/>
        </w:rPr>
      </w:pPr>
    </w:p>
    <w:p>
      <w:pPr>
        <w:ind w:left="380" w:hanging="330"/>
        <w:spacing w:after="0"/>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Current assets divided by current liabilities.</w:t>
      </w:r>
    </w:p>
    <w:p>
      <w:pPr>
        <w:spacing w:after="0" w:line="9" w:lineRule="exact"/>
        <w:rPr>
          <w:rFonts w:ascii="Arial" w:cs="Arial" w:eastAsia="Arial" w:hAnsi="Arial"/>
          <w:sz w:val="18"/>
          <w:szCs w:val="18"/>
          <w:color w:val="auto"/>
        </w:rPr>
      </w:pPr>
    </w:p>
    <w:p>
      <w:pPr>
        <w:ind w:left="380" w:hanging="330"/>
        <w:spacing w:after="0"/>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Total debt divided by shareholders’ equity.</w:t>
      </w:r>
    </w:p>
    <w:p>
      <w:pPr>
        <w:spacing w:after="0" w:line="211" w:lineRule="exact"/>
        <w:rPr>
          <w:sz w:val="20"/>
          <w:szCs w:val="20"/>
          <w:color w:val="auto"/>
        </w:rPr>
      </w:pPr>
    </w:p>
    <w:p>
      <w:pPr>
        <w:ind w:left="60" w:right="479"/>
        <w:spacing w:after="0" w:line="286" w:lineRule="auto"/>
        <w:rPr>
          <w:sz w:val="20"/>
          <w:szCs w:val="20"/>
          <w:color w:val="auto"/>
        </w:rPr>
      </w:pPr>
      <w:r>
        <w:rPr>
          <w:rFonts w:ascii="Arial" w:cs="Arial" w:eastAsia="Arial" w:hAnsi="Arial"/>
          <w:sz w:val="17"/>
          <w:szCs w:val="17"/>
          <w:color w:val="auto"/>
        </w:rPr>
        <w:t>Acquisition growth is one of the primary contributing factors to material increases over the period from 2016 to 2020. Refer to Note C under the “Notes to the Consolidated Financial Statements” for further discussion on our business combinations and impact on our financial statements for the three years ended December 26, 2020.</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1" w:name="page72"/>
    <w:bookmarkEnd w:id="7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UFP INDUSTRIES, INC.</w:t>
      </w:r>
    </w:p>
    <w:p>
      <w:pPr>
        <w:spacing w:after="0" w:line="50"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24"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UFP Industries, Inc. is a holding company with subsidiaries throughout North America, Europe, Asia, and Australia that supply manufactured products made from wood, wood and non-wood composites, and other materials to three markets: retail, industrial, and construction. We are headquartered in Grand Rapids, Mich. For more information about UFP Industries, Inc., or its affiliated operations, go to www.ufpi.com.</w:t>
      </w:r>
    </w:p>
    <w:p>
      <w:pPr>
        <w:spacing w:after="0" w:line="187"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This report contains forward-looking statements within the meaning of Section 21E of the Securities Exchange Act, as amended, that are based on management’s beliefs, assumptions, current expectations, estimates and projections about the markets we serve, the economy and the Company itself. Words like “anticipates,” “believes,” “confident,” “estimates,” “expects,” “forecasts,” “likely,” “plans,” “projects,” “should,” variations of such words, and similar expressions identify such forward-looking statements. These statements do not guarantee future performance and involve certain risks, uncertainties and assumptions that are difficult to predict with regard to timing, extent, likelihood and degree of occurrence. We do not undertake to update forward-looking statements to reflect facts, circumstances, events, or assumptions that occur after the date the forward-looking statements are made. Actual results could differ materially from those included in such forward-looking statements. Investors are cautioned that all forward-looking statements involve risks and uncertainty. Among the factors that could cause actual results to differ materially from forward-looking statements are the following: fluctuations in the price of lumber; adverse or unusual weather conditions; adverse economic conditions in the markets we serve; government regulations, particularly involving environmental and safety regulations, the COVID-19 pandemic (“pandemic”); and our ability to make successful business acquisitions. Certain of these risk factors as well as other risk factors and additional information are included in our reports on Form 10-K and 10-Q on file with the Securities and Exchange Commission. We are pleased to present this overview of 2020.</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OVERVIEW</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results for 2020 were impacted by the following:</w:t>
      </w:r>
    </w:p>
    <w:p>
      <w:pPr>
        <w:spacing w:after="0" w:line="225" w:lineRule="exact"/>
        <w:rPr>
          <w:sz w:val="20"/>
          <w:szCs w:val="20"/>
          <w:color w:val="auto"/>
        </w:rPr>
      </w:pPr>
    </w:p>
    <w:p>
      <w:pPr>
        <w:jc w:val="both"/>
        <w:ind w:left="720" w:right="79" w:hanging="319"/>
        <w:spacing w:after="0" w:line="270" w:lineRule="auto"/>
        <w:tabs>
          <w:tab w:leader="none" w:pos="7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net sales increased almost 17% in 2020 due to an 11% increase in our overall selling prices (see “Historical Lumber Prices”) and a 6% increase in our unit sales. The unit sales of our retail segment increased 25% due to an increase in consumer demand and home improvement activities. We believe that this increase is largely attributable to the impact of the pandemic on consumer behavior. This increase was offset by our industrial and construction segments, which both declined 6% as our customers in these segments were adversely impacted by the government-imposed shutdowns resulting from the pandemic. As of the end of the year, each of our industrial and construction segments (except for the commercial business unit within our construction segment) have experienced recent positive trends as the U.S. economy has recovered from the initial shutdowns due to the pandemic.</w:t>
      </w:r>
    </w:p>
    <w:p>
      <w:pPr>
        <w:spacing w:after="0" w:line="180" w:lineRule="exact"/>
        <w:rPr>
          <w:rFonts w:ascii="Arial" w:cs="Arial" w:eastAsia="Arial" w:hAnsi="Arial"/>
          <w:sz w:val="17"/>
          <w:szCs w:val="17"/>
          <w:color w:val="auto"/>
        </w:rPr>
      </w:pPr>
    </w:p>
    <w:p>
      <w:pPr>
        <w:jc w:val="both"/>
        <w:ind w:left="720" w:right="79" w:hanging="319"/>
        <w:spacing w:after="0" w:line="296" w:lineRule="auto"/>
        <w:tabs>
          <w:tab w:leader="none" w:pos="7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Earnings from operations increased 41% to $345.8 million. The improvement in our profitability was driven by a number of factors, including strong organic growth in our retail segment while effectively leveraging fixed costs, and the favorable impact of rising lumber prices on the selling prices of commodity-based products such as our ProWood pressure-treated products which are sold on a variable price formula tied to the Lumber Market. See Historical Lumber Prices and Impact of the Lumber Market on Our Operating Results below.</w:t>
      </w:r>
    </w:p>
    <w:p>
      <w:pPr>
        <w:spacing w:after="0" w:line="161" w:lineRule="exact"/>
        <w:rPr>
          <w:rFonts w:ascii="Arial" w:cs="Arial" w:eastAsia="Arial" w:hAnsi="Arial"/>
          <w:sz w:val="16"/>
          <w:szCs w:val="16"/>
          <w:color w:val="auto"/>
        </w:rPr>
      </w:pPr>
    </w:p>
    <w:p>
      <w:pPr>
        <w:jc w:val="both"/>
        <w:ind w:left="720" w:right="79" w:hanging="319"/>
        <w:spacing w:after="0" w:line="301" w:lineRule="auto"/>
        <w:tabs>
          <w:tab w:leader="none" w:pos="7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Our cash flow from operating activities decreased by $13 million and was attributable to an $80 million increase in our net earnings and non-cash expenses, offset by a $93 million increase in our investment in net working capital (see “Liquidity and Capital Resources”). The increase in net working capital was a result of unusually high lumber prices and retail market demand, which drove increases in our accounts receivable and inventory.</w:t>
      </w:r>
    </w:p>
    <w:p>
      <w:pPr>
        <w:spacing w:after="0" w:line="157" w:lineRule="exact"/>
        <w:rPr>
          <w:rFonts w:ascii="Arial" w:cs="Arial" w:eastAsia="Arial" w:hAnsi="Arial"/>
          <w:sz w:val="16"/>
          <w:szCs w:val="16"/>
          <w:color w:val="auto"/>
        </w:rPr>
      </w:pPr>
    </w:p>
    <w:p>
      <w:pPr>
        <w:ind w:left="720" w:right="79" w:hanging="319"/>
        <w:spacing w:after="0" w:line="277" w:lineRule="auto"/>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invested $89.2 million in capital expenditures to support and grow our business and invested $65.3 million in acquired businesses.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2" w:name="page73"/>
    <w:bookmarkEnd w:id="7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UFP INDUSTRIES, INC.</w:t>
      </w:r>
    </w:p>
    <w:p>
      <w:pPr>
        <w:spacing w:after="0" w:line="50"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24" w:lineRule="exact"/>
        <w:rPr>
          <w:sz w:val="20"/>
          <w:szCs w:val="20"/>
          <w:color w:val="auto"/>
        </w:rPr>
      </w:pPr>
    </w:p>
    <w:p>
      <w:pPr>
        <w:ind w:left="720" w:hanging="319"/>
        <w:spacing w:after="0"/>
        <w:tabs>
          <w:tab w:leader="none" w:pos="7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We returned $30.7 million to our shareholders through dividends and $29.2 million through share repurchases.</w:t>
      </w:r>
    </w:p>
    <w:p>
      <w:pPr>
        <w:spacing w:after="0" w:line="248" w:lineRule="exact"/>
        <w:rPr>
          <w:rFonts w:ascii="Arial" w:cs="Arial" w:eastAsia="Arial" w:hAnsi="Arial"/>
          <w:sz w:val="16"/>
          <w:szCs w:val="16"/>
          <w:color w:val="auto"/>
        </w:rPr>
      </w:pPr>
    </w:p>
    <w:p>
      <w:pPr>
        <w:ind w:left="720" w:hanging="319"/>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cash surplus exceeded our debt by approximately $125 million.</w:t>
      </w:r>
    </w:p>
    <w:p>
      <w:pPr>
        <w:spacing w:after="0" w:line="225" w:lineRule="exact"/>
        <w:rPr>
          <w:rFonts w:ascii="Arial" w:cs="Arial" w:eastAsia="Arial" w:hAnsi="Arial"/>
          <w:sz w:val="18"/>
          <w:szCs w:val="18"/>
          <w:color w:val="auto"/>
        </w:rPr>
      </w:pPr>
    </w:p>
    <w:p>
      <w:pPr>
        <w:jc w:val="both"/>
        <w:ind w:left="720" w:right="79" w:hanging="319"/>
        <w:spacing w:after="0" w:line="259"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available borrowing capacity under revolving credit facilities and cash surplus resulted in total liquidity of approximately $800 million at the end of December 2020. In August of 2020 we issued $150 million of long-term debt to finance our future growth. The notes have an average maturity of 13 years and have an average fixed rate of interest of 3.09%.</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HISTORICAL LUMBER PRICES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presents the Random Lengths framing lumber composite price.</w:t>
      </w:r>
    </w:p>
    <w:p>
      <w:pPr>
        <w:spacing w:after="0" w:line="230" w:lineRule="exact"/>
        <w:rPr>
          <w:sz w:val="20"/>
          <w:szCs w:val="20"/>
          <w:color w:val="auto"/>
        </w:rPr>
      </w:pPr>
    </w:p>
    <w:p>
      <w:pPr>
        <w:jc w:val="center"/>
        <w:ind w:left="6580"/>
        <w:spacing w:after="0"/>
        <w:rPr>
          <w:sz w:val="20"/>
          <w:szCs w:val="20"/>
          <w:color w:val="auto"/>
        </w:rPr>
      </w:pPr>
      <w:r>
        <w:rPr>
          <w:rFonts w:ascii="Arial" w:cs="Arial" w:eastAsia="Arial" w:hAnsi="Arial"/>
          <w:sz w:val="14"/>
          <w:szCs w:val="14"/>
          <w:b w:val="1"/>
          <w:bCs w:val="1"/>
          <w:color w:val="auto"/>
        </w:rPr>
        <w:t>Random Lengths Composite</w:t>
      </w:r>
    </w:p>
    <w:p>
      <w:pPr>
        <w:jc w:val="center"/>
        <w:ind w:left="6580"/>
        <w:spacing w:after="0" w:line="236" w:lineRule="auto"/>
        <w:rPr>
          <w:sz w:val="20"/>
          <w:szCs w:val="20"/>
          <w:color w:val="auto"/>
        </w:rPr>
      </w:pPr>
      <w:r>
        <w:rPr>
          <w:rFonts w:ascii="Arial" w:cs="Arial" w:eastAsia="Arial" w:hAnsi="Arial"/>
          <w:sz w:val="14"/>
          <w:szCs w:val="14"/>
          <w:b w:val="1"/>
          <w:bCs w:val="1"/>
          <w:color w:val="auto"/>
        </w:rPr>
        <w:t>Average $/MBF</w:t>
      </w:r>
    </w:p>
    <w:tbl>
      <w:tblPr>
        <w:tblLayout w:type="fixed"/>
        <w:tblInd w:w="4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3140" w:type="dxa"/>
            <w:vAlign w:val="bottom"/>
            <w:tcBorders>
              <w:bottom w:val="single" w:sz="8" w:color="CCEEFF"/>
            </w:tcBorders>
          </w:tcPr>
          <w:p>
            <w:pPr>
              <w:spacing w:after="0"/>
              <w:rPr>
                <w:sz w:val="14"/>
                <w:szCs w:val="14"/>
                <w:color w:val="auto"/>
              </w:rPr>
            </w:pPr>
          </w:p>
        </w:tc>
        <w:tc>
          <w:tcPr>
            <w:tcW w:w="370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171"/>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CCEEFF"/>
            </w:tcBorders>
          </w:tcPr>
          <w:p>
            <w:pPr>
              <w:spacing w:after="0"/>
              <w:rPr>
                <w:sz w:val="14"/>
                <w:szCs w:val="14"/>
                <w:color w:val="auto"/>
              </w:rPr>
            </w:pPr>
          </w:p>
        </w:tc>
        <w:tc>
          <w:tcPr>
            <w:tcW w:w="40" w:type="dxa"/>
            <w:vAlign w:val="bottom"/>
            <w:tcBorders>
              <w:top w:val="single" w:sz="8" w:color="auto"/>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151"/>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January</w:t>
            </w:r>
          </w:p>
        </w:tc>
        <w:tc>
          <w:tcPr>
            <w:tcW w:w="37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February</w:t>
            </w:r>
          </w:p>
        </w:tc>
        <w:tc>
          <w:tcPr>
            <w:tcW w:w="3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402</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370</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March</w:t>
            </w:r>
          </w:p>
        </w:tc>
        <w:tc>
          <w:tcPr>
            <w:tcW w:w="3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April</w:t>
            </w:r>
          </w:p>
        </w:tc>
        <w:tc>
          <w:tcPr>
            <w:tcW w:w="3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358</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354</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May</w:t>
            </w:r>
          </w:p>
        </w:tc>
        <w:tc>
          <w:tcPr>
            <w:tcW w:w="3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June</w:t>
            </w:r>
          </w:p>
        </w:tc>
        <w:tc>
          <w:tcPr>
            <w:tcW w:w="3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455</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329</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July</w:t>
            </w:r>
          </w:p>
        </w:tc>
        <w:tc>
          <w:tcPr>
            <w:tcW w:w="3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August</w:t>
            </w:r>
          </w:p>
        </w:tc>
        <w:tc>
          <w:tcPr>
            <w:tcW w:w="3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716</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346</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September</w:t>
            </w:r>
          </w:p>
        </w:tc>
        <w:tc>
          <w:tcPr>
            <w:tcW w:w="3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October</w:t>
            </w:r>
          </w:p>
        </w:tc>
        <w:tc>
          <w:tcPr>
            <w:tcW w:w="3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826</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360</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November</w:t>
            </w:r>
          </w:p>
        </w:tc>
        <w:tc>
          <w:tcPr>
            <w:tcW w:w="3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December</w:t>
            </w:r>
          </w:p>
        </w:tc>
        <w:tc>
          <w:tcPr>
            <w:tcW w:w="3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643</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371</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Annual average</w:t>
            </w:r>
          </w:p>
        </w:tc>
        <w:tc>
          <w:tcPr>
            <w:tcW w:w="38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552</w:t>
            </w:r>
          </w:p>
        </w:tc>
        <w:tc>
          <w:tcPr>
            <w:tcW w:w="2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355</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Annual percentage change</w:t>
            </w:r>
          </w:p>
        </w:tc>
        <w:tc>
          <w:tcPr>
            <w:tcW w:w="3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55.5 %</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864"/>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3700" w:type="dxa"/>
            <w:vAlign w:val="bottom"/>
          </w:tcPr>
          <w:p>
            <w:pPr>
              <w:jc w:val="right"/>
              <w:ind w:right="227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73" w:name="page74"/>
    <w:bookmarkEnd w:id="7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UFP INDUSTRIES, INC.</w:t>
      </w:r>
    </w:p>
    <w:p>
      <w:pPr>
        <w:spacing w:after="0" w:line="50"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24"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In addition, a Southern Yellow Pine (“SYP”) composite price, which we prepare and use, is presented below. Our purchases of this species comprise approximately 62% and 58% of total lumber purchases, excluding plywood, for 2020 and 2019, respectively.</w:t>
      </w:r>
    </w:p>
    <w:p>
      <w:pPr>
        <w:spacing w:after="0" w:line="189" w:lineRule="exact"/>
        <w:rPr>
          <w:sz w:val="20"/>
          <w:szCs w:val="20"/>
          <w:color w:val="auto"/>
        </w:rPr>
      </w:pPr>
    </w:p>
    <w:p>
      <w:pPr>
        <w:jc w:val="center"/>
        <w:ind w:left="6720"/>
        <w:spacing w:after="0"/>
        <w:rPr>
          <w:sz w:val="20"/>
          <w:szCs w:val="20"/>
          <w:color w:val="auto"/>
        </w:rPr>
      </w:pPr>
      <w:r>
        <w:rPr>
          <w:rFonts w:ascii="Arial" w:cs="Arial" w:eastAsia="Arial" w:hAnsi="Arial"/>
          <w:sz w:val="14"/>
          <w:szCs w:val="14"/>
          <w:b w:val="1"/>
          <w:bCs w:val="1"/>
          <w:color w:val="auto"/>
        </w:rPr>
        <w:t>Random Lengths SYP</w:t>
      </w:r>
    </w:p>
    <w:p>
      <w:pPr>
        <w:jc w:val="center"/>
        <w:ind w:left="6720"/>
        <w:spacing w:after="0" w:line="236" w:lineRule="auto"/>
        <w:rPr>
          <w:sz w:val="20"/>
          <w:szCs w:val="20"/>
          <w:color w:val="auto"/>
        </w:rPr>
      </w:pPr>
      <w:r>
        <w:rPr>
          <w:rFonts w:ascii="Arial" w:cs="Arial" w:eastAsia="Arial" w:hAnsi="Arial"/>
          <w:sz w:val="14"/>
          <w:szCs w:val="14"/>
          <w:b w:val="1"/>
          <w:bCs w:val="1"/>
          <w:color w:val="auto"/>
        </w:rPr>
        <w:t>Average $/MBF</w:t>
      </w:r>
    </w:p>
    <w:tbl>
      <w:tblPr>
        <w:tblLayout w:type="fixed"/>
        <w:tblInd w:w="6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4380" w:type="dxa"/>
            <w:vAlign w:val="bottom"/>
            <w:tcBorders>
              <w:bottom w:val="single" w:sz="8" w:color="CCEEFF"/>
            </w:tcBorders>
          </w:tcPr>
          <w:p>
            <w:pPr>
              <w:spacing w:after="0"/>
              <w:rPr>
                <w:sz w:val="14"/>
                <w:szCs w:val="14"/>
                <w:color w:val="auto"/>
              </w:rPr>
            </w:pPr>
          </w:p>
        </w:tc>
        <w:tc>
          <w:tcPr>
            <w:tcW w:w="248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171"/>
              <w:spacing w:after="0" w:line="155" w:lineRule="exact"/>
              <w:rPr>
                <w:sz w:val="20"/>
                <w:szCs w:val="20"/>
                <w:color w:val="auto"/>
              </w:rPr>
            </w:pPr>
            <w:r>
              <w:rPr>
                <w:rFonts w:ascii="Arial" w:cs="Arial" w:eastAsia="Arial" w:hAnsi="Arial"/>
                <w:sz w:val="14"/>
                <w:szCs w:val="14"/>
                <w:b w:val="1"/>
                <w:bCs w:val="1"/>
                <w:color w:val="auto"/>
              </w:rPr>
              <w:t>2020</w:t>
            </w:r>
          </w:p>
        </w:tc>
        <w:tc>
          <w:tcPr>
            <w:tcW w:w="4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171"/>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January</w:t>
            </w:r>
          </w:p>
        </w:tc>
        <w:tc>
          <w:tcPr>
            <w:tcW w:w="24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February</w:t>
            </w:r>
          </w:p>
        </w:tc>
        <w:tc>
          <w:tcPr>
            <w:tcW w:w="2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345</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March</w:t>
            </w:r>
          </w:p>
        </w:tc>
        <w:tc>
          <w:tcPr>
            <w:tcW w:w="2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April</w:t>
            </w:r>
          </w:p>
        </w:tc>
        <w:tc>
          <w:tcPr>
            <w:tcW w:w="2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333</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May</w:t>
            </w:r>
          </w:p>
        </w:tc>
        <w:tc>
          <w:tcPr>
            <w:tcW w:w="2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June</w:t>
            </w:r>
          </w:p>
        </w:tc>
        <w:tc>
          <w:tcPr>
            <w:tcW w:w="2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494</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July</w:t>
            </w:r>
          </w:p>
        </w:tc>
        <w:tc>
          <w:tcPr>
            <w:tcW w:w="2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August</w:t>
            </w:r>
          </w:p>
        </w:tc>
        <w:tc>
          <w:tcPr>
            <w:tcW w:w="2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729</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September</w:t>
            </w:r>
          </w:p>
        </w:tc>
        <w:tc>
          <w:tcPr>
            <w:tcW w:w="2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October</w:t>
            </w:r>
          </w:p>
        </w:tc>
        <w:tc>
          <w:tcPr>
            <w:tcW w:w="2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711</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November</w:t>
            </w:r>
          </w:p>
        </w:tc>
        <w:tc>
          <w:tcPr>
            <w:tcW w:w="2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December</w:t>
            </w:r>
          </w:p>
        </w:tc>
        <w:tc>
          <w:tcPr>
            <w:tcW w:w="2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565</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Annual average</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520</w:t>
            </w:r>
          </w:p>
        </w:tc>
        <w:tc>
          <w:tcPr>
            <w:tcW w:w="400" w:type="dxa"/>
            <w:vAlign w:val="bottom"/>
            <w:gridSpan w:val="3"/>
          </w:tcPr>
          <w:p>
            <w:pPr>
              <w:jc w:val="right"/>
              <w:ind w:right="7"/>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366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Annual percentage change</w:t>
            </w:r>
          </w:p>
        </w:tc>
        <w:tc>
          <w:tcPr>
            <w:tcW w:w="2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IMPACT OF THE LUMBER MARKET ON OUR OPERATING RESULTS</w:t>
      </w:r>
    </w:p>
    <w:p>
      <w:pPr>
        <w:spacing w:after="0" w:line="229"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We experience significant fluctuations in the cost of commodity lumber products from primary producers ("Lumber Market"). We generally price our products to pass lumber costs through to our customers so that our profitability is based on the value-added manufacturing, distribution, engineering, and other services we provide. As a result, our sales levels (and working capital requirements) are impacted by the lumber costs of our products. Lumber costs, including plywood, were 51.0% and 43.4% of our net sales in 2020 and 2019, respectively.</w:t>
      </w:r>
    </w:p>
    <w:p>
      <w:pPr>
        <w:spacing w:after="0" w:line="176"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 xml:space="preserve">Our gross margins are impacted by (1) the relative </w:t>
      </w:r>
      <w:r>
        <w:rPr>
          <w:rFonts w:ascii="Arial" w:cs="Arial" w:eastAsia="Arial" w:hAnsi="Arial"/>
          <w:sz w:val="18"/>
          <w:szCs w:val="18"/>
          <w:u w:val="single" w:color="auto"/>
          <w:color w:val="auto"/>
        </w:rPr>
        <w:t>level</w:t>
      </w:r>
      <w:r>
        <w:rPr>
          <w:rFonts w:ascii="Arial" w:cs="Arial" w:eastAsia="Arial" w:hAnsi="Arial"/>
          <w:sz w:val="18"/>
          <w:szCs w:val="18"/>
          <w:color w:val="auto"/>
        </w:rPr>
        <w:t xml:space="preserve"> of the Lumber Market (i.e. whether prices are higher or lower from comparative periods), and (2) the </w:t>
      </w:r>
      <w:r>
        <w:rPr>
          <w:rFonts w:ascii="Arial" w:cs="Arial" w:eastAsia="Arial" w:hAnsi="Arial"/>
          <w:sz w:val="18"/>
          <w:szCs w:val="18"/>
          <w:u w:val="single" w:color="auto"/>
          <w:color w:val="auto"/>
        </w:rPr>
        <w:t>trend</w:t>
      </w:r>
      <w:r>
        <w:rPr>
          <w:rFonts w:ascii="Arial" w:cs="Arial" w:eastAsia="Arial" w:hAnsi="Arial"/>
          <w:sz w:val="18"/>
          <w:szCs w:val="18"/>
          <w:color w:val="auto"/>
        </w:rPr>
        <w:t xml:space="preserve"> in the market price of lumber (i.e. whether the price of lumber is increasing or decreasing within a period or from period to period). Moreover, as explained below, our products are priced differently. Some of our products have fixed selling prices, while the selling prices of other products are indexed to the reported Lumber Market with a fixed dollar adder to cover conversion costs and profits. Consequently, the </w:t>
      </w:r>
      <w:r>
        <w:rPr>
          <w:rFonts w:ascii="Arial" w:cs="Arial" w:eastAsia="Arial" w:hAnsi="Arial"/>
          <w:sz w:val="18"/>
          <w:szCs w:val="18"/>
          <w:u w:val="single" w:color="auto"/>
          <w:color w:val="auto"/>
        </w:rPr>
        <w:t>level</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trend</w:t>
      </w:r>
      <w:r>
        <w:rPr>
          <w:rFonts w:ascii="Arial" w:cs="Arial" w:eastAsia="Arial" w:hAnsi="Arial"/>
          <w:sz w:val="18"/>
          <w:szCs w:val="18"/>
          <w:color w:val="auto"/>
        </w:rPr>
        <w:t xml:space="preserve"> of the Lumber Market impact our products differently.</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color w:val="auto"/>
        </w:rPr>
        <w:t>Below is a general description of the primary ways in which our products are priced.</w:t>
      </w:r>
    </w:p>
    <w:p>
      <w:pPr>
        <w:spacing w:after="0" w:line="225" w:lineRule="exact"/>
        <w:rPr>
          <w:sz w:val="20"/>
          <w:szCs w:val="20"/>
          <w:color w:val="auto"/>
        </w:rPr>
      </w:pPr>
    </w:p>
    <w:p>
      <w:pPr>
        <w:jc w:val="both"/>
        <w:ind w:left="720" w:right="79" w:hanging="319"/>
        <w:spacing w:after="0" w:line="291" w:lineRule="auto"/>
        <w:tabs>
          <w:tab w:leader="none" w:pos="720" w:val="left"/>
        </w:tabs>
        <w:numPr>
          <w:ilvl w:val="0"/>
          <w:numId w:val="22"/>
        </w:numPr>
        <w:rPr>
          <w:rFonts w:ascii="Arial" w:cs="Arial" w:eastAsia="Arial" w:hAnsi="Arial"/>
          <w:sz w:val="16"/>
          <w:szCs w:val="16"/>
          <w:color w:val="auto"/>
        </w:rPr>
      </w:pPr>
      <w:r>
        <w:rPr>
          <w:rFonts w:ascii="Arial" w:cs="Arial" w:eastAsia="Arial" w:hAnsi="Arial"/>
          <w:sz w:val="16"/>
          <w:szCs w:val="16"/>
          <w:u w:val="single" w:color="auto"/>
          <w:color w:val="auto"/>
        </w:rPr>
        <w:t>Products with fixed selling prices.</w:t>
      </w:r>
      <w:r>
        <w:rPr>
          <w:rFonts w:ascii="Arial" w:cs="Arial" w:eastAsia="Arial" w:hAnsi="Arial"/>
          <w:sz w:val="16"/>
          <w:szCs w:val="16"/>
          <w:color w:val="auto"/>
        </w:rPr>
        <w:t xml:space="preserve"> These products include value-added products such as decking and fencing sold to retail building materials customers, as well as trusses, wall panels and other components sold to the residential construction market, and most industrial packaging products. Prices for these products are generally fixed at the time of the sales quotation for a specified period of time or are based upon a specific quantity. In order to maintain margins and reduce any exposure to adverse </w:t>
      </w:r>
      <w:r>
        <w:rPr>
          <w:rFonts w:ascii="Arial" w:cs="Arial" w:eastAsia="Arial" w:hAnsi="Arial"/>
          <w:sz w:val="16"/>
          <w:szCs w:val="16"/>
          <w:u w:val="single" w:color="auto"/>
          <w:color w:val="auto"/>
        </w:rPr>
        <w:t>trends</w:t>
      </w:r>
      <w:r>
        <w:rPr>
          <w:rFonts w:ascii="Arial" w:cs="Arial" w:eastAsia="Arial" w:hAnsi="Arial"/>
          <w:sz w:val="16"/>
          <w:szCs w:val="16"/>
          <w:color w:val="auto"/>
        </w:rPr>
        <w:t xml:space="preserve"> in the price of component lumber products, we attempt to lock in costs with our suppliers for these sales commitments. Also, the time period and quantity limitations generally allow us to eventually re-price our products for changes in lumber prices from our suppliers.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4" w:name="page75"/>
    <w:bookmarkEnd w:id="7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UFP INDUSTRIES, INC.</w:t>
      </w:r>
    </w:p>
    <w:p>
      <w:pPr>
        <w:spacing w:after="0" w:line="50"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24" w:lineRule="exact"/>
        <w:rPr>
          <w:sz w:val="20"/>
          <w:szCs w:val="20"/>
          <w:color w:val="auto"/>
        </w:rPr>
      </w:pPr>
    </w:p>
    <w:p>
      <w:pPr>
        <w:jc w:val="both"/>
        <w:ind w:left="720" w:right="79" w:hanging="319"/>
        <w:spacing w:after="0" w:line="291" w:lineRule="auto"/>
        <w:tabs>
          <w:tab w:leader="none" w:pos="720"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Products with selling prices indexed to the reported Lumber Market with a fixed dollar "adder" to cover conversion costs and profits.</w:t>
      </w:r>
      <w:r>
        <w:rPr>
          <w:rFonts w:ascii="Arial" w:cs="Arial" w:eastAsia="Arial" w:hAnsi="Arial"/>
          <w:sz w:val="16"/>
          <w:szCs w:val="16"/>
          <w:color w:val="auto"/>
        </w:rPr>
        <w:t xml:space="preserve"> These products primarily include treated lumber, remanufactured lumber, and trusses sold to the manufactured housing industry. For these products, we estimate the customers’ needs and we carry anticipated levels of inventory. Because lumber costs are incurred in advance of final sale prices, subsequent increases or decreases in the market price of lumber impact our profitability. In other words, for these products, our margins are exposed to changes in the trend of lumber prices. We believe our sales of these products are at their highest relative level in our second quarter, primarily due to treated lumber sold to the retail market.</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The greatest risk associated with changes in the </w:t>
      </w:r>
      <w:r>
        <w:rPr>
          <w:rFonts w:ascii="Arial" w:cs="Arial" w:eastAsia="Arial" w:hAnsi="Arial"/>
          <w:sz w:val="18"/>
          <w:szCs w:val="18"/>
          <w:u w:val="single" w:color="auto"/>
          <w:color w:val="auto"/>
        </w:rPr>
        <w:t>trend</w:t>
      </w:r>
      <w:r>
        <w:rPr>
          <w:rFonts w:ascii="Arial" w:cs="Arial" w:eastAsia="Arial" w:hAnsi="Arial"/>
          <w:sz w:val="18"/>
          <w:szCs w:val="18"/>
          <w:color w:val="auto"/>
        </w:rPr>
        <w:t xml:space="preserve"> of lumber prices is on the following products:</w:t>
      </w:r>
    </w:p>
    <w:p>
      <w:pPr>
        <w:spacing w:after="0" w:line="225" w:lineRule="exact"/>
        <w:rPr>
          <w:sz w:val="20"/>
          <w:szCs w:val="20"/>
          <w:color w:val="auto"/>
        </w:rPr>
      </w:pPr>
    </w:p>
    <w:p>
      <w:pPr>
        <w:jc w:val="both"/>
        <w:ind w:left="720" w:right="79" w:hanging="319"/>
        <w:spacing w:after="0" w:line="254"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Products with significant inventory levels with low turnover rates, whose selling prices are indexed to the Lumber Market.</w:t>
      </w:r>
      <w:r>
        <w:rPr>
          <w:rFonts w:ascii="Arial" w:cs="Arial" w:eastAsia="Arial" w:hAnsi="Arial"/>
          <w:sz w:val="18"/>
          <w:szCs w:val="18"/>
          <w:color w:val="auto"/>
        </w:rPr>
        <w:t xml:space="preserve"> In other words, the longer the period of time these products remain in inventory, the greater the exposure to changes in the price of lumber. This would include treated lumber, which comprises approximately 16% of our total sales. This exposure is less significant with remanufactured lumber, trusses sold to the manufactured housing market, and other similar products, due to our higher rate of inventory turnover of these products. We attempt to mitigate the risk associated with treated lumber through vendor consignment inventory programs. (</w:t>
      </w:r>
      <w:r>
        <w:rPr>
          <w:rFonts w:ascii="Arial" w:cs="Arial" w:eastAsia="Arial" w:hAnsi="Arial"/>
          <w:sz w:val="18"/>
          <w:szCs w:val="18"/>
          <w:i w:val="1"/>
          <w:iCs w:val="1"/>
          <w:color w:val="auto"/>
        </w:rPr>
        <w:t>Please refer to</w:t>
      </w:r>
      <w:r>
        <w:rPr>
          <w:rFonts w:ascii="Arial" w:cs="Arial" w:eastAsia="Arial" w:hAnsi="Arial"/>
          <w:sz w:val="18"/>
          <w:szCs w:val="18"/>
          <w:color w:val="auto"/>
        </w:rPr>
        <w:t xml:space="preserve"> </w:t>
      </w:r>
      <w:r>
        <w:rPr>
          <w:rFonts w:ascii="Arial" w:cs="Arial" w:eastAsia="Arial" w:hAnsi="Arial"/>
          <w:sz w:val="18"/>
          <w:szCs w:val="18"/>
          <w:i w:val="1"/>
          <w:iCs w:val="1"/>
          <w:color w:val="auto"/>
        </w:rPr>
        <w:t>the “Risk Factors” section of our annual report on form 10-K, filed with the United States Securities and Exchange Commission.</w:t>
      </w:r>
      <w:r>
        <w:rPr>
          <w:rFonts w:ascii="Arial" w:cs="Arial" w:eastAsia="Arial" w:hAnsi="Arial"/>
          <w:sz w:val="18"/>
          <w:szCs w:val="18"/>
          <w:color w:val="auto"/>
        </w:rPr>
        <w:t>)</w:t>
      </w:r>
    </w:p>
    <w:p>
      <w:pPr>
        <w:spacing w:after="0" w:line="191" w:lineRule="exact"/>
        <w:rPr>
          <w:rFonts w:ascii="Arial" w:cs="Arial" w:eastAsia="Arial" w:hAnsi="Arial"/>
          <w:sz w:val="18"/>
          <w:szCs w:val="18"/>
          <w:color w:val="auto"/>
        </w:rPr>
      </w:pPr>
    </w:p>
    <w:p>
      <w:pPr>
        <w:jc w:val="both"/>
        <w:ind w:left="720" w:right="79" w:hanging="319"/>
        <w:spacing w:after="0" w:line="311" w:lineRule="auto"/>
        <w:tabs>
          <w:tab w:leader="none" w:pos="720" w:val="left"/>
        </w:tabs>
        <w:numPr>
          <w:ilvl w:val="0"/>
          <w:numId w:val="24"/>
        </w:numPr>
        <w:rPr>
          <w:rFonts w:ascii="Arial" w:cs="Arial" w:eastAsia="Arial" w:hAnsi="Arial"/>
          <w:sz w:val="16"/>
          <w:szCs w:val="16"/>
          <w:color w:val="auto"/>
        </w:rPr>
      </w:pPr>
      <w:r>
        <w:rPr>
          <w:rFonts w:ascii="Arial" w:cs="Arial" w:eastAsia="Arial" w:hAnsi="Arial"/>
          <w:sz w:val="16"/>
          <w:szCs w:val="16"/>
          <w:u w:val="single" w:color="auto"/>
          <w:color w:val="auto"/>
        </w:rPr>
        <w:t>Products with fixed selling prices sold under long-term supply arrangements, particularly those involving multi-family construction projects.</w:t>
      </w:r>
      <w:r>
        <w:rPr>
          <w:rFonts w:ascii="Arial" w:cs="Arial" w:eastAsia="Arial" w:hAnsi="Arial"/>
          <w:sz w:val="16"/>
          <w:szCs w:val="16"/>
          <w:color w:val="auto"/>
        </w:rPr>
        <w:t xml:space="preserve"> We attempt to mitigate this risk through our purchasing practices by locking in costs or including re-pricing triggers with customers if lumber prices change in excess of an agreed upon percentage.</w:t>
      </w:r>
    </w:p>
    <w:p>
      <w:pPr>
        <w:spacing w:after="0" w:line="14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 xml:space="preserve">In addition to the impact of the Lumber Market </w:t>
      </w:r>
      <w:r>
        <w:rPr>
          <w:rFonts w:ascii="Arial" w:cs="Arial" w:eastAsia="Arial" w:hAnsi="Arial"/>
          <w:sz w:val="18"/>
          <w:szCs w:val="18"/>
          <w:u w:val="single" w:color="auto"/>
          <w:color w:val="auto"/>
        </w:rPr>
        <w:t>trends</w:t>
      </w:r>
      <w:r>
        <w:rPr>
          <w:rFonts w:ascii="Arial" w:cs="Arial" w:eastAsia="Arial" w:hAnsi="Arial"/>
          <w:sz w:val="18"/>
          <w:szCs w:val="18"/>
          <w:color w:val="auto"/>
        </w:rPr>
        <w:t xml:space="preserve"> on gross margins, changes in the </w:t>
      </w:r>
      <w:r>
        <w:rPr>
          <w:rFonts w:ascii="Arial" w:cs="Arial" w:eastAsia="Arial" w:hAnsi="Arial"/>
          <w:sz w:val="18"/>
          <w:szCs w:val="18"/>
          <w:u w:val="single" w:color="auto"/>
          <w:color w:val="auto"/>
        </w:rPr>
        <w:t>level</w:t>
      </w:r>
      <w:r>
        <w:rPr>
          <w:rFonts w:ascii="Arial" w:cs="Arial" w:eastAsia="Arial" w:hAnsi="Arial"/>
          <w:sz w:val="18"/>
          <w:szCs w:val="18"/>
          <w:color w:val="auto"/>
        </w:rPr>
        <w:t xml:space="preserve"> of the market cause fluctuations in gross margins when comparing operating results from period to period. This is explained in the following example, which assumes the price of lumber has increased from period one to period two, with no changes in the </w:t>
      </w:r>
      <w:r>
        <w:rPr>
          <w:rFonts w:ascii="Arial" w:cs="Arial" w:eastAsia="Arial" w:hAnsi="Arial"/>
          <w:sz w:val="18"/>
          <w:szCs w:val="18"/>
          <w:u w:val="single" w:color="auto"/>
          <w:color w:val="auto"/>
        </w:rPr>
        <w:t>trend</w:t>
      </w:r>
      <w:r>
        <w:rPr>
          <w:rFonts w:ascii="Arial" w:cs="Arial" w:eastAsia="Arial" w:hAnsi="Arial"/>
          <w:sz w:val="18"/>
          <w:szCs w:val="18"/>
          <w:color w:val="auto"/>
        </w:rPr>
        <w:t xml:space="preserve"> within each period.</w:t>
      </w:r>
    </w:p>
    <w:p>
      <w:pPr>
        <w:spacing w:after="0" w:line="192"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0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4"/>
              </w:rPr>
              <w:t>Period 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4"/>
              </w:rPr>
              <w:t>Period 2</w:t>
            </w:r>
          </w:p>
        </w:tc>
      </w:tr>
      <w:tr>
        <w:trPr>
          <w:trHeight w:val="210"/>
        </w:trPr>
        <w:tc>
          <w:tcPr>
            <w:tcW w:w="4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Lumber cost</w:t>
            </w:r>
          </w:p>
        </w:tc>
        <w:tc>
          <w:tcPr>
            <w:tcW w:w="28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4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Conversion cost</w:t>
            </w:r>
          </w:p>
        </w:tc>
        <w:tc>
          <w:tcPr>
            <w:tcW w:w="28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00" w:type="dxa"/>
            <w:vAlign w:val="bottom"/>
            <w:tcBorders>
              <w:bottom w:val="single" w:sz="8" w:color="CCEEFF"/>
            </w:tcBorders>
          </w:tcPr>
          <w:p>
            <w:pPr>
              <w:spacing w:after="0"/>
              <w:rPr>
                <w:sz w:val="18"/>
                <w:szCs w:val="18"/>
                <w:color w:val="auto"/>
              </w:rPr>
            </w:pPr>
          </w:p>
        </w:tc>
      </w:tr>
      <w:tr>
        <w:trPr>
          <w:trHeight w:val="210"/>
        </w:trPr>
        <w:tc>
          <w:tcPr>
            <w:tcW w:w="4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Product cost</w:t>
            </w:r>
          </w:p>
        </w:tc>
        <w:tc>
          <w:tcPr>
            <w:tcW w:w="2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200" w:type="dxa"/>
            <w:vAlign w:val="bottom"/>
            <w:shd w:val="clear" w:color="auto" w:fill="CCEEFF"/>
          </w:tcPr>
          <w:p>
            <w:pPr>
              <w:spacing w:after="0"/>
              <w:rPr>
                <w:sz w:val="18"/>
                <w:szCs w:val="18"/>
                <w:color w:val="auto"/>
              </w:rPr>
            </w:pPr>
          </w:p>
        </w:tc>
      </w:tr>
      <w:tr>
        <w:trPr>
          <w:trHeight w:val="216"/>
        </w:trPr>
        <w:tc>
          <w:tcPr>
            <w:tcW w:w="4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Adder</w:t>
            </w:r>
          </w:p>
        </w:tc>
        <w:tc>
          <w:tcPr>
            <w:tcW w:w="28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00" w:type="dxa"/>
            <w:vAlign w:val="bottom"/>
            <w:tcBorders>
              <w:bottom w:val="single" w:sz="8" w:color="CCEEFF"/>
            </w:tcBorders>
          </w:tcPr>
          <w:p>
            <w:pPr>
              <w:spacing w:after="0"/>
              <w:rPr>
                <w:sz w:val="18"/>
                <w:szCs w:val="18"/>
                <w:color w:val="auto"/>
              </w:rPr>
            </w:pPr>
          </w:p>
        </w:tc>
      </w:tr>
      <w:tr>
        <w:trPr>
          <w:trHeight w:val="210"/>
        </w:trPr>
        <w:tc>
          <w:tcPr>
            <w:tcW w:w="4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Sell price</w:t>
            </w:r>
          </w:p>
        </w:tc>
        <w:tc>
          <w:tcPr>
            <w:tcW w:w="28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00" w:type="dxa"/>
            <w:vAlign w:val="bottom"/>
            <w:shd w:val="clear" w:color="auto" w:fill="CCEEFF"/>
          </w:tcPr>
          <w:p>
            <w:pPr>
              <w:spacing w:after="0"/>
              <w:rPr>
                <w:sz w:val="18"/>
                <w:szCs w:val="18"/>
                <w:color w:val="auto"/>
              </w:rPr>
            </w:pP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Gross margin</w:t>
            </w:r>
          </w:p>
        </w:tc>
        <w:tc>
          <w:tcPr>
            <w:tcW w:w="2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12.5 %</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10.0 %</w:t>
            </w:r>
          </w:p>
        </w:tc>
      </w:tr>
    </w:tbl>
    <w:p>
      <w:pPr>
        <w:spacing w:after="0" w:line="187"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As is apparent from the preceding example, the level of lumber prices does not impact our overall profits but does impact our margins. Gross margins and operating margins are negatively impacted during periods of high lumber prices; conversely, we experience margin improvement when lumber prices are relatively low. As a result of this factor, we believe it is useful to compare our change in units sold with our change in gross profits, selling, general, and administrative expenses, and operating profits as presented in the following table.</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38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2660" w:type="dxa"/>
            <w:vAlign w:val="bottom"/>
            <w:tcBorders>
              <w:bottom w:val="single" w:sz="8" w:color="auto"/>
            </w:tcBorders>
            <w:gridSpan w:val="3"/>
          </w:tcPr>
          <w:p>
            <w:pPr>
              <w:jc w:val="right"/>
              <w:ind w:right="414"/>
              <w:spacing w:after="0"/>
              <w:rPr>
                <w:sz w:val="20"/>
                <w:szCs w:val="20"/>
                <w:color w:val="auto"/>
              </w:rPr>
            </w:pPr>
            <w:r>
              <w:rPr>
                <w:rFonts w:ascii="Arial" w:cs="Arial" w:eastAsia="Arial" w:hAnsi="Arial"/>
                <w:sz w:val="14"/>
                <w:szCs w:val="14"/>
                <w:b w:val="1"/>
                <w:bCs w:val="1"/>
                <w:color w:val="auto"/>
              </w:rPr>
              <w:t>Annual Percentage Change</w:t>
            </w:r>
          </w:p>
        </w:tc>
        <w:tc>
          <w:tcPr>
            <w:tcW w:w="20" w:type="dxa"/>
            <w:vAlign w:val="bottom"/>
          </w:tcPr>
          <w:p>
            <w:pPr>
              <w:spacing w:after="0"/>
              <w:rPr>
                <w:sz w:val="15"/>
                <w:szCs w:val="15"/>
                <w:color w:val="auto"/>
              </w:rPr>
            </w:pPr>
          </w:p>
        </w:tc>
      </w:tr>
      <w:tr>
        <w:trPr>
          <w:trHeight w:val="304"/>
        </w:trPr>
        <w:tc>
          <w:tcPr>
            <w:tcW w:w="38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400" w:type="dxa"/>
            <w:vAlign w:val="bottom"/>
            <w:gridSpan w:val="2"/>
          </w:tcPr>
          <w:p>
            <w:pPr>
              <w:ind w:left="40"/>
              <w:spacing w:after="0"/>
              <w:rPr>
                <w:sz w:val="20"/>
                <w:szCs w:val="20"/>
                <w:color w:val="auto"/>
              </w:rPr>
            </w:pPr>
            <w:r>
              <w:rPr>
                <w:rFonts w:ascii="Arial" w:cs="Arial" w:eastAsia="Arial" w:hAnsi="Arial"/>
                <w:sz w:val="14"/>
                <w:szCs w:val="14"/>
                <w:b w:val="1"/>
                <w:bCs w:val="1"/>
                <w:color w:val="auto"/>
              </w:rPr>
              <w:t>From 2019 to 2020</w:t>
            </w: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w w:val="98"/>
              </w:rPr>
              <w:t>From 2018 to 2019</w:t>
            </w:r>
          </w:p>
        </w:tc>
      </w:tr>
      <w:tr>
        <w:trPr>
          <w:trHeight w:val="216"/>
        </w:trPr>
        <w:tc>
          <w:tcPr>
            <w:tcW w:w="3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Units sold</w:t>
            </w:r>
          </w:p>
        </w:tc>
        <w:tc>
          <w:tcPr>
            <w:tcW w:w="24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6.0 %</w:t>
            </w:r>
          </w:p>
        </w:tc>
        <w:tc>
          <w:tcPr>
            <w:tcW w:w="16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6.3 %</w:t>
            </w:r>
          </w:p>
        </w:tc>
        <w:tc>
          <w:tcPr>
            <w:tcW w:w="20" w:type="dxa"/>
            <w:vAlign w:val="bottom"/>
          </w:tcPr>
          <w:p>
            <w:pPr>
              <w:spacing w:after="0"/>
              <w:rPr>
                <w:sz w:val="18"/>
                <w:szCs w:val="18"/>
                <w:color w:val="auto"/>
              </w:rPr>
            </w:pPr>
          </w:p>
        </w:tc>
      </w:tr>
      <w:tr>
        <w:trPr>
          <w:trHeight w:val="216"/>
        </w:trPr>
        <w:tc>
          <w:tcPr>
            <w:tcW w:w="384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3640" w:type="dxa"/>
            <w:vAlign w:val="bottom"/>
            <w:gridSpan w:val="2"/>
          </w:tcPr>
          <w:p>
            <w:pPr>
              <w:jc w:val="right"/>
              <w:ind w:right="202"/>
              <w:spacing w:after="0"/>
              <w:rPr>
                <w:sz w:val="20"/>
                <w:szCs w:val="20"/>
                <w:color w:val="auto"/>
              </w:rPr>
            </w:pPr>
            <w:r>
              <w:rPr>
                <w:rFonts w:ascii="Arial" w:cs="Arial" w:eastAsia="Arial" w:hAnsi="Arial"/>
                <w:sz w:val="18"/>
                <w:szCs w:val="18"/>
                <w:color w:val="auto"/>
              </w:rPr>
              <w:t>16.7</w:t>
            </w:r>
          </w:p>
        </w:tc>
        <w:tc>
          <w:tcPr>
            <w:tcW w:w="160" w:type="dxa"/>
            <w:vAlign w:val="bottom"/>
          </w:tcPr>
          <w:p>
            <w:pPr>
              <w:spacing w:after="0"/>
              <w:rPr>
                <w:sz w:val="18"/>
                <w:szCs w:val="18"/>
                <w:color w:val="auto"/>
              </w:rPr>
            </w:pPr>
          </w:p>
        </w:tc>
        <w:tc>
          <w:tcPr>
            <w:tcW w:w="1260" w:type="dxa"/>
            <w:vAlign w:val="bottom"/>
          </w:tcPr>
          <w:p>
            <w:pPr>
              <w:jc w:val="right"/>
              <w:ind w:right="194"/>
              <w:spacing w:after="0"/>
              <w:rPr>
                <w:sz w:val="20"/>
                <w:szCs w:val="20"/>
                <w:color w:val="auto"/>
              </w:rPr>
            </w:pPr>
            <w:r>
              <w:rPr>
                <w:rFonts w:ascii="Arial" w:cs="Arial" w:eastAsia="Arial" w:hAnsi="Arial"/>
                <w:sz w:val="18"/>
                <w:szCs w:val="18"/>
                <w:color w:val="auto"/>
              </w:rPr>
              <w:t>15.6</w:t>
            </w:r>
          </w:p>
        </w:tc>
        <w:tc>
          <w:tcPr>
            <w:tcW w:w="20" w:type="dxa"/>
            <w:vAlign w:val="bottom"/>
          </w:tcPr>
          <w:p>
            <w:pPr>
              <w:spacing w:after="0"/>
              <w:rPr>
                <w:sz w:val="18"/>
                <w:szCs w:val="18"/>
                <w:color w:val="auto"/>
              </w:rPr>
            </w:pPr>
          </w:p>
        </w:tc>
      </w:tr>
      <w:tr>
        <w:trPr>
          <w:trHeight w:val="216"/>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640" w:type="dxa"/>
            <w:vAlign w:val="bottom"/>
            <w:gridSpan w:val="2"/>
            <w:shd w:val="clear" w:color="auto" w:fill="CCEEFF"/>
          </w:tcPr>
          <w:p>
            <w:pPr>
              <w:jc w:val="right"/>
              <w:ind w:right="202"/>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11.9</w:t>
            </w:r>
          </w:p>
        </w:tc>
        <w:tc>
          <w:tcPr>
            <w:tcW w:w="20" w:type="dxa"/>
            <w:vAlign w:val="bottom"/>
          </w:tcPr>
          <w:p>
            <w:pPr>
              <w:spacing w:after="0"/>
              <w:rPr>
                <w:sz w:val="18"/>
                <w:szCs w:val="18"/>
                <w:color w:val="auto"/>
              </w:rPr>
            </w:pPr>
          </w:p>
        </w:tc>
      </w:tr>
      <w:tr>
        <w:trPr>
          <w:trHeight w:val="230"/>
        </w:trPr>
        <w:tc>
          <w:tcPr>
            <w:tcW w:w="3840" w:type="dxa"/>
            <w:vAlign w:val="bottom"/>
          </w:tcPr>
          <w:p>
            <w:pPr>
              <w:ind w:left="20"/>
              <w:spacing w:after="0"/>
              <w:rPr>
                <w:sz w:val="20"/>
                <w:szCs w:val="20"/>
                <w:color w:val="auto"/>
              </w:rPr>
            </w:pPr>
            <w:r>
              <w:rPr>
                <w:rFonts w:ascii="Arial" w:cs="Arial" w:eastAsia="Arial" w:hAnsi="Arial"/>
                <w:sz w:val="18"/>
                <w:szCs w:val="18"/>
                <w:color w:val="auto"/>
              </w:rPr>
              <w:t>Earnings from operations</w:t>
            </w:r>
          </w:p>
        </w:tc>
        <w:tc>
          <w:tcPr>
            <w:tcW w:w="3640" w:type="dxa"/>
            <w:vAlign w:val="bottom"/>
            <w:gridSpan w:val="2"/>
          </w:tcPr>
          <w:p>
            <w:pPr>
              <w:jc w:val="right"/>
              <w:ind w:right="202"/>
              <w:spacing w:after="0"/>
              <w:rPr>
                <w:sz w:val="20"/>
                <w:szCs w:val="20"/>
                <w:color w:val="auto"/>
              </w:rPr>
            </w:pPr>
            <w:r>
              <w:rPr>
                <w:rFonts w:ascii="Arial" w:cs="Arial" w:eastAsia="Arial" w:hAnsi="Arial"/>
                <w:sz w:val="18"/>
                <w:szCs w:val="18"/>
                <w:color w:val="auto"/>
              </w:rPr>
              <w:t>41.2</w:t>
            </w:r>
          </w:p>
        </w:tc>
        <w:tc>
          <w:tcPr>
            <w:tcW w:w="160" w:type="dxa"/>
            <w:vAlign w:val="bottom"/>
          </w:tcPr>
          <w:p>
            <w:pPr>
              <w:spacing w:after="0"/>
              <w:rPr>
                <w:sz w:val="20"/>
                <w:szCs w:val="20"/>
                <w:color w:val="auto"/>
              </w:rPr>
            </w:pPr>
          </w:p>
        </w:tc>
        <w:tc>
          <w:tcPr>
            <w:tcW w:w="1260" w:type="dxa"/>
            <w:vAlign w:val="bottom"/>
          </w:tcPr>
          <w:p>
            <w:pPr>
              <w:jc w:val="right"/>
              <w:ind w:right="194"/>
              <w:spacing w:after="0"/>
              <w:rPr>
                <w:sz w:val="20"/>
                <w:szCs w:val="20"/>
                <w:color w:val="auto"/>
              </w:rPr>
            </w:pPr>
            <w:r>
              <w:rPr>
                <w:rFonts w:ascii="Arial" w:cs="Arial" w:eastAsia="Arial" w:hAnsi="Arial"/>
                <w:sz w:val="18"/>
                <w:szCs w:val="18"/>
                <w:color w:val="auto"/>
              </w:rPr>
              <w:t>18.2</w:t>
            </w:r>
          </w:p>
        </w:tc>
        <w:tc>
          <w:tcPr>
            <w:tcW w:w="20" w:type="dxa"/>
            <w:vAlign w:val="bottom"/>
          </w:tcPr>
          <w:p>
            <w:pPr>
              <w:spacing w:after="0"/>
              <w:rPr>
                <w:sz w:val="20"/>
                <w:szCs w:val="20"/>
                <w:color w:val="auto"/>
              </w:rPr>
            </w:pPr>
          </w:p>
        </w:tc>
      </w:tr>
      <w:tr>
        <w:trPr>
          <w:trHeight w:val="634"/>
        </w:trPr>
        <w:tc>
          <w:tcPr>
            <w:tcW w:w="3840" w:type="dxa"/>
            <w:vAlign w:val="bottom"/>
          </w:tcPr>
          <w:p>
            <w:pPr>
              <w:spacing w:after="0"/>
              <w:rPr>
                <w:sz w:val="24"/>
                <w:szCs w:val="24"/>
                <w:color w:val="auto"/>
              </w:rPr>
            </w:pPr>
          </w:p>
        </w:tc>
        <w:tc>
          <w:tcPr>
            <w:tcW w:w="2400" w:type="dxa"/>
            <w:vAlign w:val="bottom"/>
          </w:tcPr>
          <w:p>
            <w:pPr>
              <w:jc w:val="right"/>
              <w:ind w:right="1650"/>
              <w:spacing w:after="0"/>
              <w:rPr>
                <w:sz w:val="20"/>
                <w:szCs w:val="20"/>
                <w:color w:val="auto"/>
              </w:rPr>
            </w:pPr>
            <w:r>
              <w:rPr>
                <w:rFonts w:ascii="Arial" w:cs="Arial" w:eastAsia="Arial" w:hAnsi="Arial"/>
                <w:sz w:val="18"/>
                <w:szCs w:val="18"/>
                <w:color w:val="auto"/>
              </w:rPr>
              <w:t>6</w:t>
            </w: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7"/>
        </w:trPr>
        <w:tc>
          <w:tcPr>
            <w:tcW w:w="384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75" w:name="page76"/>
    <w:bookmarkEnd w:id="7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UFP INDUSTRIES, INC.</w:t>
      </w:r>
    </w:p>
    <w:p>
      <w:pPr>
        <w:spacing w:after="0" w:line="50"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24"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It is our goal to increase our gross profits and earnings from operations at a rate of growth that exceeds our unit sales growth, or in other words, increasing our profitability per unit sold. We also have a goal of improving our efficiencies and leveraging the fixed costs in our selling, general, and administrative expenses as we grow, which will result in a rate of growth of these expenses which is less than our unit sales growth and a lower cost per unit. In 2020, we increased the amount of planned long-term share-based bonus awards that will be used to settle bonus obligations instead of cash, which resulted in a decrease in expense. This change was made to encourage employee retention and align their interests with shareholders. See discussion of share-based bonus awards in Note H — Common Stock.</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BUSINESS COMBINATIONS AND ASSET PURCHASES</w:t>
      </w:r>
    </w:p>
    <w:p>
      <w:pPr>
        <w:spacing w:after="0" w:line="22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We completed five business acquisitions during 2020 and three during 2019. The annual historical sales attributable to acquisitions in 2020 and 2019 were approximately $101 million and $37 million, respectively. These business combinations were not significant to our operating results individually or in aggregate, and thus pro forma results for 2020 and 2019 are not presented.</w:t>
      </w:r>
    </w:p>
    <w:p>
      <w:pPr>
        <w:spacing w:after="0" w:line="187"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On December 28, 2020, we closed on an agreement to purchase 100 percent of the equity of PalletOne, Inc., for approximately $232 million plus $21 million for certain investments in capital projects and $6 million for a purchase price adjustment based on the actual amount of net working capital at close compared to a pre-determined target. Based in Bartow, Florida, PalletOne is a leading manufacturer of new pallets in the U.S., with 17 pallet manufacturing facilities in the southern and eastern regions of the country. The company also supplies other specialized industrial packaging, including custom bins and crates, and its Sunbelt Forest Products subsidiary operates five pressure-treating facilities in the Southeastern U.S.</w:t>
      </w:r>
    </w:p>
    <w:p>
      <w:pPr>
        <w:spacing w:after="0" w:line="195"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On February 28, 2021, we closed on an agreement to purchase 100 percent of the equity of J.C. Gilmore Pty Ltd located in Australia for approximately $2.4 million. This transaction adds a wide portfolio of consumable packaging to certain industrial packaging products and expands the companies’ customer base throughout Australia.</w:t>
      </w:r>
    </w:p>
    <w:p>
      <w:pPr>
        <w:spacing w:after="0" w:line="165"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See Notes to Consolidated Financial Statements, Note C, "Business Combinations" and Note O, “Subsequent Events” for additional information.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6" w:name="page77"/>
    <w:bookmarkEnd w:id="7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UFP INDUSTRIES, INC.</w:t>
      </w:r>
    </w:p>
    <w:p>
      <w:pPr>
        <w:spacing w:after="0" w:line="50"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9" w:lineRule="exact"/>
        <w:rPr>
          <w:sz w:val="20"/>
          <w:szCs w:val="20"/>
          <w:color w:val="auto"/>
        </w:rPr>
      </w:pPr>
    </w:p>
    <w:p>
      <w:pPr>
        <w:jc w:val="both"/>
        <w:ind w:left="60" w:right="79"/>
        <w:spacing w:after="0" w:line="275" w:lineRule="auto"/>
        <w:rPr>
          <w:sz w:val="20"/>
          <w:szCs w:val="20"/>
          <w:color w:val="auto"/>
        </w:rPr>
      </w:pPr>
      <w:r>
        <w:rPr>
          <w:rFonts w:ascii="Arial" w:cs="Arial" w:eastAsia="Arial" w:hAnsi="Arial"/>
          <w:sz w:val="17"/>
          <w:szCs w:val="17"/>
          <w:color w:val="auto"/>
        </w:rPr>
        <w:t>The following table presents, for the periods indicated, the components of our Consolidated Statements of Earnings as a percentage of net sales. See “Impact of the Lumber Market on our Operating Results”. Due to the segment change as of January 1, 2020, 2018 and 2019 amounts have been retroactively adjusted and as such, we have included 2018 results by segment and the discussion of our 2019 results by segment compared to 2018. Please see our 2019 10-K for discussion of our 2019 consolidated results of operations compared to 2018.</w:t>
      </w:r>
    </w:p>
    <w:p>
      <w:pPr>
        <w:spacing w:after="0" w:line="181"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6700" w:type="dxa"/>
            <w:vAlign w:val="bottom"/>
          </w:tcPr>
          <w:p>
            <w:pPr>
              <w:spacing w:after="0"/>
              <w:rPr>
                <w:sz w:val="15"/>
                <w:szCs w:val="15"/>
                <w:color w:val="auto"/>
              </w:rPr>
            </w:pPr>
          </w:p>
        </w:tc>
        <w:tc>
          <w:tcPr>
            <w:tcW w:w="2220" w:type="dxa"/>
            <w:vAlign w:val="bottom"/>
            <w:tcBorders>
              <w:bottom w:val="single" w:sz="8" w:color="auto"/>
            </w:tcBorders>
            <w:gridSpan w:val="4"/>
          </w:tcPr>
          <w:p>
            <w:pPr>
              <w:jc w:val="right"/>
              <w:ind w:right="670"/>
              <w:spacing w:after="0"/>
              <w:rPr>
                <w:sz w:val="20"/>
                <w:szCs w:val="20"/>
                <w:color w:val="auto"/>
              </w:rPr>
            </w:pPr>
            <w:r>
              <w:rPr>
                <w:rFonts w:ascii="Arial" w:cs="Arial" w:eastAsia="Arial" w:hAnsi="Arial"/>
                <w:sz w:val="14"/>
                <w:szCs w:val="14"/>
                <w:b w:val="1"/>
                <w:bCs w:val="1"/>
                <w:color w:val="auto"/>
              </w:rPr>
              <w:t>Year Ended</w:t>
            </w:r>
          </w:p>
        </w:tc>
      </w:tr>
      <w:tr>
        <w:trPr>
          <w:trHeight w:val="126"/>
        </w:trPr>
        <w:tc>
          <w:tcPr>
            <w:tcW w:w="6700" w:type="dxa"/>
            <w:vAlign w:val="bottom"/>
          </w:tcPr>
          <w:p>
            <w:pPr>
              <w:spacing w:after="0"/>
              <w:rPr>
                <w:sz w:val="10"/>
                <w:szCs w:val="10"/>
                <w:color w:val="auto"/>
              </w:rPr>
            </w:pPr>
          </w:p>
        </w:tc>
        <w:tc>
          <w:tcPr>
            <w:tcW w:w="1100" w:type="dxa"/>
            <w:vAlign w:val="bottom"/>
            <w:gridSpan w:val="2"/>
          </w:tcPr>
          <w:p>
            <w:pPr>
              <w:jc w:val="right"/>
              <w:ind w:right="170"/>
              <w:spacing w:after="0" w:line="126" w:lineRule="exact"/>
              <w:rPr>
                <w:sz w:val="20"/>
                <w:szCs w:val="20"/>
                <w:color w:val="auto"/>
              </w:rPr>
            </w:pPr>
            <w:r>
              <w:rPr>
                <w:rFonts w:ascii="Arial" w:cs="Arial" w:eastAsia="Arial" w:hAnsi="Arial"/>
                <w:sz w:val="14"/>
                <w:szCs w:val="14"/>
                <w:b w:val="1"/>
                <w:bCs w:val="1"/>
                <w:color w:val="auto"/>
                <w:w w:val="90"/>
              </w:rPr>
              <w:t>December 26,</w:t>
            </w:r>
          </w:p>
        </w:tc>
        <w:tc>
          <w:tcPr>
            <w:tcW w:w="1120" w:type="dxa"/>
            <w:vAlign w:val="bottom"/>
            <w:gridSpan w:val="2"/>
          </w:tcPr>
          <w:p>
            <w:pPr>
              <w:jc w:val="right"/>
              <w:ind w:right="190"/>
              <w:spacing w:after="0" w:line="126" w:lineRule="exact"/>
              <w:rPr>
                <w:sz w:val="20"/>
                <w:szCs w:val="20"/>
                <w:color w:val="auto"/>
              </w:rPr>
            </w:pPr>
            <w:r>
              <w:rPr>
                <w:rFonts w:ascii="Arial" w:cs="Arial" w:eastAsia="Arial" w:hAnsi="Arial"/>
                <w:sz w:val="14"/>
                <w:szCs w:val="14"/>
                <w:b w:val="1"/>
                <w:bCs w:val="1"/>
                <w:color w:val="auto"/>
                <w:w w:val="90"/>
              </w:rPr>
              <w:t>December 28,</w:t>
            </w:r>
          </w:p>
        </w:tc>
      </w:tr>
      <w:tr>
        <w:trPr>
          <w:trHeight w:val="178"/>
        </w:trPr>
        <w:tc>
          <w:tcPr>
            <w:tcW w:w="670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CEEFF"/>
            </w:tcBorders>
          </w:tcPr>
          <w:p>
            <w:pPr>
              <w:spacing w:after="0"/>
              <w:rPr>
                <w:sz w:val="15"/>
                <w:szCs w:val="15"/>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r>
      <w:tr>
        <w:trPr>
          <w:trHeight w:val="216"/>
        </w:trPr>
        <w:tc>
          <w:tcPr>
            <w:tcW w:w="6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goods sold</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w:t>
            </w:r>
          </w:p>
        </w:tc>
        <w:tc>
          <w:tcPr>
            <w:tcW w:w="24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w:t>
            </w:r>
          </w:p>
        </w:tc>
        <w:tc>
          <w:tcPr>
            <w:tcW w:w="280" w:type="dxa"/>
            <w:vAlign w:val="bottom"/>
            <w:tcBorders>
              <w:bottom w:val="single" w:sz="8" w:color="CCEEFF"/>
            </w:tcBorders>
          </w:tcPr>
          <w:p>
            <w:pPr>
              <w:spacing w:after="0"/>
              <w:rPr>
                <w:sz w:val="18"/>
                <w:szCs w:val="18"/>
                <w:color w:val="auto"/>
              </w:rPr>
            </w:pPr>
          </w:p>
        </w:tc>
      </w:tr>
      <w:tr>
        <w:trPr>
          <w:trHeight w:val="209"/>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280" w:type="dxa"/>
            <w:vAlign w:val="bottom"/>
            <w:shd w:val="clear" w:color="auto" w:fill="CCEEFF"/>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860" w:type="dxa"/>
            <w:vAlign w:val="bottom"/>
          </w:tcPr>
          <w:p>
            <w:pPr>
              <w:jc w:val="right"/>
              <w:spacing w:after="0"/>
              <w:rPr>
                <w:sz w:val="20"/>
                <w:szCs w:val="20"/>
                <w:color w:val="auto"/>
              </w:rPr>
            </w:pPr>
            <w:r>
              <w:rPr>
                <w:rFonts w:ascii="Arial" w:cs="Arial" w:eastAsia="Arial" w:hAnsi="Arial"/>
                <w:sz w:val="18"/>
                <w:szCs w:val="18"/>
                <w:color w:val="auto"/>
              </w:rPr>
              <w:t>8.6</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9.9</w:t>
            </w:r>
          </w:p>
        </w:tc>
        <w:tc>
          <w:tcPr>
            <w:tcW w:w="280" w:type="dxa"/>
            <w:vAlign w:val="bottom"/>
          </w:tcPr>
          <w:p>
            <w:pPr>
              <w:spacing w:after="0"/>
              <w:rPr>
                <w:sz w:val="18"/>
                <w:szCs w:val="18"/>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Asset impairment charges and other costs, net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r>
      <w:tr>
        <w:trPr>
          <w:trHeight w:val="210"/>
        </w:trPr>
        <w:tc>
          <w:tcPr>
            <w:tcW w:w="6700" w:type="dxa"/>
            <w:vAlign w:val="bottom"/>
          </w:tcPr>
          <w:p>
            <w:pPr>
              <w:spacing w:after="0"/>
              <w:rPr>
                <w:sz w:val="20"/>
                <w:szCs w:val="20"/>
                <w:color w:val="auto"/>
              </w:rPr>
            </w:pPr>
            <w:r>
              <w:rPr>
                <w:rFonts w:ascii="Arial" w:cs="Arial" w:eastAsia="Arial" w:hAnsi="Arial"/>
                <w:sz w:val="18"/>
                <w:szCs w:val="18"/>
                <w:color w:val="auto"/>
              </w:rPr>
              <w:t>Earnings from operations</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24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280" w:type="dxa"/>
            <w:vAlign w:val="bottom"/>
          </w:tcPr>
          <w:p>
            <w:pPr>
              <w:spacing w:after="0"/>
              <w:rPr>
                <w:sz w:val="18"/>
                <w:szCs w:val="18"/>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4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80" w:type="dxa"/>
            <w:vAlign w:val="bottom"/>
            <w:shd w:val="clear" w:color="auto" w:fill="CCEEFF"/>
          </w:tcPr>
          <w:p>
            <w:pPr>
              <w:spacing w:after="0"/>
              <w:rPr>
                <w:sz w:val="18"/>
                <w:szCs w:val="18"/>
                <w:color w:val="auto"/>
              </w:rPr>
            </w:pPr>
          </w:p>
        </w:tc>
      </w:tr>
      <w:tr>
        <w:trPr>
          <w:trHeight w:val="209"/>
        </w:trPr>
        <w:tc>
          <w:tcPr>
            <w:tcW w:w="6700" w:type="dxa"/>
            <w:vAlign w:val="bottom"/>
          </w:tcPr>
          <w:p>
            <w:pPr>
              <w:spacing w:after="0"/>
              <w:rPr>
                <w:sz w:val="20"/>
                <w:szCs w:val="20"/>
                <w:color w:val="auto"/>
              </w:rPr>
            </w:pPr>
            <w:r>
              <w:rPr>
                <w:rFonts w:ascii="Arial" w:cs="Arial" w:eastAsia="Arial" w:hAnsi="Arial"/>
                <w:sz w:val="18"/>
                <w:szCs w:val="18"/>
                <w:color w:val="auto"/>
              </w:rPr>
              <w:t>Earnings before income taxes</w:t>
            </w:r>
          </w:p>
        </w:tc>
        <w:tc>
          <w:tcPr>
            <w:tcW w:w="860" w:type="dxa"/>
            <w:vAlign w:val="bottom"/>
          </w:tcPr>
          <w:p>
            <w:pPr>
              <w:jc w:val="right"/>
              <w:spacing w:after="0"/>
              <w:rPr>
                <w:sz w:val="20"/>
                <w:szCs w:val="20"/>
                <w:color w:val="auto"/>
              </w:rPr>
            </w:pPr>
            <w:r>
              <w:rPr>
                <w:rFonts w:ascii="Arial" w:cs="Arial" w:eastAsia="Arial" w:hAnsi="Arial"/>
                <w:sz w:val="18"/>
                <w:szCs w:val="18"/>
                <w:color w:val="auto"/>
              </w:rPr>
              <w:t>6.6</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5.5</w:t>
            </w:r>
          </w:p>
        </w:tc>
        <w:tc>
          <w:tcPr>
            <w:tcW w:w="280" w:type="dxa"/>
            <w:vAlign w:val="bottom"/>
          </w:tcPr>
          <w:p>
            <w:pPr>
              <w:spacing w:after="0"/>
              <w:rPr>
                <w:sz w:val="18"/>
                <w:szCs w:val="18"/>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4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80" w:type="dxa"/>
            <w:vAlign w:val="bottom"/>
            <w:shd w:val="clear" w:color="auto" w:fill="CCEEFF"/>
          </w:tcPr>
          <w:p>
            <w:pPr>
              <w:spacing w:after="0"/>
              <w:rPr>
                <w:sz w:val="18"/>
                <w:szCs w:val="18"/>
                <w:color w:val="auto"/>
              </w:rPr>
            </w:pPr>
          </w:p>
        </w:tc>
      </w:tr>
      <w:tr>
        <w:trPr>
          <w:trHeight w:val="210"/>
        </w:trPr>
        <w:tc>
          <w:tcPr>
            <w:tcW w:w="6700" w:type="dxa"/>
            <w:vAlign w:val="bottom"/>
          </w:tcPr>
          <w:p>
            <w:pPr>
              <w:spacing w:after="0"/>
              <w:rPr>
                <w:sz w:val="20"/>
                <w:szCs w:val="20"/>
                <w:color w:val="auto"/>
              </w:rPr>
            </w:pPr>
            <w:r>
              <w:rPr>
                <w:rFonts w:ascii="Arial" w:cs="Arial" w:eastAsia="Arial" w:hAnsi="Arial"/>
                <w:sz w:val="18"/>
                <w:szCs w:val="18"/>
                <w:color w:val="auto"/>
              </w:rPr>
              <w:t>Net earnings</w:t>
            </w:r>
          </w:p>
        </w:tc>
        <w:tc>
          <w:tcPr>
            <w:tcW w:w="860" w:type="dxa"/>
            <w:vAlign w:val="bottom"/>
          </w:tcPr>
          <w:p>
            <w:pPr>
              <w:jc w:val="right"/>
              <w:spacing w:after="0"/>
              <w:rPr>
                <w:sz w:val="20"/>
                <w:szCs w:val="20"/>
                <w:color w:val="auto"/>
              </w:rPr>
            </w:pPr>
            <w:r>
              <w:rPr>
                <w:rFonts w:ascii="Arial" w:cs="Arial" w:eastAsia="Arial" w:hAnsi="Arial"/>
                <w:sz w:val="18"/>
                <w:szCs w:val="18"/>
                <w:color w:val="auto"/>
              </w:rPr>
              <w:t>4.9</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w:t>
            </w:r>
          </w:p>
        </w:tc>
        <w:tc>
          <w:tcPr>
            <w:tcW w:w="280" w:type="dxa"/>
            <w:vAlign w:val="bottom"/>
          </w:tcPr>
          <w:p>
            <w:pPr>
              <w:spacing w:after="0"/>
              <w:rPr>
                <w:sz w:val="18"/>
                <w:szCs w:val="18"/>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Less net earnings attributable to noncontrolling interest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4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80" w:type="dxa"/>
            <w:vAlign w:val="bottom"/>
            <w:shd w:val="clear" w:color="auto" w:fill="CCEEFF"/>
          </w:tcPr>
          <w:p>
            <w:pPr>
              <w:spacing w:after="0"/>
              <w:rPr>
                <w:sz w:val="18"/>
                <w:szCs w:val="18"/>
                <w:color w:val="auto"/>
              </w:rPr>
            </w:pPr>
          </w:p>
        </w:tc>
      </w:tr>
      <w:tr>
        <w:trPr>
          <w:trHeight w:val="210"/>
        </w:trPr>
        <w:tc>
          <w:tcPr>
            <w:tcW w:w="6700" w:type="dxa"/>
            <w:vAlign w:val="bottom"/>
          </w:tcPr>
          <w:p>
            <w:pPr>
              <w:spacing w:after="0"/>
              <w:rPr>
                <w:sz w:val="20"/>
                <w:szCs w:val="20"/>
                <w:color w:val="auto"/>
              </w:rPr>
            </w:pPr>
            <w:r>
              <w:rPr>
                <w:rFonts w:ascii="Arial" w:cs="Arial" w:eastAsia="Arial" w:hAnsi="Arial"/>
                <w:sz w:val="18"/>
                <w:szCs w:val="18"/>
                <w:color w:val="auto"/>
              </w:rPr>
              <w:t>Net earnings attributable to controlling interest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w w:val="87"/>
              </w:rPr>
              <w:t>%</w:t>
            </w:r>
          </w:p>
        </w:tc>
      </w:tr>
      <w:tr>
        <w:trPr>
          <w:trHeight w:val="20"/>
        </w:trPr>
        <w:tc>
          <w:tcPr>
            <w:tcW w:w="67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89" w:lineRule="exact"/>
        <w:rPr>
          <w:sz w:val="20"/>
          <w:szCs w:val="20"/>
          <w:color w:val="auto"/>
        </w:rPr>
      </w:pPr>
    </w:p>
    <w:p>
      <w:pPr>
        <w:ind w:left="60"/>
        <w:spacing w:after="0"/>
        <w:rPr>
          <w:sz w:val="20"/>
          <w:szCs w:val="20"/>
          <w:color w:val="auto"/>
        </w:rPr>
      </w:pPr>
      <w:r>
        <w:rPr>
          <w:rFonts w:ascii="Arial" w:cs="Arial" w:eastAsia="Arial" w:hAnsi="Arial"/>
          <w:sz w:val="14"/>
          <w:szCs w:val="14"/>
          <w:color w:val="auto"/>
        </w:rPr>
        <w:t>Note: Actual percentages are calculated and may not sum to total due to rounding.</w:t>
      </w:r>
    </w:p>
    <w:p>
      <w:pPr>
        <w:spacing w:after="0" w:line="208"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The following table presents, for the periods indicated, our selling, general, and administrative (SG&amp;A) costs as a percentage of gross profit. Given our strategies to enhance our capabilities and improve our value-added product offering and recognizing the higher relative level of SG&amp;A costs these strategies require, we believe this ratio provides an enhanced view of our effectiveness in managing these costs and mitigates the impact of changing lumber prices.</w:t>
      </w:r>
    </w:p>
    <w:p>
      <w:pPr>
        <w:spacing w:after="0" w:line="176" w:lineRule="exact"/>
        <w:rPr>
          <w:sz w:val="20"/>
          <w:szCs w:val="20"/>
          <w:color w:val="auto"/>
        </w:rPr>
      </w:pPr>
    </w:p>
    <w:p>
      <w:pPr>
        <w:jc w:val="center"/>
        <w:ind w:left="5460"/>
        <w:spacing w:after="0"/>
        <w:rPr>
          <w:sz w:val="20"/>
          <w:szCs w:val="20"/>
          <w:color w:val="auto"/>
        </w:rPr>
      </w:pPr>
      <w:r>
        <w:rPr>
          <w:rFonts w:ascii="Arial" w:cs="Arial" w:eastAsia="Arial" w:hAnsi="Arial"/>
          <w:sz w:val="14"/>
          <w:szCs w:val="14"/>
          <w:b w:val="1"/>
          <w:bCs w:val="1"/>
          <w:color w:val="auto"/>
        </w:rPr>
        <w:t>SG&amp;A as a Percentage of Gross Profit</w:t>
      </w:r>
    </w:p>
    <w:p>
      <w:pPr>
        <w:jc w:val="center"/>
        <w:ind w:left="5460"/>
        <w:spacing w:after="0" w:line="236" w:lineRule="auto"/>
        <w:rPr>
          <w:sz w:val="20"/>
          <w:szCs w:val="20"/>
          <w:color w:val="auto"/>
        </w:rPr>
      </w:pPr>
      <w:r>
        <w:rPr>
          <w:rFonts w:ascii="Arial" w:cs="Arial" w:eastAsia="Arial" w:hAnsi="Arial"/>
          <w:sz w:val="14"/>
          <w:szCs w:val="14"/>
          <w:b w:val="1"/>
          <w:bCs w:val="1"/>
          <w:color w:val="auto"/>
        </w:rPr>
        <w:t>Year Ended</w:t>
      </w:r>
    </w:p>
    <w:tbl>
      <w:tblPr>
        <w:tblLayout w:type="fixed"/>
        <w:tblInd w:w="40" w:type="dxa"/>
        <w:tblCellMar>
          <w:top w:w="0" w:type="dxa"/>
          <w:left w:w="0" w:type="dxa"/>
          <w:bottom w:w="0" w:type="dxa"/>
          <w:right w:w="0" w:type="dxa"/>
        </w:tblCellMar>
      </w:tblPr>
      <w:tr>
        <w:trPr>
          <w:trHeight w:val="133"/>
        </w:trPr>
        <w:tc>
          <w:tcPr>
            <w:tcW w:w="43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tcPr>
          <w:p>
            <w:pPr>
              <w:jc w:val="right"/>
              <w:ind w:right="277"/>
              <w:spacing w:after="0" w:line="133" w:lineRule="exact"/>
              <w:rPr>
                <w:sz w:val="20"/>
                <w:szCs w:val="20"/>
                <w:color w:val="auto"/>
              </w:rPr>
            </w:pPr>
            <w:r>
              <w:rPr>
                <w:rFonts w:ascii="Arial" w:cs="Arial" w:eastAsia="Arial" w:hAnsi="Arial"/>
                <w:sz w:val="14"/>
                <w:szCs w:val="14"/>
                <w:b w:val="1"/>
                <w:bCs w:val="1"/>
                <w:color w:val="auto"/>
              </w:rPr>
              <w:t>December 26,</w:t>
            </w:r>
          </w:p>
        </w:tc>
        <w:tc>
          <w:tcPr>
            <w:tcW w:w="2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tcPr>
          <w:p>
            <w:pPr>
              <w:jc w:val="right"/>
              <w:ind w:right="277"/>
              <w:spacing w:after="0" w:line="133" w:lineRule="exact"/>
              <w:rPr>
                <w:sz w:val="20"/>
                <w:szCs w:val="20"/>
                <w:color w:val="auto"/>
              </w:rPr>
            </w:pPr>
            <w:r>
              <w:rPr>
                <w:rFonts w:ascii="Arial" w:cs="Arial" w:eastAsia="Arial" w:hAnsi="Arial"/>
                <w:sz w:val="14"/>
                <w:szCs w:val="14"/>
                <w:b w:val="1"/>
                <w:bCs w:val="1"/>
                <w:color w:val="auto"/>
              </w:rPr>
              <w:t>December 28,</w:t>
            </w:r>
          </w:p>
        </w:tc>
      </w:tr>
      <w:tr>
        <w:trPr>
          <w:trHeight w:val="178"/>
        </w:trPr>
        <w:tc>
          <w:tcPr>
            <w:tcW w:w="4320" w:type="dxa"/>
            <w:vAlign w:val="bottom"/>
            <w:tcBorders>
              <w:bottom w:val="single" w:sz="8" w:color="CCEEFF"/>
            </w:tcBorders>
          </w:tcPr>
          <w:p>
            <w:pPr>
              <w:spacing w:after="0"/>
              <w:rPr>
                <w:sz w:val="15"/>
                <w:szCs w:val="15"/>
                <w:color w:val="auto"/>
              </w:rPr>
            </w:pPr>
          </w:p>
        </w:tc>
        <w:tc>
          <w:tcPr>
            <w:tcW w:w="11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2019</w:t>
            </w:r>
          </w:p>
        </w:tc>
      </w:tr>
      <w:tr>
        <w:trPr>
          <w:trHeight w:val="216"/>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160" w:type="dxa"/>
            <w:vAlign w:val="bottom"/>
            <w:shd w:val="clear" w:color="auto" w:fill="CCEEFF"/>
          </w:tcPr>
          <w:p>
            <w:pPr>
              <w:ind w:left="1080"/>
              <w:spacing w:after="0"/>
              <w:rPr>
                <w:sz w:val="20"/>
                <w:szCs w:val="20"/>
                <w:color w:val="auto"/>
              </w:rPr>
            </w:pPr>
            <w:r>
              <w:rPr>
                <w:rFonts w:ascii="Arial" w:cs="Arial" w:eastAsia="Arial" w:hAnsi="Arial"/>
                <w:sz w:val="15"/>
                <w:szCs w:val="15"/>
                <w:color w:val="auto"/>
                <w:w w:val="71"/>
              </w:rPr>
              <w:t>$</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800,296</w:t>
            </w:r>
          </w:p>
        </w:tc>
        <w:tc>
          <w:tcPr>
            <w:tcW w:w="260" w:type="dxa"/>
            <w:vAlign w:val="bottom"/>
            <w:shd w:val="clear" w:color="auto" w:fill="CCEEFF"/>
          </w:tcPr>
          <w:p>
            <w:pPr>
              <w:ind w:left="180"/>
              <w:spacing w:after="0"/>
              <w:rPr>
                <w:sz w:val="20"/>
                <w:szCs w:val="20"/>
                <w:color w:val="auto"/>
              </w:rPr>
            </w:pPr>
            <w:r>
              <w:rPr>
                <w:rFonts w:ascii="Arial" w:cs="Arial" w:eastAsia="Arial" w:hAnsi="Arial"/>
                <w:sz w:val="15"/>
                <w:szCs w:val="15"/>
                <w:color w:val="auto"/>
                <w:w w:val="71"/>
              </w:rPr>
              <w:t>$</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685,518</w:t>
            </w:r>
          </w:p>
        </w:tc>
      </w:tr>
      <w:tr>
        <w:trPr>
          <w:trHeight w:val="216"/>
        </w:trPr>
        <w:tc>
          <w:tcPr>
            <w:tcW w:w="432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3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444,596</w:t>
            </w:r>
          </w:p>
        </w:tc>
        <w:tc>
          <w:tcPr>
            <w:tcW w:w="4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439,047</w:t>
            </w:r>
          </w:p>
        </w:tc>
      </w:tr>
      <w:tr>
        <w:trPr>
          <w:trHeight w:val="216"/>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SG&amp;A as percentage of gross profit</w:t>
            </w: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w:t>
            </w:r>
          </w:p>
        </w:tc>
      </w:tr>
    </w:tbl>
    <w:p>
      <w:pPr>
        <w:spacing w:after="0" w:line="202"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In 2020, we increased the amount of planned long-term share-based bonus awards that will be used to settle bonus obligations instead of cash, which resulted in a decrease in expense. This change was made to encourage employee retention and align their interests with shareholders. See discussion of share-based bonus awards in Note H — Common Stock.</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7" w:name="page78"/>
    <w:bookmarkEnd w:id="7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UFP INDUSTRIES, INC.</w:t>
      </w:r>
    </w:p>
    <w:p>
      <w:pPr>
        <w:spacing w:after="0" w:line="50"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ind w:left="2040"/>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OPERATING RESULTS BY SEGMENT</w:t>
      </w:r>
    </w:p>
    <w:p>
      <w:pPr>
        <w:spacing w:after="0" w:line="229"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Effective January 1, 2020, we re-organized around the markets we serve rather than geography and the historical segment information has been recast for all periods presented. Our new business segments align with the following markets: UFP Retail Solutions, UFP Construction and UFP Industrial. Among other things, this change allows for a more specialized and consistent sales approach among Company operations, more efficient use of resources and capital, and quicker introduction of new products and services. We manage the operations of our individual locations primarily through a market-centered reporting structure under which each location is included in a business unit and business units are included in our Retail, Industrial, and Construction segments. The exception to this market-centered reporting and management structure is our International segment, which comprises our Mexico, Canada, Europe, and Australia operations and sales and buying offices in other parts of the world. Our International segment and Ardellis (our insurance captive) have been included in the “All Other” column of the table below. The “Corporate” column includes purchasing, transportation and administrative functions that serve our operating segments. Operating results of Corporate primarily consists of over (under) allocated costs. The operating results of UFP Real Estate, Inc., which owns and leases real estate, and UFP Transportation Ltd., which owns and leases transportation equipment, are also included in the Corporate column. An inter-company lease charge is assessed to our operating segments for the use of these assets at fair market value rates.</w:t>
      </w:r>
    </w:p>
    <w:p>
      <w:pPr>
        <w:spacing w:after="0" w:line="171"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following tables present our operating results by segment for December 26, 2020, December 28, 2019 and December 29, 2018.</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20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Year Ended December 26, 2020</w:t>
            </w: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20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24"/>
                <w:szCs w:val="24"/>
                <w:color w:val="auto"/>
              </w:rPr>
            </w:pPr>
          </w:p>
        </w:tc>
        <w:tc>
          <w:tcPr>
            <w:tcW w:w="1020" w:type="dxa"/>
            <w:vAlign w:val="bottom"/>
            <w:gridSpan w:val="2"/>
          </w:tcPr>
          <w:p>
            <w:pPr>
              <w:ind w:left="160"/>
              <w:spacing w:after="0"/>
              <w:rPr>
                <w:sz w:val="20"/>
                <w:szCs w:val="20"/>
                <w:color w:val="auto"/>
              </w:rPr>
            </w:pPr>
            <w:r>
              <w:rPr>
                <w:rFonts w:ascii="Arial" w:cs="Arial" w:eastAsia="Arial" w:hAnsi="Arial"/>
                <w:sz w:val="14"/>
                <w:szCs w:val="14"/>
                <w:b w:val="1"/>
                <w:bCs w:val="1"/>
                <w:color w:val="auto"/>
              </w:rPr>
              <w:t>Retail</w:t>
            </w:r>
          </w:p>
        </w:tc>
        <w:tc>
          <w:tcPr>
            <w:tcW w:w="140" w:type="dxa"/>
            <w:vAlign w:val="bottom"/>
          </w:tcPr>
          <w:p>
            <w:pPr>
              <w:spacing w:after="0"/>
              <w:rPr>
                <w:sz w:val="24"/>
                <w:szCs w:val="24"/>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Industrial</w:t>
            </w:r>
          </w:p>
        </w:tc>
        <w:tc>
          <w:tcPr>
            <w:tcW w:w="8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Construction</w:t>
            </w:r>
          </w:p>
        </w:tc>
        <w:tc>
          <w:tcPr>
            <w:tcW w:w="140" w:type="dxa"/>
            <w:vAlign w:val="bottom"/>
          </w:tcPr>
          <w:p>
            <w:pPr>
              <w:spacing w:after="0"/>
              <w:rPr>
                <w:sz w:val="24"/>
                <w:szCs w:val="24"/>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All Other</w:t>
            </w:r>
          </w:p>
        </w:tc>
        <w:tc>
          <w:tcPr>
            <w:tcW w:w="120" w:type="dxa"/>
            <w:vAlign w:val="bottom"/>
          </w:tcPr>
          <w:p>
            <w:pPr>
              <w:spacing w:after="0"/>
              <w:rPr>
                <w:sz w:val="24"/>
                <w:szCs w:val="24"/>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Corporate</w:t>
            </w:r>
          </w:p>
        </w:tc>
        <w:tc>
          <w:tcPr>
            <w:tcW w:w="180" w:type="dxa"/>
            <w:vAlign w:val="bottom"/>
          </w:tcPr>
          <w:p>
            <w:pPr>
              <w:spacing w:after="0"/>
              <w:rPr>
                <w:sz w:val="24"/>
                <w:szCs w:val="24"/>
                <w:color w:val="auto"/>
              </w:rPr>
            </w:pPr>
          </w:p>
        </w:tc>
        <w:tc>
          <w:tcPr>
            <w:tcW w:w="860" w:type="dxa"/>
            <w:vAlign w:val="bottom"/>
          </w:tcPr>
          <w:p>
            <w:pPr>
              <w:jc w:val="right"/>
              <w:ind w:right="2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6"/>
        </w:trPr>
        <w:tc>
          <w:tcPr>
            <w:tcW w:w="2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2,167,122</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1,072,117</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1,695,684</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217,094</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1,981</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5,153,998</w:t>
            </w:r>
          </w:p>
        </w:tc>
        <w:tc>
          <w:tcPr>
            <w:tcW w:w="0" w:type="dxa"/>
            <w:vAlign w:val="bottom"/>
          </w:tcPr>
          <w:p>
            <w:pPr>
              <w:spacing w:after="0"/>
              <w:rPr>
                <w:sz w:val="1"/>
                <w:szCs w:val="1"/>
                <w:color w:val="auto"/>
              </w:rPr>
            </w:pPr>
          </w:p>
        </w:tc>
      </w:tr>
      <w:tr>
        <w:trPr>
          <w:trHeight w:val="223"/>
        </w:trPr>
        <w:tc>
          <w:tcPr>
            <w:tcW w:w="2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1,874,114</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895,466</w:t>
            </w:r>
          </w:p>
        </w:tc>
        <w:tc>
          <w:tcPr>
            <w:tcW w:w="18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1,433,469</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147,117</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3,536</w:t>
            </w: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4,353,702</w:t>
            </w: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293,008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176,651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262,215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69,977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800,296</w:t>
            </w:r>
          </w:p>
        </w:tc>
        <w:tc>
          <w:tcPr>
            <w:tcW w:w="0" w:type="dxa"/>
            <w:vAlign w:val="bottom"/>
          </w:tcPr>
          <w:p>
            <w:pPr>
              <w:spacing w:after="0"/>
              <w:rPr>
                <w:sz w:val="1"/>
                <w:szCs w:val="1"/>
                <w:color w:val="auto"/>
              </w:rPr>
            </w:pPr>
          </w:p>
        </w:tc>
      </w:tr>
      <w:tr>
        <w:trPr>
          <w:trHeight w:val="202"/>
        </w:trPr>
        <w:tc>
          <w:tcPr>
            <w:tcW w:w="2040" w:type="dxa"/>
            <w:vAlign w:val="bottom"/>
          </w:tcPr>
          <w:p>
            <w:pPr>
              <w:ind w:left="20"/>
              <w:spacing w:after="0" w:line="201" w:lineRule="exact"/>
              <w:rPr>
                <w:sz w:val="20"/>
                <w:szCs w:val="20"/>
                <w:color w:val="auto"/>
              </w:rPr>
            </w:pPr>
            <w:r>
              <w:rPr>
                <w:rFonts w:ascii="Arial" w:cs="Arial" w:eastAsia="Arial" w:hAnsi="Arial"/>
                <w:sz w:val="18"/>
                <w:szCs w:val="18"/>
                <w:color w:val="auto"/>
              </w:rPr>
              <w:t>Selling, general,</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40" w:type="dxa"/>
            <w:vAlign w:val="bottom"/>
          </w:tcPr>
          <w:p>
            <w:pPr>
              <w:ind w:left="20"/>
              <w:spacing w:after="0"/>
              <w:rPr>
                <w:sz w:val="20"/>
                <w:szCs w:val="20"/>
                <w:color w:val="auto"/>
              </w:rPr>
            </w:pPr>
            <w:r>
              <w:rPr>
                <w:rFonts w:ascii="Arial" w:cs="Arial" w:eastAsia="Arial" w:hAnsi="Arial"/>
                <w:sz w:val="18"/>
                <w:szCs w:val="18"/>
                <w:color w:val="auto"/>
              </w:rPr>
              <w:t>administrative expenses</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137,641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97,146</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179,516</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34,471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(4,178)</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444,596</w:t>
            </w:r>
          </w:p>
        </w:tc>
        <w:tc>
          <w:tcPr>
            <w:tcW w:w="0" w:type="dxa"/>
            <w:vAlign w:val="bottom"/>
          </w:tcPr>
          <w:p>
            <w:pPr>
              <w:spacing w:after="0"/>
              <w:rPr>
                <w:sz w:val="1"/>
                <w:szCs w:val="1"/>
                <w:color w:val="auto"/>
              </w:rPr>
            </w:pPr>
          </w:p>
        </w:tc>
      </w:tr>
      <w:tr>
        <w:trPr>
          <w:trHeight w:val="202"/>
        </w:trPr>
        <w:tc>
          <w:tcPr>
            <w:tcW w:w="204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Asset impairment</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charges and other costs,</w:t>
            </w:r>
          </w:p>
        </w:tc>
        <w:tc>
          <w:tcPr>
            <w:tcW w:w="140" w:type="dxa"/>
            <w:vAlign w:val="bottom"/>
            <w:shd w:val="clear" w:color="auto" w:fill="CCEEFF"/>
          </w:tcPr>
          <w:p>
            <w:pPr>
              <w:spacing w:after="0"/>
              <w:rPr>
                <w:sz w:val="18"/>
                <w:szCs w:val="18"/>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(3,873)</w:t>
            </w:r>
          </w:p>
        </w:tc>
        <w:tc>
          <w:tcPr>
            <w:tcW w:w="8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13,690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(774)</w:t>
            </w:r>
          </w:p>
        </w:tc>
        <w:tc>
          <w:tcPr>
            <w:tcW w:w="180" w:type="dxa"/>
            <w:vAlign w:val="bottom"/>
            <w:shd w:val="clear" w:color="auto" w:fill="CCEEFF"/>
          </w:tcPr>
          <w:p>
            <w:pPr>
              <w:spacing w:after="0"/>
              <w:rPr>
                <w:sz w:val="18"/>
                <w:szCs w:val="18"/>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9,874</w:t>
            </w:r>
          </w:p>
        </w:tc>
        <w:tc>
          <w:tcPr>
            <w:tcW w:w="0" w:type="dxa"/>
            <w:vAlign w:val="bottom"/>
          </w:tcPr>
          <w:p>
            <w:pPr>
              <w:spacing w:after="0"/>
              <w:rPr>
                <w:sz w:val="1"/>
                <w:szCs w:val="1"/>
                <w:color w:val="auto"/>
              </w:rPr>
            </w:pPr>
          </w:p>
        </w:tc>
      </w:tr>
      <w:tr>
        <w:trPr>
          <w:trHeight w:val="237"/>
        </w:trPr>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w:t>
            </w:r>
          </w:p>
        </w:tc>
        <w:tc>
          <w:tcPr>
            <w:tcW w:w="140" w:type="dxa"/>
            <w:vAlign w:val="bottom"/>
            <w:shd w:val="clear" w:color="auto" w:fill="CCEEFF"/>
          </w:tcPr>
          <w:p>
            <w:pPr>
              <w:spacing w:after="0"/>
              <w:rPr>
                <w:sz w:val="20"/>
                <w:szCs w:val="20"/>
                <w:color w:val="auto"/>
              </w:rPr>
            </w:pPr>
          </w:p>
        </w:tc>
        <w:tc>
          <w:tcPr>
            <w:tcW w:w="840" w:type="dxa"/>
            <w:vAlign w:val="bottom"/>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2"/>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gridSpan w:val="2"/>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40" w:type="dxa"/>
            <w:vAlign w:val="bottom"/>
            <w:tcBorders>
              <w:top w:val="single" w:sz="8" w:color="CCEEFF"/>
            </w:tcBorders>
          </w:tcPr>
          <w:p>
            <w:pPr>
              <w:ind w:left="20"/>
              <w:spacing w:after="0" w:line="203" w:lineRule="exact"/>
              <w:rPr>
                <w:sz w:val="20"/>
                <w:szCs w:val="20"/>
                <w:color w:val="auto"/>
              </w:rPr>
            </w:pPr>
            <w:r>
              <w:rPr>
                <w:rFonts w:ascii="Arial" w:cs="Arial" w:eastAsia="Arial" w:hAnsi="Arial"/>
                <w:sz w:val="18"/>
                <w:szCs w:val="18"/>
                <w:color w:val="auto"/>
                <w:w w:val="99"/>
              </w:rPr>
              <w:t>Earnings from operations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155,311</w:t>
            </w: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83,378</w:t>
            </w: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69,009</w:t>
            </w: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34,731</w:t>
            </w: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3,397</w:t>
            </w: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345,826</w:t>
            </w:r>
          </w:p>
        </w:tc>
        <w:tc>
          <w:tcPr>
            <w:tcW w:w="0" w:type="dxa"/>
            <w:vAlign w:val="bottom"/>
          </w:tcPr>
          <w:p>
            <w:pPr>
              <w:spacing w:after="0"/>
              <w:rPr>
                <w:sz w:val="1"/>
                <w:szCs w:val="1"/>
                <w:color w:val="auto"/>
              </w:rPr>
            </w:pPr>
          </w:p>
        </w:tc>
      </w:tr>
      <w:tr>
        <w:trPr>
          <w:trHeight w:val="385"/>
        </w:trPr>
        <w:tc>
          <w:tcPr>
            <w:tcW w:w="20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Year Ended December 28, 2019</w:t>
            </w: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0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24"/>
                <w:szCs w:val="24"/>
                <w:color w:val="auto"/>
              </w:rPr>
            </w:pPr>
          </w:p>
        </w:tc>
        <w:tc>
          <w:tcPr>
            <w:tcW w:w="1020" w:type="dxa"/>
            <w:vAlign w:val="bottom"/>
            <w:gridSpan w:val="2"/>
          </w:tcPr>
          <w:p>
            <w:pPr>
              <w:ind w:left="160"/>
              <w:spacing w:after="0"/>
              <w:rPr>
                <w:sz w:val="20"/>
                <w:szCs w:val="20"/>
                <w:color w:val="auto"/>
              </w:rPr>
            </w:pPr>
            <w:r>
              <w:rPr>
                <w:rFonts w:ascii="Arial" w:cs="Arial" w:eastAsia="Arial" w:hAnsi="Arial"/>
                <w:sz w:val="14"/>
                <w:szCs w:val="14"/>
                <w:b w:val="1"/>
                <w:bCs w:val="1"/>
                <w:color w:val="auto"/>
              </w:rPr>
              <w:t>Retail</w:t>
            </w:r>
          </w:p>
        </w:tc>
        <w:tc>
          <w:tcPr>
            <w:tcW w:w="140" w:type="dxa"/>
            <w:vAlign w:val="bottom"/>
          </w:tcPr>
          <w:p>
            <w:pPr>
              <w:spacing w:after="0"/>
              <w:rPr>
                <w:sz w:val="24"/>
                <w:szCs w:val="24"/>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Industrial</w:t>
            </w:r>
          </w:p>
        </w:tc>
        <w:tc>
          <w:tcPr>
            <w:tcW w:w="8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Construction</w:t>
            </w:r>
          </w:p>
        </w:tc>
        <w:tc>
          <w:tcPr>
            <w:tcW w:w="140" w:type="dxa"/>
            <w:vAlign w:val="bottom"/>
          </w:tcPr>
          <w:p>
            <w:pPr>
              <w:spacing w:after="0"/>
              <w:rPr>
                <w:sz w:val="24"/>
                <w:szCs w:val="24"/>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All Other</w:t>
            </w:r>
          </w:p>
        </w:tc>
        <w:tc>
          <w:tcPr>
            <w:tcW w:w="120" w:type="dxa"/>
            <w:vAlign w:val="bottom"/>
          </w:tcPr>
          <w:p>
            <w:pPr>
              <w:spacing w:after="0"/>
              <w:rPr>
                <w:sz w:val="24"/>
                <w:szCs w:val="24"/>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Corporate</w:t>
            </w:r>
          </w:p>
        </w:tc>
        <w:tc>
          <w:tcPr>
            <w:tcW w:w="180" w:type="dxa"/>
            <w:vAlign w:val="bottom"/>
          </w:tcPr>
          <w:p>
            <w:pPr>
              <w:spacing w:after="0"/>
              <w:rPr>
                <w:sz w:val="24"/>
                <w:szCs w:val="24"/>
                <w:color w:val="auto"/>
              </w:rPr>
            </w:pPr>
          </w:p>
        </w:tc>
        <w:tc>
          <w:tcPr>
            <w:tcW w:w="860" w:type="dxa"/>
            <w:vAlign w:val="bottom"/>
          </w:tcPr>
          <w:p>
            <w:pPr>
              <w:jc w:val="right"/>
              <w:ind w:right="2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6"/>
        </w:trPr>
        <w:tc>
          <w:tcPr>
            <w:tcW w:w="2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1,498,710</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1,085,635</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1,637,156</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193,785</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4,416,009</w:t>
            </w:r>
          </w:p>
        </w:tc>
        <w:tc>
          <w:tcPr>
            <w:tcW w:w="0" w:type="dxa"/>
            <w:vAlign w:val="bottom"/>
          </w:tcPr>
          <w:p>
            <w:pPr>
              <w:spacing w:after="0"/>
              <w:rPr>
                <w:sz w:val="1"/>
                <w:szCs w:val="1"/>
                <w:color w:val="auto"/>
              </w:rPr>
            </w:pPr>
          </w:p>
        </w:tc>
      </w:tr>
      <w:tr>
        <w:trPr>
          <w:trHeight w:val="223"/>
        </w:trPr>
        <w:tc>
          <w:tcPr>
            <w:tcW w:w="204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1,324,339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906,025</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1,365,394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141,916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(7,183)</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9"/>
              </w:rPr>
              <w:t>3,730,491</w:t>
            </w:r>
          </w:p>
        </w:tc>
        <w:tc>
          <w:tcPr>
            <w:tcW w:w="0" w:type="dxa"/>
            <w:vAlign w:val="bottom"/>
          </w:tcPr>
          <w:p>
            <w:pPr>
              <w:spacing w:after="0"/>
              <w:rPr>
                <w:sz w:val="1"/>
                <w:szCs w:val="1"/>
                <w:color w:val="auto"/>
              </w:rPr>
            </w:pPr>
          </w:p>
        </w:tc>
      </w:tr>
      <w:tr>
        <w:trPr>
          <w:trHeight w:val="216"/>
        </w:trPr>
        <w:tc>
          <w:tcPr>
            <w:tcW w:w="2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174,371</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179,610</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271,762</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51,869</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7,906</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685,518</w:t>
            </w:r>
          </w:p>
        </w:tc>
        <w:tc>
          <w:tcPr>
            <w:tcW w:w="0" w:type="dxa"/>
            <w:vAlign w:val="bottom"/>
          </w:tcPr>
          <w:p>
            <w:pPr>
              <w:spacing w:after="0"/>
              <w:rPr>
                <w:sz w:val="1"/>
                <w:szCs w:val="1"/>
                <w:color w:val="auto"/>
              </w:rPr>
            </w:pPr>
          </w:p>
        </w:tc>
      </w:tr>
      <w:tr>
        <w:trPr>
          <w:trHeight w:val="202"/>
        </w:trPr>
        <w:tc>
          <w:tcPr>
            <w:tcW w:w="2040" w:type="dxa"/>
            <w:vAlign w:val="bottom"/>
          </w:tcPr>
          <w:p>
            <w:pPr>
              <w:ind w:left="20"/>
              <w:spacing w:after="0" w:line="201" w:lineRule="exact"/>
              <w:rPr>
                <w:sz w:val="20"/>
                <w:szCs w:val="20"/>
                <w:color w:val="auto"/>
              </w:rPr>
            </w:pPr>
            <w:r>
              <w:rPr>
                <w:rFonts w:ascii="Arial" w:cs="Arial" w:eastAsia="Arial" w:hAnsi="Arial"/>
                <w:sz w:val="18"/>
                <w:szCs w:val="18"/>
                <w:color w:val="auto"/>
              </w:rPr>
              <w:t>Selling, general,</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40" w:type="dxa"/>
            <w:vAlign w:val="bottom"/>
          </w:tcPr>
          <w:p>
            <w:pPr>
              <w:ind w:left="20"/>
              <w:spacing w:after="0"/>
              <w:rPr>
                <w:sz w:val="20"/>
                <w:szCs w:val="20"/>
                <w:color w:val="auto"/>
              </w:rPr>
            </w:pPr>
            <w:r>
              <w:rPr>
                <w:rFonts w:ascii="Arial" w:cs="Arial" w:eastAsia="Arial" w:hAnsi="Arial"/>
                <w:sz w:val="18"/>
                <w:szCs w:val="18"/>
                <w:color w:val="auto"/>
              </w:rPr>
              <w:t>administrative expenses</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112,422</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96,157</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188,339</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33,173</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8,956</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439,047</w:t>
            </w:r>
          </w:p>
        </w:tc>
        <w:tc>
          <w:tcPr>
            <w:tcW w:w="0" w:type="dxa"/>
            <w:vAlign w:val="bottom"/>
          </w:tcPr>
          <w:p>
            <w:pPr>
              <w:spacing w:after="0"/>
              <w:rPr>
                <w:sz w:val="1"/>
                <w:szCs w:val="1"/>
                <w:color w:val="auto"/>
              </w:rPr>
            </w:pPr>
          </w:p>
        </w:tc>
      </w:tr>
      <w:tr>
        <w:trPr>
          <w:trHeight w:val="202"/>
        </w:trPr>
        <w:tc>
          <w:tcPr>
            <w:tcW w:w="204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Asset impairment</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charges and other costs,</w:t>
            </w:r>
          </w:p>
        </w:tc>
        <w:tc>
          <w:tcPr>
            <w:tcW w:w="140" w:type="dxa"/>
            <w:vAlign w:val="bottom"/>
            <w:shd w:val="clear" w:color="auto" w:fill="CCEEFF"/>
          </w:tcPr>
          <w:p>
            <w:pPr>
              <w:spacing w:after="0"/>
              <w:rPr>
                <w:sz w:val="18"/>
                <w:szCs w:val="18"/>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1,037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(382)</w:t>
            </w:r>
          </w:p>
        </w:tc>
        <w:tc>
          <w:tcPr>
            <w:tcW w:w="180" w:type="dxa"/>
            <w:vAlign w:val="bottom"/>
            <w:shd w:val="clear" w:color="auto" w:fill="CCEEFF"/>
          </w:tcPr>
          <w:p>
            <w:pPr>
              <w:spacing w:after="0"/>
              <w:rPr>
                <w:sz w:val="18"/>
                <w:szCs w:val="18"/>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1,565</w:t>
            </w:r>
          </w:p>
        </w:tc>
        <w:tc>
          <w:tcPr>
            <w:tcW w:w="0" w:type="dxa"/>
            <w:vAlign w:val="bottom"/>
          </w:tcPr>
          <w:p>
            <w:pPr>
              <w:spacing w:after="0"/>
              <w:rPr>
                <w:sz w:val="1"/>
                <w:szCs w:val="1"/>
                <w:color w:val="auto"/>
              </w:rPr>
            </w:pPr>
          </w:p>
        </w:tc>
      </w:tr>
      <w:tr>
        <w:trPr>
          <w:trHeight w:val="237"/>
        </w:trPr>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w:t>
            </w:r>
          </w:p>
        </w:tc>
        <w:tc>
          <w:tcPr>
            <w:tcW w:w="140" w:type="dxa"/>
            <w:vAlign w:val="bottom"/>
            <w:shd w:val="clear" w:color="auto" w:fill="CCEEFF"/>
          </w:tcPr>
          <w:p>
            <w:pPr>
              <w:spacing w:after="0"/>
              <w:rPr>
                <w:sz w:val="20"/>
                <w:szCs w:val="20"/>
                <w:color w:val="auto"/>
              </w:rPr>
            </w:pPr>
          </w:p>
        </w:tc>
        <w:tc>
          <w:tcPr>
            <w:tcW w:w="840" w:type="dxa"/>
            <w:vAlign w:val="bottom"/>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gridSpan w:val="2"/>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40" w:type="dxa"/>
            <w:vAlign w:val="bottom"/>
            <w:tcBorders>
              <w:top w:val="single" w:sz="8" w:color="CCEEFF"/>
            </w:tcBorders>
          </w:tcPr>
          <w:p>
            <w:pPr>
              <w:ind w:left="20"/>
              <w:spacing w:after="0" w:line="203" w:lineRule="exact"/>
              <w:rPr>
                <w:sz w:val="20"/>
                <w:szCs w:val="20"/>
                <w:color w:val="auto"/>
              </w:rPr>
            </w:pPr>
            <w:r>
              <w:rPr>
                <w:rFonts w:ascii="Arial" w:cs="Arial" w:eastAsia="Arial" w:hAnsi="Arial"/>
                <w:sz w:val="18"/>
                <w:szCs w:val="18"/>
                <w:color w:val="auto"/>
                <w:w w:val="99"/>
              </w:rPr>
              <w:t>Earnings from operations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61,680</w:t>
            </w: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82,971</w:t>
            </w: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82,386</w:t>
            </w: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18,537</w:t>
            </w: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(668)</w:t>
            </w: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244,906</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60"/>
        <w:spacing w:after="0"/>
        <w:rPr>
          <w:sz w:val="20"/>
          <w:szCs w:val="20"/>
          <w:color w:val="auto"/>
        </w:rPr>
      </w:pPr>
      <w:r>
        <w:rPr>
          <w:rFonts w:ascii="Arial" w:cs="Arial" w:eastAsia="Arial" w:hAnsi="Arial"/>
          <w:sz w:val="13"/>
          <w:szCs w:val="13"/>
          <w:color w:val="auto"/>
        </w:rPr>
        <w:t>Note: Allocations of corporate expenses in 2019 were modified to align with the methodology used to allocate corporate expenses in the current year.</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8" w:name="page79"/>
    <w:bookmarkEnd w:id="7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UFP INDUSTRIES, INC.</w:t>
      </w:r>
    </w:p>
    <w:p>
      <w:pPr>
        <w:spacing w:after="0" w:line="50"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20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Year Ended December 29, 2018</w:t>
            </w: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20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24"/>
                <w:szCs w:val="24"/>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Retail</w:t>
            </w:r>
          </w:p>
        </w:tc>
        <w:tc>
          <w:tcPr>
            <w:tcW w:w="140" w:type="dxa"/>
            <w:vAlign w:val="bottom"/>
          </w:tcPr>
          <w:p>
            <w:pPr>
              <w:spacing w:after="0"/>
              <w:rPr>
                <w:sz w:val="24"/>
                <w:szCs w:val="24"/>
                <w:color w:val="auto"/>
              </w:rPr>
            </w:pP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Industrial</w:t>
            </w:r>
          </w:p>
        </w:tc>
        <w:tc>
          <w:tcPr>
            <w:tcW w:w="8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Construction</w:t>
            </w:r>
          </w:p>
        </w:tc>
        <w:tc>
          <w:tcPr>
            <w:tcW w:w="140" w:type="dxa"/>
            <w:vAlign w:val="bottom"/>
          </w:tcPr>
          <w:p>
            <w:pPr>
              <w:spacing w:after="0"/>
              <w:rPr>
                <w:sz w:val="24"/>
                <w:szCs w:val="24"/>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All Other</w:t>
            </w:r>
          </w:p>
        </w:tc>
        <w:tc>
          <w:tcPr>
            <w:tcW w:w="120" w:type="dxa"/>
            <w:vAlign w:val="bottom"/>
          </w:tcPr>
          <w:p>
            <w:pPr>
              <w:spacing w:after="0"/>
              <w:rPr>
                <w:sz w:val="24"/>
                <w:szCs w:val="24"/>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Corporate</w:t>
            </w:r>
          </w:p>
        </w:tc>
        <w:tc>
          <w:tcPr>
            <w:tcW w:w="180" w:type="dxa"/>
            <w:vAlign w:val="bottom"/>
          </w:tcPr>
          <w:p>
            <w:pPr>
              <w:spacing w:after="0"/>
              <w:rPr>
                <w:sz w:val="24"/>
                <w:szCs w:val="24"/>
                <w:color w:val="auto"/>
              </w:rPr>
            </w:pPr>
          </w:p>
        </w:tc>
        <w:tc>
          <w:tcPr>
            <w:tcW w:w="860" w:type="dxa"/>
            <w:vAlign w:val="bottom"/>
          </w:tcPr>
          <w:p>
            <w:pPr>
              <w:jc w:val="right"/>
              <w:ind w:right="2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6"/>
        </w:trPr>
        <w:tc>
          <w:tcPr>
            <w:tcW w:w="2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1,512,477</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1,050,945</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1,705,016</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219,920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4,489,180</w:t>
            </w:r>
          </w:p>
        </w:tc>
        <w:tc>
          <w:tcPr>
            <w:tcW w:w="0" w:type="dxa"/>
            <w:vAlign w:val="bottom"/>
          </w:tcPr>
          <w:p>
            <w:pPr>
              <w:spacing w:after="0"/>
              <w:rPr>
                <w:sz w:val="1"/>
                <w:szCs w:val="1"/>
                <w:color w:val="auto"/>
              </w:rPr>
            </w:pPr>
          </w:p>
        </w:tc>
      </w:tr>
      <w:tr>
        <w:trPr>
          <w:trHeight w:val="223"/>
        </w:trPr>
        <w:tc>
          <w:tcPr>
            <w:tcW w:w="204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1,363,118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916,512</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1,451,460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170,913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(5,717)</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9"/>
              </w:rPr>
              <w:t>3,896,286</w:t>
            </w:r>
          </w:p>
        </w:tc>
        <w:tc>
          <w:tcPr>
            <w:tcW w:w="0" w:type="dxa"/>
            <w:vAlign w:val="bottom"/>
          </w:tcPr>
          <w:p>
            <w:pPr>
              <w:spacing w:after="0"/>
              <w:rPr>
                <w:sz w:val="1"/>
                <w:szCs w:val="1"/>
                <w:color w:val="auto"/>
              </w:rPr>
            </w:pPr>
          </w:p>
        </w:tc>
      </w:tr>
      <w:tr>
        <w:trPr>
          <w:trHeight w:val="216"/>
        </w:trPr>
        <w:tc>
          <w:tcPr>
            <w:tcW w:w="2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149,359</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134,433</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253,556</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49,007</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6,539</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592,894</w:t>
            </w:r>
          </w:p>
        </w:tc>
        <w:tc>
          <w:tcPr>
            <w:tcW w:w="0" w:type="dxa"/>
            <w:vAlign w:val="bottom"/>
          </w:tcPr>
          <w:p>
            <w:pPr>
              <w:spacing w:after="0"/>
              <w:rPr>
                <w:sz w:val="1"/>
                <w:szCs w:val="1"/>
                <w:color w:val="auto"/>
              </w:rPr>
            </w:pPr>
          </w:p>
        </w:tc>
      </w:tr>
      <w:tr>
        <w:trPr>
          <w:trHeight w:val="202"/>
        </w:trPr>
        <w:tc>
          <w:tcPr>
            <w:tcW w:w="2040" w:type="dxa"/>
            <w:vAlign w:val="bottom"/>
          </w:tcPr>
          <w:p>
            <w:pPr>
              <w:ind w:left="20"/>
              <w:spacing w:after="0" w:line="201" w:lineRule="exact"/>
              <w:rPr>
                <w:sz w:val="20"/>
                <w:szCs w:val="20"/>
                <w:color w:val="auto"/>
              </w:rPr>
            </w:pPr>
            <w:r>
              <w:rPr>
                <w:rFonts w:ascii="Arial" w:cs="Arial" w:eastAsia="Arial" w:hAnsi="Arial"/>
                <w:sz w:val="18"/>
                <w:szCs w:val="18"/>
                <w:color w:val="auto"/>
              </w:rPr>
              <w:t>Selling, general,</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40" w:type="dxa"/>
            <w:vAlign w:val="bottom"/>
          </w:tcPr>
          <w:p>
            <w:pPr>
              <w:ind w:left="20"/>
              <w:spacing w:after="0"/>
              <w:rPr>
                <w:sz w:val="20"/>
                <w:szCs w:val="20"/>
                <w:color w:val="auto"/>
              </w:rPr>
            </w:pPr>
            <w:r>
              <w:rPr>
                <w:rFonts w:ascii="Arial" w:cs="Arial" w:eastAsia="Arial" w:hAnsi="Arial"/>
                <w:sz w:val="18"/>
                <w:szCs w:val="18"/>
                <w:color w:val="auto"/>
              </w:rPr>
              <w:t>administrative expenses</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97,260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74,830</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181,459</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29,967</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8,719</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392,235</w:t>
            </w:r>
          </w:p>
        </w:tc>
        <w:tc>
          <w:tcPr>
            <w:tcW w:w="0" w:type="dxa"/>
            <w:vAlign w:val="bottom"/>
          </w:tcPr>
          <w:p>
            <w:pPr>
              <w:spacing w:after="0"/>
              <w:rPr>
                <w:sz w:val="1"/>
                <w:szCs w:val="1"/>
                <w:color w:val="auto"/>
              </w:rPr>
            </w:pPr>
          </w:p>
        </w:tc>
      </w:tr>
      <w:tr>
        <w:trPr>
          <w:trHeight w:val="202"/>
        </w:trPr>
        <w:tc>
          <w:tcPr>
            <w:tcW w:w="204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Asset impairment</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charges and other costs,</w:t>
            </w:r>
          </w:p>
        </w:tc>
        <w:tc>
          <w:tcPr>
            <w:tcW w:w="140" w:type="dxa"/>
            <w:vAlign w:val="bottom"/>
            <w:shd w:val="clear" w:color="auto" w:fill="CCEEFF"/>
          </w:tcPr>
          <w:p>
            <w:pPr>
              <w:spacing w:after="0"/>
              <w:rPr>
                <w:sz w:val="18"/>
                <w:szCs w:val="18"/>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(59)</w:t>
            </w:r>
          </w:p>
        </w:tc>
        <w:tc>
          <w:tcPr>
            <w:tcW w:w="140" w:type="dxa"/>
            <w:vAlign w:val="bottom"/>
            <w:shd w:val="clear" w:color="auto" w:fill="CCEEFF"/>
          </w:tcPr>
          <w:p>
            <w:pPr>
              <w:spacing w:after="0"/>
              <w:rPr>
                <w:sz w:val="18"/>
                <w:szCs w:val="18"/>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(7,351)</w:t>
            </w:r>
          </w:p>
        </w:tc>
        <w:tc>
          <w:tcPr>
            <w:tcW w:w="180" w:type="dxa"/>
            <w:vAlign w:val="bottom"/>
            <w:shd w:val="clear" w:color="auto" w:fill="CCEEFF"/>
          </w:tcPr>
          <w:p>
            <w:pPr>
              <w:spacing w:after="0"/>
              <w:rPr>
                <w:sz w:val="18"/>
                <w:szCs w:val="18"/>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(6,604)</w:t>
            </w:r>
          </w:p>
        </w:tc>
        <w:tc>
          <w:tcPr>
            <w:tcW w:w="0" w:type="dxa"/>
            <w:vAlign w:val="bottom"/>
          </w:tcPr>
          <w:p>
            <w:pPr>
              <w:spacing w:after="0"/>
              <w:rPr>
                <w:sz w:val="1"/>
                <w:szCs w:val="1"/>
                <w:color w:val="auto"/>
              </w:rPr>
            </w:pPr>
          </w:p>
        </w:tc>
      </w:tr>
      <w:tr>
        <w:trPr>
          <w:trHeight w:val="237"/>
        </w:trPr>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w:t>
            </w:r>
          </w:p>
        </w:tc>
        <w:tc>
          <w:tcPr>
            <w:tcW w:w="140" w:type="dxa"/>
            <w:vAlign w:val="bottom"/>
            <w:shd w:val="clear" w:color="auto" w:fill="CCEEFF"/>
          </w:tcPr>
          <w:p>
            <w:pPr>
              <w:spacing w:after="0"/>
              <w:rPr>
                <w:sz w:val="20"/>
                <w:szCs w:val="20"/>
                <w:color w:val="auto"/>
              </w:rPr>
            </w:pPr>
          </w:p>
        </w:tc>
        <w:tc>
          <w:tcPr>
            <w:tcW w:w="102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gridSpan w:val="2"/>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40" w:type="dxa"/>
            <w:vAlign w:val="bottom"/>
            <w:tcBorders>
              <w:top w:val="single" w:sz="8" w:color="CCEEFF"/>
            </w:tcBorders>
          </w:tcPr>
          <w:p>
            <w:pPr>
              <w:ind w:left="20"/>
              <w:spacing w:after="0" w:line="203" w:lineRule="exact"/>
              <w:rPr>
                <w:sz w:val="20"/>
                <w:szCs w:val="20"/>
                <w:color w:val="auto"/>
              </w:rPr>
            </w:pPr>
            <w:r>
              <w:rPr>
                <w:rFonts w:ascii="Arial" w:cs="Arial" w:eastAsia="Arial" w:hAnsi="Arial"/>
                <w:sz w:val="18"/>
                <w:szCs w:val="18"/>
                <w:color w:val="auto"/>
                <w:w w:val="99"/>
              </w:rPr>
              <w:t>Earnings from operations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52,158</w:t>
            </w: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59,518</w:t>
            </w: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71,377</w:t>
            </w: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19,039</w:t>
            </w: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5,171</w:t>
            </w: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207,263</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60"/>
        <w:spacing w:after="0"/>
        <w:rPr>
          <w:sz w:val="20"/>
          <w:szCs w:val="20"/>
          <w:color w:val="auto"/>
        </w:rPr>
      </w:pPr>
      <w:r>
        <w:rPr>
          <w:rFonts w:ascii="Arial" w:cs="Arial" w:eastAsia="Arial" w:hAnsi="Arial"/>
          <w:sz w:val="13"/>
          <w:szCs w:val="13"/>
          <w:color w:val="auto"/>
        </w:rPr>
        <w:t>Note: Allocations of corporate expenses in 2018 were modified to align with the methodology used to allocate corporate expenses in the current year.</w:t>
      </w:r>
    </w:p>
    <w:p>
      <w:pPr>
        <w:spacing w:after="0" w:line="260"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following tables present the components of our operating results as a percentage of net sales by segment for December 26, 2020, December 28, 2019 and December 29, 2018.</w:t>
      </w:r>
    </w:p>
    <w:p>
      <w:pPr>
        <w:spacing w:after="0" w:line="108"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216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Year Ended December 26, 2020</w:t>
            </w:r>
          </w:p>
        </w:tc>
        <w:tc>
          <w:tcPr>
            <w:tcW w:w="9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2160" w:type="dxa"/>
            <w:vAlign w:val="bottom"/>
          </w:tcPr>
          <w:p>
            <w:pPr>
              <w:spacing w:after="0"/>
              <w:rPr>
                <w:sz w:val="24"/>
                <w:szCs w:val="24"/>
                <w:color w:val="auto"/>
              </w:rPr>
            </w:pPr>
          </w:p>
        </w:tc>
        <w:tc>
          <w:tcPr>
            <w:tcW w:w="1120" w:type="dxa"/>
            <w:vAlign w:val="bottom"/>
            <w:gridSpan w:val="2"/>
          </w:tcPr>
          <w:p>
            <w:pPr>
              <w:jc w:val="right"/>
              <w:ind w:right="390"/>
              <w:spacing w:after="0"/>
              <w:rPr>
                <w:sz w:val="20"/>
                <w:szCs w:val="20"/>
                <w:color w:val="auto"/>
              </w:rPr>
            </w:pPr>
            <w:r>
              <w:rPr>
                <w:rFonts w:ascii="Arial" w:cs="Arial" w:eastAsia="Arial" w:hAnsi="Arial"/>
                <w:sz w:val="14"/>
                <w:szCs w:val="14"/>
                <w:b w:val="1"/>
                <w:bCs w:val="1"/>
                <w:color w:val="auto"/>
              </w:rPr>
              <w:t>Retail</w:t>
            </w:r>
          </w:p>
        </w:tc>
        <w:tc>
          <w:tcPr>
            <w:tcW w:w="1120" w:type="dxa"/>
            <w:vAlign w:val="bottom"/>
            <w:gridSpan w:val="2"/>
          </w:tcPr>
          <w:p>
            <w:pPr>
              <w:jc w:val="right"/>
              <w:ind w:right="250"/>
              <w:spacing w:after="0"/>
              <w:rPr>
                <w:sz w:val="20"/>
                <w:szCs w:val="20"/>
                <w:color w:val="auto"/>
              </w:rPr>
            </w:pPr>
            <w:r>
              <w:rPr>
                <w:rFonts w:ascii="Arial" w:cs="Arial" w:eastAsia="Arial" w:hAnsi="Arial"/>
                <w:sz w:val="14"/>
                <w:szCs w:val="14"/>
                <w:b w:val="1"/>
                <w:bCs w:val="1"/>
                <w:color w:val="auto"/>
              </w:rPr>
              <w:t>Industrial</w:t>
            </w: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Construction</w:t>
            </w:r>
          </w:p>
        </w:tc>
        <w:tc>
          <w:tcPr>
            <w:tcW w:w="112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rPr>
              <w:t>All Other</w:t>
            </w: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Corporate</w:t>
            </w:r>
          </w:p>
        </w:tc>
        <w:tc>
          <w:tcPr>
            <w:tcW w:w="1140" w:type="dxa"/>
            <w:vAlign w:val="bottom"/>
            <w:gridSpan w:val="2"/>
          </w:tcPr>
          <w:p>
            <w:pPr>
              <w:jc w:val="right"/>
              <w:ind w:right="43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6"/>
        </w:trPr>
        <w:tc>
          <w:tcPr>
            <w:tcW w:w="2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23"/>
        </w:trPr>
        <w:tc>
          <w:tcPr>
            <w:tcW w:w="216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920" w:type="dxa"/>
            <w:vAlign w:val="bottom"/>
          </w:tcPr>
          <w:p>
            <w:pPr>
              <w:jc w:val="right"/>
              <w:spacing w:after="0"/>
              <w:rPr>
                <w:sz w:val="20"/>
                <w:szCs w:val="20"/>
                <w:color w:val="auto"/>
              </w:rPr>
            </w:pPr>
            <w:r>
              <w:rPr>
                <w:rFonts w:ascii="Arial" w:cs="Arial" w:eastAsia="Arial" w:hAnsi="Arial"/>
                <w:sz w:val="18"/>
                <w:szCs w:val="18"/>
                <w:color w:val="auto"/>
              </w:rPr>
              <w:t>86.5</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83.5</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84.5</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67.8</w:t>
            </w:r>
          </w:p>
        </w:tc>
        <w:tc>
          <w:tcPr>
            <w:tcW w:w="20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84.5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160" w:type="dxa"/>
            <w:vAlign w:val="bottom"/>
          </w:tcPr>
          <w:p>
            <w:pPr>
              <w:ind w:left="20"/>
              <w:spacing w:after="0" w:line="201" w:lineRule="exact"/>
              <w:rPr>
                <w:sz w:val="20"/>
                <w:szCs w:val="20"/>
                <w:color w:val="auto"/>
              </w:rPr>
            </w:pPr>
            <w:r>
              <w:rPr>
                <w:rFonts w:ascii="Arial" w:cs="Arial" w:eastAsia="Arial" w:hAnsi="Arial"/>
                <w:sz w:val="18"/>
                <w:szCs w:val="18"/>
                <w:color w:val="auto"/>
              </w:rPr>
              <w:t>Selling, general,</w:t>
            </w: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60" w:type="dxa"/>
            <w:vAlign w:val="bottom"/>
          </w:tcPr>
          <w:p>
            <w:pPr>
              <w:ind w:left="20"/>
              <w:spacing w:after="0"/>
              <w:rPr>
                <w:sz w:val="20"/>
                <w:szCs w:val="20"/>
                <w:color w:val="auto"/>
              </w:rPr>
            </w:pPr>
            <w:r>
              <w:rPr>
                <w:rFonts w:ascii="Arial" w:cs="Arial" w:eastAsia="Arial" w:hAnsi="Arial"/>
                <w:sz w:val="18"/>
                <w:szCs w:val="18"/>
                <w:color w:val="auto"/>
              </w:rPr>
              <w:t>administrative expenses</w:t>
            </w:r>
          </w:p>
        </w:tc>
        <w:tc>
          <w:tcPr>
            <w:tcW w:w="920" w:type="dxa"/>
            <w:vAlign w:val="bottom"/>
          </w:tcPr>
          <w:p>
            <w:pPr>
              <w:jc w:val="right"/>
              <w:spacing w:after="0"/>
              <w:rPr>
                <w:sz w:val="20"/>
                <w:szCs w:val="20"/>
                <w:color w:val="auto"/>
              </w:rPr>
            </w:pPr>
            <w:r>
              <w:rPr>
                <w:rFonts w:ascii="Arial" w:cs="Arial" w:eastAsia="Arial" w:hAnsi="Arial"/>
                <w:sz w:val="18"/>
                <w:szCs w:val="18"/>
                <w:color w:val="auto"/>
              </w:rPr>
              <w:t>6.4</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9.1</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10.6</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15.9</w:t>
            </w:r>
          </w:p>
        </w:tc>
        <w:tc>
          <w:tcPr>
            <w:tcW w:w="20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8.6</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16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Asset impairment charges</w:t>
            </w:r>
          </w:p>
        </w:tc>
        <w:tc>
          <w:tcPr>
            <w:tcW w:w="1120" w:type="dxa"/>
            <w:vAlign w:val="bottom"/>
            <w:gridSpan w:val="2"/>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gridSpan w:val="2"/>
            <w:vMerge w:val="restart"/>
            <w:shd w:val="clear" w:color="auto" w:fill="CCEEFF"/>
          </w:tcPr>
          <w:p>
            <w:pPr>
              <w:jc w:val="right"/>
              <w:ind w:right="110"/>
              <w:spacing w:after="0"/>
              <w:rPr>
                <w:sz w:val="20"/>
                <w:szCs w:val="20"/>
                <w:color w:val="auto"/>
              </w:rPr>
            </w:pPr>
            <w:r>
              <w:rPr>
                <w:rFonts w:ascii="Arial" w:cs="Arial" w:eastAsia="Arial" w:hAnsi="Arial"/>
                <w:sz w:val="18"/>
                <w:szCs w:val="18"/>
                <w:color w:val="auto"/>
              </w:rPr>
              <w:t>(0.4)</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0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and other costs, net</w:t>
            </w:r>
          </w:p>
        </w:tc>
        <w:tc>
          <w:tcPr>
            <w:tcW w:w="1120" w:type="dxa"/>
            <w:vAlign w:val="bottom"/>
            <w:gridSpan w:val="2"/>
            <w:vMerge w:val="continue"/>
            <w:shd w:val="clear" w:color="auto" w:fill="CCEEFF"/>
          </w:tcPr>
          <w:p>
            <w:pPr>
              <w:spacing w:after="0"/>
              <w:rPr>
                <w:sz w:val="20"/>
                <w:szCs w:val="20"/>
                <w:color w:val="auto"/>
              </w:rPr>
            </w:pPr>
          </w:p>
        </w:tc>
        <w:tc>
          <w:tcPr>
            <w:tcW w:w="1120" w:type="dxa"/>
            <w:vAlign w:val="bottom"/>
            <w:gridSpan w:val="2"/>
            <w:vMerge w:val="continue"/>
            <w:shd w:val="clear" w:color="auto" w:fill="CCEEFF"/>
          </w:tcPr>
          <w:p>
            <w:pPr>
              <w:spacing w:after="0"/>
              <w:rPr>
                <w:sz w:val="20"/>
                <w:szCs w:val="20"/>
                <w:color w:val="auto"/>
              </w:rPr>
            </w:pPr>
          </w:p>
        </w:tc>
        <w:tc>
          <w:tcPr>
            <w:tcW w:w="920" w:type="dxa"/>
            <w:vAlign w:val="bottom"/>
            <w:vMerge w:val="continue"/>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vMerge w:val="continue"/>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gridSpan w:val="2"/>
            <w:vMerge w:val="continue"/>
            <w:shd w:val="clear" w:color="auto" w:fill="CCEEFF"/>
          </w:tcPr>
          <w:p>
            <w:pPr>
              <w:spacing w:after="0"/>
              <w:rPr>
                <w:sz w:val="20"/>
                <w:szCs w:val="20"/>
                <w:color w:val="auto"/>
              </w:rPr>
            </w:pPr>
          </w:p>
        </w:tc>
        <w:tc>
          <w:tcPr>
            <w:tcW w:w="940" w:type="dxa"/>
            <w:vAlign w:val="bottom"/>
            <w:vMerge w:val="continue"/>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160" w:type="dxa"/>
            <w:vAlign w:val="bottom"/>
            <w:tcBorders>
              <w:top w:val="single" w:sz="8" w:color="CCEEFF"/>
            </w:tcBorders>
          </w:tcPr>
          <w:p>
            <w:pPr>
              <w:ind w:left="20"/>
              <w:spacing w:after="0" w:line="203" w:lineRule="exact"/>
              <w:rPr>
                <w:sz w:val="20"/>
                <w:szCs w:val="20"/>
                <w:color w:val="auto"/>
              </w:rPr>
            </w:pPr>
            <w:r>
              <w:rPr>
                <w:rFonts w:ascii="Arial" w:cs="Arial" w:eastAsia="Arial" w:hAnsi="Arial"/>
                <w:sz w:val="18"/>
                <w:szCs w:val="18"/>
                <w:color w:val="auto"/>
              </w:rPr>
              <w:t>Earnings from operations</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7.2</w:t>
            </w:r>
          </w:p>
        </w:tc>
        <w:tc>
          <w:tcPr>
            <w:tcW w:w="20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87"/>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7.8</w:t>
            </w:r>
          </w:p>
        </w:tc>
        <w:tc>
          <w:tcPr>
            <w:tcW w:w="20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87"/>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4.1</w:t>
            </w:r>
          </w:p>
        </w:tc>
        <w:tc>
          <w:tcPr>
            <w:tcW w:w="20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87"/>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16.0</w:t>
            </w:r>
          </w:p>
        </w:tc>
        <w:tc>
          <w:tcPr>
            <w:tcW w:w="20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87"/>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6.7</w:t>
            </w:r>
          </w:p>
        </w:tc>
        <w:tc>
          <w:tcPr>
            <w:tcW w:w="20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72"/>
        </w:trPr>
        <w:tc>
          <w:tcPr>
            <w:tcW w:w="5520" w:type="dxa"/>
            <w:vAlign w:val="bottom"/>
            <w:gridSpan w:val="7"/>
          </w:tcPr>
          <w:p>
            <w:pPr>
              <w:ind w:left="20"/>
              <w:spacing w:after="0"/>
              <w:rPr>
                <w:sz w:val="20"/>
                <w:szCs w:val="20"/>
                <w:color w:val="auto"/>
              </w:rPr>
            </w:pPr>
            <w:r>
              <w:rPr>
                <w:rFonts w:ascii="Arial" w:cs="Arial" w:eastAsia="Arial" w:hAnsi="Arial"/>
                <w:sz w:val="14"/>
                <w:szCs w:val="14"/>
                <w:color w:val="auto"/>
              </w:rPr>
              <w:t>Note: Actual percentages are calculated and may not sum to total due to rounding.</w:t>
            </w:r>
          </w:p>
        </w:tc>
        <w:tc>
          <w:tcPr>
            <w:tcW w:w="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3"/>
        </w:trPr>
        <w:tc>
          <w:tcPr>
            <w:tcW w:w="216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Year Ended December 28, 2019</w:t>
            </w: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160" w:type="dxa"/>
            <w:vAlign w:val="bottom"/>
          </w:tcPr>
          <w:p>
            <w:pPr>
              <w:spacing w:after="0"/>
              <w:rPr>
                <w:sz w:val="24"/>
                <w:szCs w:val="24"/>
                <w:color w:val="auto"/>
              </w:rPr>
            </w:pPr>
          </w:p>
        </w:tc>
        <w:tc>
          <w:tcPr>
            <w:tcW w:w="1120" w:type="dxa"/>
            <w:vAlign w:val="bottom"/>
            <w:gridSpan w:val="2"/>
          </w:tcPr>
          <w:p>
            <w:pPr>
              <w:jc w:val="right"/>
              <w:ind w:right="390"/>
              <w:spacing w:after="0"/>
              <w:rPr>
                <w:sz w:val="20"/>
                <w:szCs w:val="20"/>
                <w:color w:val="auto"/>
              </w:rPr>
            </w:pPr>
            <w:r>
              <w:rPr>
                <w:rFonts w:ascii="Arial" w:cs="Arial" w:eastAsia="Arial" w:hAnsi="Arial"/>
                <w:sz w:val="14"/>
                <w:szCs w:val="14"/>
                <w:b w:val="1"/>
                <w:bCs w:val="1"/>
                <w:color w:val="auto"/>
              </w:rPr>
              <w:t>Retail</w:t>
            </w:r>
          </w:p>
        </w:tc>
        <w:tc>
          <w:tcPr>
            <w:tcW w:w="1120" w:type="dxa"/>
            <w:vAlign w:val="bottom"/>
            <w:gridSpan w:val="2"/>
          </w:tcPr>
          <w:p>
            <w:pPr>
              <w:jc w:val="right"/>
              <w:ind w:right="250"/>
              <w:spacing w:after="0"/>
              <w:rPr>
                <w:sz w:val="20"/>
                <w:szCs w:val="20"/>
                <w:color w:val="auto"/>
              </w:rPr>
            </w:pPr>
            <w:r>
              <w:rPr>
                <w:rFonts w:ascii="Arial" w:cs="Arial" w:eastAsia="Arial" w:hAnsi="Arial"/>
                <w:sz w:val="14"/>
                <w:szCs w:val="14"/>
                <w:b w:val="1"/>
                <w:bCs w:val="1"/>
                <w:color w:val="auto"/>
              </w:rPr>
              <w:t>Industrial</w:t>
            </w: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Construction</w:t>
            </w:r>
          </w:p>
        </w:tc>
        <w:tc>
          <w:tcPr>
            <w:tcW w:w="112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rPr>
              <w:t>All Other</w:t>
            </w: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Corporate</w:t>
            </w:r>
          </w:p>
        </w:tc>
        <w:tc>
          <w:tcPr>
            <w:tcW w:w="1140" w:type="dxa"/>
            <w:vAlign w:val="bottom"/>
            <w:gridSpan w:val="2"/>
          </w:tcPr>
          <w:p>
            <w:pPr>
              <w:jc w:val="right"/>
              <w:ind w:right="43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6"/>
        </w:trPr>
        <w:tc>
          <w:tcPr>
            <w:tcW w:w="2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23"/>
        </w:trPr>
        <w:tc>
          <w:tcPr>
            <w:tcW w:w="216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920" w:type="dxa"/>
            <w:vAlign w:val="bottom"/>
          </w:tcPr>
          <w:p>
            <w:pPr>
              <w:jc w:val="right"/>
              <w:spacing w:after="0"/>
              <w:rPr>
                <w:sz w:val="20"/>
                <w:szCs w:val="20"/>
                <w:color w:val="auto"/>
              </w:rPr>
            </w:pPr>
            <w:r>
              <w:rPr>
                <w:rFonts w:ascii="Arial" w:cs="Arial" w:eastAsia="Arial" w:hAnsi="Arial"/>
                <w:sz w:val="18"/>
                <w:szCs w:val="18"/>
                <w:color w:val="auto"/>
              </w:rPr>
              <w:t>88.4</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83.5</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83.4</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73.2</w:t>
            </w:r>
          </w:p>
        </w:tc>
        <w:tc>
          <w:tcPr>
            <w:tcW w:w="20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84.5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160" w:type="dxa"/>
            <w:vAlign w:val="bottom"/>
          </w:tcPr>
          <w:p>
            <w:pPr>
              <w:ind w:left="20"/>
              <w:spacing w:after="0" w:line="201" w:lineRule="exact"/>
              <w:rPr>
                <w:sz w:val="20"/>
                <w:szCs w:val="20"/>
                <w:color w:val="auto"/>
              </w:rPr>
            </w:pPr>
            <w:r>
              <w:rPr>
                <w:rFonts w:ascii="Arial" w:cs="Arial" w:eastAsia="Arial" w:hAnsi="Arial"/>
                <w:sz w:val="18"/>
                <w:szCs w:val="18"/>
                <w:color w:val="auto"/>
              </w:rPr>
              <w:t>Selling, general,</w:t>
            </w: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60" w:type="dxa"/>
            <w:vAlign w:val="bottom"/>
          </w:tcPr>
          <w:p>
            <w:pPr>
              <w:ind w:left="20"/>
              <w:spacing w:after="0"/>
              <w:rPr>
                <w:sz w:val="20"/>
                <w:szCs w:val="20"/>
                <w:color w:val="auto"/>
              </w:rPr>
            </w:pPr>
            <w:r>
              <w:rPr>
                <w:rFonts w:ascii="Arial" w:cs="Arial" w:eastAsia="Arial" w:hAnsi="Arial"/>
                <w:sz w:val="18"/>
                <w:szCs w:val="18"/>
                <w:color w:val="auto"/>
              </w:rPr>
              <w:t>administrative expenses</w:t>
            </w:r>
          </w:p>
        </w:tc>
        <w:tc>
          <w:tcPr>
            <w:tcW w:w="920" w:type="dxa"/>
            <w:vAlign w:val="bottom"/>
          </w:tcPr>
          <w:p>
            <w:pPr>
              <w:jc w:val="right"/>
              <w:spacing w:after="0"/>
              <w:rPr>
                <w:sz w:val="20"/>
                <w:szCs w:val="20"/>
                <w:color w:val="auto"/>
              </w:rPr>
            </w:pPr>
            <w:r>
              <w:rPr>
                <w:rFonts w:ascii="Arial" w:cs="Arial" w:eastAsia="Arial" w:hAnsi="Arial"/>
                <w:sz w:val="18"/>
                <w:szCs w:val="18"/>
                <w:color w:val="auto"/>
              </w:rPr>
              <w:t>7.5</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8.9</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11.5</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17.1</w:t>
            </w:r>
          </w:p>
        </w:tc>
        <w:tc>
          <w:tcPr>
            <w:tcW w:w="20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9.9</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16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Asset impairment charges</w:t>
            </w:r>
          </w:p>
        </w:tc>
        <w:tc>
          <w:tcPr>
            <w:tcW w:w="1120" w:type="dxa"/>
            <w:vAlign w:val="bottom"/>
            <w:gridSpan w:val="2"/>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gridSpan w:val="2"/>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and other costs, net</w:t>
            </w:r>
          </w:p>
        </w:tc>
        <w:tc>
          <w:tcPr>
            <w:tcW w:w="1120" w:type="dxa"/>
            <w:vAlign w:val="bottom"/>
            <w:gridSpan w:val="2"/>
            <w:vMerge w:val="continue"/>
            <w:shd w:val="clear" w:color="auto" w:fill="CCEEFF"/>
          </w:tcPr>
          <w:p>
            <w:pPr>
              <w:spacing w:after="0"/>
              <w:rPr>
                <w:sz w:val="20"/>
                <w:szCs w:val="20"/>
                <w:color w:val="auto"/>
              </w:rPr>
            </w:pPr>
          </w:p>
        </w:tc>
        <w:tc>
          <w:tcPr>
            <w:tcW w:w="1120" w:type="dxa"/>
            <w:vAlign w:val="bottom"/>
            <w:gridSpan w:val="2"/>
            <w:vMerge w:val="continue"/>
            <w:shd w:val="clear" w:color="auto" w:fill="CCEEFF"/>
          </w:tcPr>
          <w:p>
            <w:pPr>
              <w:spacing w:after="0"/>
              <w:rPr>
                <w:sz w:val="20"/>
                <w:szCs w:val="20"/>
                <w:color w:val="auto"/>
              </w:rPr>
            </w:pPr>
          </w:p>
        </w:tc>
        <w:tc>
          <w:tcPr>
            <w:tcW w:w="920" w:type="dxa"/>
            <w:vAlign w:val="bottom"/>
            <w:vMerge w:val="continue"/>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vMerge w:val="continue"/>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gridSpan w:val="2"/>
            <w:vMerge w:val="continue"/>
            <w:shd w:val="clear" w:color="auto" w:fill="CCEEFF"/>
          </w:tcPr>
          <w:p>
            <w:pPr>
              <w:spacing w:after="0"/>
              <w:rPr>
                <w:sz w:val="20"/>
                <w:szCs w:val="20"/>
                <w:color w:val="auto"/>
              </w:rPr>
            </w:pPr>
          </w:p>
        </w:tc>
        <w:tc>
          <w:tcPr>
            <w:tcW w:w="940" w:type="dxa"/>
            <w:vAlign w:val="bottom"/>
            <w:vMerge w:val="continue"/>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160" w:type="dxa"/>
            <w:vAlign w:val="bottom"/>
            <w:tcBorders>
              <w:top w:val="single" w:sz="8" w:color="CCEEFF"/>
            </w:tcBorders>
          </w:tcPr>
          <w:p>
            <w:pPr>
              <w:ind w:left="20"/>
              <w:spacing w:after="0" w:line="203" w:lineRule="exact"/>
              <w:rPr>
                <w:sz w:val="20"/>
                <w:szCs w:val="20"/>
                <w:color w:val="auto"/>
              </w:rPr>
            </w:pPr>
            <w:r>
              <w:rPr>
                <w:rFonts w:ascii="Arial" w:cs="Arial" w:eastAsia="Arial" w:hAnsi="Arial"/>
                <w:sz w:val="18"/>
                <w:szCs w:val="18"/>
                <w:color w:val="auto"/>
              </w:rPr>
              <w:t>Earnings from operations</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4.1</w:t>
            </w:r>
          </w:p>
        </w:tc>
        <w:tc>
          <w:tcPr>
            <w:tcW w:w="20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87"/>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7.6</w:t>
            </w:r>
          </w:p>
        </w:tc>
        <w:tc>
          <w:tcPr>
            <w:tcW w:w="20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87"/>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5.0</w:t>
            </w:r>
          </w:p>
        </w:tc>
        <w:tc>
          <w:tcPr>
            <w:tcW w:w="20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87"/>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9.6</w:t>
            </w:r>
          </w:p>
        </w:tc>
        <w:tc>
          <w:tcPr>
            <w:tcW w:w="20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87"/>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5.5</w:t>
            </w:r>
          </w:p>
        </w:tc>
        <w:tc>
          <w:tcPr>
            <w:tcW w:w="20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60"/>
        <w:spacing w:after="0"/>
        <w:rPr>
          <w:sz w:val="20"/>
          <w:szCs w:val="20"/>
          <w:color w:val="auto"/>
        </w:rPr>
      </w:pPr>
      <w:r>
        <w:rPr>
          <w:rFonts w:ascii="Arial" w:cs="Arial" w:eastAsia="Arial" w:hAnsi="Arial"/>
          <w:sz w:val="14"/>
          <w:szCs w:val="14"/>
          <w:color w:val="auto"/>
        </w:rPr>
        <w:t>Note: Actual percentages are calculated and may not sum to total due to rounding.</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9" w:name="page80"/>
    <w:bookmarkEnd w:id="7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UFP INDUSTRIES, INC.</w:t>
      </w:r>
    </w:p>
    <w:p>
      <w:pPr>
        <w:spacing w:after="0" w:line="50"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216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4"/>
          </w:tcPr>
          <w:p>
            <w:pPr>
              <w:jc w:val="right"/>
              <w:ind w:right="170"/>
              <w:spacing w:after="0"/>
              <w:rPr>
                <w:sz w:val="20"/>
                <w:szCs w:val="20"/>
                <w:color w:val="auto"/>
              </w:rPr>
            </w:pPr>
            <w:r>
              <w:rPr>
                <w:rFonts w:ascii="Arial" w:cs="Arial" w:eastAsia="Arial" w:hAnsi="Arial"/>
                <w:sz w:val="14"/>
                <w:szCs w:val="14"/>
                <w:b w:val="1"/>
                <w:bCs w:val="1"/>
                <w:color w:val="auto"/>
                <w:w w:val="95"/>
              </w:rPr>
              <w:t>Year Ended December 29, 2018</w:t>
            </w:r>
          </w:p>
        </w:tc>
        <w:tc>
          <w:tcPr>
            <w:tcW w:w="9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2160" w:type="dxa"/>
            <w:vAlign w:val="bottom"/>
          </w:tcPr>
          <w:p>
            <w:pPr>
              <w:spacing w:after="0"/>
              <w:rPr>
                <w:sz w:val="24"/>
                <w:szCs w:val="24"/>
                <w:color w:val="auto"/>
              </w:rPr>
            </w:pPr>
          </w:p>
        </w:tc>
        <w:tc>
          <w:tcPr>
            <w:tcW w:w="1120" w:type="dxa"/>
            <w:vAlign w:val="bottom"/>
            <w:gridSpan w:val="2"/>
          </w:tcPr>
          <w:p>
            <w:pPr>
              <w:jc w:val="right"/>
              <w:ind w:right="370"/>
              <w:spacing w:after="0"/>
              <w:rPr>
                <w:sz w:val="20"/>
                <w:szCs w:val="20"/>
                <w:color w:val="auto"/>
              </w:rPr>
            </w:pPr>
            <w:r>
              <w:rPr>
                <w:rFonts w:ascii="Arial" w:cs="Arial" w:eastAsia="Arial" w:hAnsi="Arial"/>
                <w:sz w:val="14"/>
                <w:szCs w:val="14"/>
                <w:b w:val="1"/>
                <w:bCs w:val="1"/>
                <w:color w:val="auto"/>
              </w:rPr>
              <w:t>Retail</w:t>
            </w:r>
          </w:p>
        </w:tc>
        <w:tc>
          <w:tcPr>
            <w:tcW w:w="1120" w:type="dxa"/>
            <w:vAlign w:val="bottom"/>
            <w:gridSpan w:val="2"/>
          </w:tcPr>
          <w:p>
            <w:pPr>
              <w:jc w:val="right"/>
              <w:ind w:right="250"/>
              <w:spacing w:after="0"/>
              <w:rPr>
                <w:sz w:val="20"/>
                <w:szCs w:val="20"/>
                <w:color w:val="auto"/>
              </w:rPr>
            </w:pPr>
            <w:r>
              <w:rPr>
                <w:rFonts w:ascii="Arial" w:cs="Arial" w:eastAsia="Arial" w:hAnsi="Arial"/>
                <w:sz w:val="14"/>
                <w:szCs w:val="14"/>
                <w:b w:val="1"/>
                <w:bCs w:val="1"/>
                <w:color w:val="auto"/>
              </w:rPr>
              <w:t>Industrial</w:t>
            </w:r>
          </w:p>
        </w:tc>
        <w:tc>
          <w:tcPr>
            <w:tcW w:w="114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w w:val="98"/>
              </w:rPr>
              <w:t>Construction</w:t>
            </w:r>
          </w:p>
        </w:tc>
        <w:tc>
          <w:tcPr>
            <w:tcW w:w="112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rPr>
              <w:t>All Other</w:t>
            </w: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Corporate</w:t>
            </w:r>
          </w:p>
        </w:tc>
        <w:tc>
          <w:tcPr>
            <w:tcW w:w="1120" w:type="dxa"/>
            <w:vAlign w:val="bottom"/>
            <w:gridSpan w:val="2"/>
          </w:tcPr>
          <w:p>
            <w:pPr>
              <w:jc w:val="right"/>
              <w:ind w:right="41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6"/>
        </w:trPr>
        <w:tc>
          <w:tcPr>
            <w:tcW w:w="2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23"/>
        </w:trPr>
        <w:tc>
          <w:tcPr>
            <w:tcW w:w="216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940" w:type="dxa"/>
            <w:vAlign w:val="bottom"/>
          </w:tcPr>
          <w:p>
            <w:pPr>
              <w:jc w:val="right"/>
              <w:spacing w:after="0"/>
              <w:rPr>
                <w:sz w:val="20"/>
                <w:szCs w:val="20"/>
                <w:color w:val="auto"/>
              </w:rPr>
            </w:pPr>
            <w:r>
              <w:rPr>
                <w:rFonts w:ascii="Arial" w:cs="Arial" w:eastAsia="Arial" w:hAnsi="Arial"/>
                <w:sz w:val="18"/>
                <w:szCs w:val="18"/>
                <w:color w:val="auto"/>
              </w:rPr>
              <w:t>90.1</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87.2</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85.1</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77.7</w:t>
            </w:r>
          </w:p>
        </w:tc>
        <w:tc>
          <w:tcPr>
            <w:tcW w:w="20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86.8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160" w:type="dxa"/>
            <w:vAlign w:val="bottom"/>
          </w:tcPr>
          <w:p>
            <w:pPr>
              <w:ind w:left="20"/>
              <w:spacing w:after="0" w:line="201" w:lineRule="exact"/>
              <w:rPr>
                <w:sz w:val="20"/>
                <w:szCs w:val="20"/>
                <w:color w:val="auto"/>
              </w:rPr>
            </w:pPr>
            <w:r>
              <w:rPr>
                <w:rFonts w:ascii="Arial" w:cs="Arial" w:eastAsia="Arial" w:hAnsi="Arial"/>
                <w:sz w:val="18"/>
                <w:szCs w:val="18"/>
                <w:color w:val="auto"/>
              </w:rPr>
              <w:t>Selling, general,</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60" w:type="dxa"/>
            <w:vAlign w:val="bottom"/>
          </w:tcPr>
          <w:p>
            <w:pPr>
              <w:ind w:left="20"/>
              <w:spacing w:after="0"/>
              <w:rPr>
                <w:sz w:val="20"/>
                <w:szCs w:val="20"/>
                <w:color w:val="auto"/>
              </w:rPr>
            </w:pPr>
            <w:r>
              <w:rPr>
                <w:rFonts w:ascii="Arial" w:cs="Arial" w:eastAsia="Arial" w:hAnsi="Arial"/>
                <w:sz w:val="18"/>
                <w:szCs w:val="18"/>
                <w:color w:val="auto"/>
              </w:rPr>
              <w:t>administrative expenses</w:t>
            </w:r>
          </w:p>
        </w:tc>
        <w:tc>
          <w:tcPr>
            <w:tcW w:w="940" w:type="dxa"/>
            <w:vAlign w:val="bottom"/>
          </w:tcPr>
          <w:p>
            <w:pPr>
              <w:jc w:val="right"/>
              <w:spacing w:after="0"/>
              <w:rPr>
                <w:sz w:val="20"/>
                <w:szCs w:val="20"/>
                <w:color w:val="auto"/>
              </w:rPr>
            </w:pPr>
            <w:r>
              <w:rPr>
                <w:rFonts w:ascii="Arial" w:cs="Arial" w:eastAsia="Arial" w:hAnsi="Arial"/>
                <w:sz w:val="18"/>
                <w:szCs w:val="18"/>
                <w:color w:val="auto"/>
              </w:rPr>
              <w:t>6.4</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7.1</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10.6</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13.6</w:t>
            </w:r>
          </w:p>
        </w:tc>
        <w:tc>
          <w:tcPr>
            <w:tcW w:w="20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8.7</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16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Asset impairment charges</w:t>
            </w:r>
          </w:p>
        </w:tc>
        <w:tc>
          <w:tcPr>
            <w:tcW w:w="1120" w:type="dxa"/>
            <w:vAlign w:val="bottom"/>
            <w:gridSpan w:val="2"/>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gridSpan w:val="2"/>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gridSpan w:val="2"/>
            <w:vMerge w:val="restart"/>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0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7"/>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and other costs, net</w:t>
            </w:r>
          </w:p>
        </w:tc>
        <w:tc>
          <w:tcPr>
            <w:tcW w:w="1120" w:type="dxa"/>
            <w:vAlign w:val="bottom"/>
            <w:gridSpan w:val="2"/>
            <w:vMerge w:val="continue"/>
            <w:shd w:val="clear" w:color="auto" w:fill="CCEEFF"/>
          </w:tcPr>
          <w:p>
            <w:pPr>
              <w:spacing w:after="0"/>
              <w:rPr>
                <w:sz w:val="20"/>
                <w:szCs w:val="20"/>
                <w:color w:val="auto"/>
              </w:rPr>
            </w:pPr>
          </w:p>
        </w:tc>
        <w:tc>
          <w:tcPr>
            <w:tcW w:w="1120" w:type="dxa"/>
            <w:vAlign w:val="bottom"/>
            <w:gridSpan w:val="2"/>
            <w:vMerge w:val="continue"/>
            <w:shd w:val="clear" w:color="auto" w:fill="CCEEFF"/>
          </w:tcPr>
          <w:p>
            <w:pPr>
              <w:spacing w:after="0"/>
              <w:rPr>
                <w:sz w:val="20"/>
                <w:szCs w:val="20"/>
                <w:color w:val="auto"/>
              </w:rPr>
            </w:pPr>
          </w:p>
        </w:tc>
        <w:tc>
          <w:tcPr>
            <w:tcW w:w="1140" w:type="dxa"/>
            <w:vAlign w:val="bottom"/>
            <w:gridSpan w:val="2"/>
            <w:vMerge w:val="continue"/>
            <w:shd w:val="clear" w:color="auto" w:fill="CCEEFF"/>
          </w:tcPr>
          <w:p>
            <w:pPr>
              <w:spacing w:after="0"/>
              <w:rPr>
                <w:sz w:val="20"/>
                <w:szCs w:val="20"/>
                <w:color w:val="auto"/>
              </w:rPr>
            </w:pPr>
          </w:p>
        </w:tc>
        <w:tc>
          <w:tcPr>
            <w:tcW w:w="920" w:type="dxa"/>
            <w:vAlign w:val="bottom"/>
            <w:vMerge w:val="continue"/>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gridSpan w:val="2"/>
            <w:vMerge w:val="continue"/>
            <w:shd w:val="clear" w:color="auto" w:fill="CCEEFF"/>
          </w:tcPr>
          <w:p>
            <w:pPr>
              <w:spacing w:after="0"/>
              <w:rPr>
                <w:sz w:val="20"/>
                <w:szCs w:val="20"/>
                <w:color w:val="auto"/>
              </w:rPr>
            </w:pPr>
          </w:p>
        </w:tc>
        <w:tc>
          <w:tcPr>
            <w:tcW w:w="112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160" w:type="dxa"/>
            <w:vAlign w:val="bottom"/>
            <w:tcBorders>
              <w:top w:val="single" w:sz="8" w:color="CCEEFF"/>
            </w:tcBorders>
          </w:tcPr>
          <w:p>
            <w:pPr>
              <w:ind w:left="20"/>
              <w:spacing w:after="0" w:line="203" w:lineRule="exact"/>
              <w:rPr>
                <w:sz w:val="20"/>
                <w:szCs w:val="20"/>
                <w:color w:val="auto"/>
              </w:rPr>
            </w:pPr>
            <w:r>
              <w:rPr>
                <w:rFonts w:ascii="Arial" w:cs="Arial" w:eastAsia="Arial" w:hAnsi="Arial"/>
                <w:sz w:val="18"/>
                <w:szCs w:val="18"/>
                <w:color w:val="auto"/>
              </w:rPr>
              <w:t>Earnings from operations</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3.4</w:t>
            </w:r>
          </w:p>
        </w:tc>
        <w:tc>
          <w:tcPr>
            <w:tcW w:w="18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87"/>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5.7</w:t>
            </w:r>
          </w:p>
        </w:tc>
        <w:tc>
          <w:tcPr>
            <w:tcW w:w="18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87"/>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4.2</w:t>
            </w:r>
          </w:p>
        </w:tc>
        <w:tc>
          <w:tcPr>
            <w:tcW w:w="20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87"/>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8.7</w:t>
            </w:r>
          </w:p>
        </w:tc>
        <w:tc>
          <w:tcPr>
            <w:tcW w:w="20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87"/>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4.6</w:t>
            </w:r>
          </w:p>
        </w:tc>
        <w:tc>
          <w:tcPr>
            <w:tcW w:w="18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60"/>
        <w:spacing w:after="0"/>
        <w:rPr>
          <w:sz w:val="20"/>
          <w:szCs w:val="20"/>
          <w:color w:val="auto"/>
        </w:rPr>
      </w:pPr>
      <w:r>
        <w:rPr>
          <w:rFonts w:ascii="Arial" w:cs="Arial" w:eastAsia="Arial" w:hAnsi="Arial"/>
          <w:sz w:val="14"/>
          <w:szCs w:val="14"/>
          <w:color w:val="auto"/>
        </w:rPr>
        <w:t>Note: Actual percentages are calculated and may not sum to total due to rounding.</w:t>
      </w:r>
    </w:p>
    <w:p>
      <w:pPr>
        <w:spacing w:after="0" w:line="20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NET SALES</w:t>
      </w:r>
    </w:p>
    <w:p>
      <w:pPr>
        <w:spacing w:after="0" w:line="229"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We primarily design, manufacture and market wood and wood-alternative products for national home centers and other retailers, structural lumber and other products for the manufactured housing industry, engineered wood components for residential and commercial construction, customized interior fixtures used in a variety of retail stores, commercial and other structures, and specialty wood packaging, components and other packing materials for various industries. Our strategic long-term sales objectives include:</w:t>
      </w:r>
    </w:p>
    <w:p>
      <w:pPr>
        <w:spacing w:after="0" w:line="188" w:lineRule="exact"/>
        <w:rPr>
          <w:sz w:val="20"/>
          <w:szCs w:val="20"/>
          <w:color w:val="auto"/>
        </w:rPr>
      </w:pPr>
    </w:p>
    <w:p>
      <w:pPr>
        <w:jc w:val="both"/>
        <w:ind w:left="720" w:right="79" w:hanging="319"/>
        <w:spacing w:after="0" w:line="263" w:lineRule="auto"/>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Maximizing unit sales growth while achieving return on investment goals. The following table presents estimates, for the periods indicated, of our percentage change in net sales which were attributable to changes in overall selling prices versus changes in units shipped.</w:t>
      </w:r>
    </w:p>
    <w:p>
      <w:pPr>
        <w:spacing w:after="0" w:line="188" w:lineRule="exact"/>
        <w:rPr>
          <w:rFonts w:ascii="Arial" w:cs="Arial" w:eastAsia="Arial" w:hAnsi="Arial"/>
          <w:sz w:val="18"/>
          <w:szCs w:val="18"/>
          <w:color w:val="auto"/>
        </w:rPr>
      </w:pPr>
    </w:p>
    <w:p>
      <w:pPr>
        <w:ind w:left="6580" w:hanging="173"/>
        <w:spacing w:after="0"/>
        <w:tabs>
          <w:tab w:leader="none" w:pos="6580" w:val="left"/>
        </w:tabs>
        <w:numPr>
          <w:ilvl w:val="1"/>
          <w:numId w:val="25"/>
        </w:numPr>
        <w:rPr>
          <w:rFonts w:ascii="Arial" w:cs="Arial" w:eastAsia="Arial" w:hAnsi="Arial"/>
          <w:sz w:val="14"/>
          <w:szCs w:val="14"/>
          <w:b w:val="1"/>
          <w:bCs w:val="1"/>
          <w:color w:val="auto"/>
        </w:rPr>
      </w:pPr>
      <w:r>
        <w:rPr>
          <w:rFonts w:ascii="Arial" w:cs="Arial" w:eastAsia="Arial" w:hAnsi="Arial"/>
          <w:sz w:val="14"/>
          <w:szCs w:val="14"/>
          <w:b w:val="1"/>
          <w:bCs w:val="1"/>
          <w:color w:val="auto"/>
        </w:rPr>
        <w:t>Change</w:t>
      </w:r>
    </w:p>
    <w:p>
      <w:pPr>
        <w:spacing w:after="0" w:line="10" w:lineRule="exact"/>
        <w:rPr>
          <w:sz w:val="20"/>
          <w:szCs w:val="20"/>
          <w:color w:val="auto"/>
        </w:rPr>
      </w:pPr>
    </w:p>
    <w:tbl>
      <w:tblPr>
        <w:tblLayout w:type="fixed"/>
        <w:tblInd w:w="40" w:type="dxa"/>
        <w:tblCellMar>
          <w:top w:w="0" w:type="dxa"/>
          <w:left w:w="0" w:type="dxa"/>
          <w:bottom w:w="0" w:type="dxa"/>
          <w:right w:w="0" w:type="dxa"/>
        </w:tblCellMar>
      </w:tblPr>
      <w:tr>
        <w:trPr>
          <w:trHeight w:val="133"/>
        </w:trPr>
        <w:tc>
          <w:tcPr>
            <w:tcW w:w="448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2"/>
          </w:tcPr>
          <w:p>
            <w:pPr>
              <w:jc w:val="center"/>
              <w:ind w:right="130"/>
              <w:spacing w:after="0" w:line="133" w:lineRule="exact"/>
              <w:rPr>
                <w:sz w:val="20"/>
                <w:szCs w:val="20"/>
                <w:color w:val="auto"/>
              </w:rPr>
            </w:pPr>
            <w:r>
              <w:rPr>
                <w:rFonts w:ascii="Arial" w:cs="Arial" w:eastAsia="Arial" w:hAnsi="Arial"/>
                <w:sz w:val="14"/>
                <w:szCs w:val="14"/>
                <w:b w:val="1"/>
                <w:bCs w:val="1"/>
                <w:color w:val="auto"/>
                <w:w w:val="91"/>
              </w:rPr>
              <w:t>Acquisition</w:t>
            </w:r>
          </w:p>
        </w:tc>
        <w:tc>
          <w:tcPr>
            <w:tcW w:w="780" w:type="dxa"/>
            <w:vAlign w:val="bottom"/>
            <w:tcBorders>
              <w:top w:val="single" w:sz="8" w:color="auto"/>
            </w:tcBorders>
            <w:gridSpan w:val="2"/>
          </w:tcPr>
          <w:p>
            <w:pPr>
              <w:jc w:val="center"/>
              <w:ind w:right="150"/>
              <w:spacing w:after="0" w:line="133" w:lineRule="exact"/>
              <w:rPr>
                <w:sz w:val="20"/>
                <w:szCs w:val="20"/>
                <w:color w:val="auto"/>
              </w:rPr>
            </w:pPr>
            <w:r>
              <w:rPr>
                <w:rFonts w:ascii="Arial" w:cs="Arial" w:eastAsia="Arial" w:hAnsi="Arial"/>
                <w:sz w:val="14"/>
                <w:szCs w:val="14"/>
                <w:b w:val="1"/>
                <w:bCs w:val="1"/>
                <w:color w:val="auto"/>
                <w:w w:val="94"/>
              </w:rPr>
              <w:t>Organic</w:t>
            </w:r>
          </w:p>
        </w:tc>
        <w:tc>
          <w:tcPr>
            <w:tcW w:w="0" w:type="dxa"/>
            <w:vAlign w:val="bottom"/>
          </w:tcPr>
          <w:p>
            <w:pPr>
              <w:spacing w:after="0"/>
              <w:rPr>
                <w:sz w:val="1"/>
                <w:szCs w:val="1"/>
                <w:color w:val="auto"/>
              </w:rPr>
            </w:pPr>
          </w:p>
        </w:tc>
      </w:tr>
      <w:tr>
        <w:trPr>
          <w:trHeight w:val="149"/>
        </w:trPr>
        <w:tc>
          <w:tcPr>
            <w:tcW w:w="4480" w:type="dxa"/>
            <w:vAlign w:val="bottom"/>
          </w:tcPr>
          <w:p>
            <w:pPr>
              <w:spacing w:after="0"/>
              <w:rPr>
                <w:sz w:val="12"/>
                <w:szCs w:val="12"/>
                <w:color w:val="auto"/>
              </w:rPr>
            </w:pPr>
          </w:p>
        </w:tc>
        <w:tc>
          <w:tcPr>
            <w:tcW w:w="720" w:type="dxa"/>
            <w:vAlign w:val="bottom"/>
            <w:gridSpan w:val="2"/>
            <w:vMerge w:val="restart"/>
          </w:tcPr>
          <w:p>
            <w:pPr>
              <w:jc w:val="right"/>
              <w:ind w:right="170"/>
              <w:spacing w:after="0"/>
              <w:rPr>
                <w:sz w:val="20"/>
                <w:szCs w:val="20"/>
                <w:color w:val="auto"/>
              </w:rPr>
            </w:pPr>
            <w:r>
              <w:rPr>
                <w:rFonts w:ascii="Arial" w:cs="Arial" w:eastAsia="Arial" w:hAnsi="Arial"/>
                <w:sz w:val="14"/>
                <w:szCs w:val="14"/>
                <w:b w:val="1"/>
                <w:bCs w:val="1"/>
                <w:color w:val="auto"/>
                <w:w w:val="83"/>
              </w:rPr>
              <w:t>in Sales</w:t>
            </w:r>
          </w:p>
        </w:tc>
        <w:tc>
          <w:tcPr>
            <w:tcW w:w="1240" w:type="dxa"/>
            <w:vAlign w:val="bottom"/>
            <w:gridSpan w:val="2"/>
            <w:vMerge w:val="restart"/>
          </w:tcPr>
          <w:p>
            <w:pPr>
              <w:jc w:val="right"/>
              <w:ind w:right="170"/>
              <w:spacing w:after="0"/>
              <w:rPr>
                <w:sz w:val="20"/>
                <w:szCs w:val="20"/>
                <w:color w:val="auto"/>
              </w:rPr>
            </w:pPr>
            <w:r>
              <w:rPr>
                <w:rFonts w:ascii="Arial" w:cs="Arial" w:eastAsia="Arial" w:hAnsi="Arial"/>
                <w:sz w:val="14"/>
                <w:szCs w:val="14"/>
                <w:b w:val="1"/>
                <w:bCs w:val="1"/>
                <w:color w:val="auto"/>
                <w:w w:val="88"/>
              </w:rPr>
              <w:t>in Selling Prices</w:t>
            </w:r>
          </w:p>
        </w:tc>
        <w:tc>
          <w:tcPr>
            <w:tcW w:w="720" w:type="dxa"/>
            <w:vAlign w:val="bottom"/>
            <w:gridSpan w:val="2"/>
            <w:vMerge w:val="restart"/>
          </w:tcPr>
          <w:p>
            <w:pPr>
              <w:jc w:val="right"/>
              <w:ind w:right="150"/>
              <w:spacing w:after="0"/>
              <w:rPr>
                <w:sz w:val="20"/>
                <w:szCs w:val="20"/>
                <w:color w:val="auto"/>
              </w:rPr>
            </w:pPr>
            <w:r>
              <w:rPr>
                <w:rFonts w:ascii="Arial" w:cs="Arial" w:eastAsia="Arial" w:hAnsi="Arial"/>
                <w:sz w:val="14"/>
                <w:szCs w:val="14"/>
                <w:b w:val="1"/>
                <w:bCs w:val="1"/>
                <w:color w:val="auto"/>
                <w:w w:val="89"/>
              </w:rPr>
              <w:t>in Units</w:t>
            </w:r>
          </w:p>
        </w:tc>
        <w:tc>
          <w:tcPr>
            <w:tcW w:w="960" w:type="dxa"/>
            <w:vAlign w:val="bottom"/>
            <w:gridSpan w:val="2"/>
          </w:tcPr>
          <w:p>
            <w:pPr>
              <w:jc w:val="center"/>
              <w:ind w:right="150"/>
              <w:spacing w:after="0" w:line="149" w:lineRule="exact"/>
              <w:rPr>
                <w:sz w:val="20"/>
                <w:szCs w:val="20"/>
                <w:color w:val="auto"/>
              </w:rPr>
            </w:pPr>
            <w:r>
              <w:rPr>
                <w:rFonts w:ascii="Arial" w:cs="Arial" w:eastAsia="Arial" w:hAnsi="Arial"/>
                <w:sz w:val="14"/>
                <w:szCs w:val="14"/>
                <w:b w:val="1"/>
                <w:bCs w:val="1"/>
                <w:color w:val="auto"/>
              </w:rPr>
              <w:t>Unit</w:t>
            </w:r>
          </w:p>
        </w:tc>
        <w:tc>
          <w:tcPr>
            <w:tcW w:w="780" w:type="dxa"/>
            <w:vAlign w:val="bottom"/>
            <w:gridSpan w:val="2"/>
          </w:tcPr>
          <w:p>
            <w:pPr>
              <w:jc w:val="center"/>
              <w:ind w:right="150"/>
              <w:spacing w:after="0" w:line="149" w:lineRule="exact"/>
              <w:rPr>
                <w:sz w:val="20"/>
                <w:szCs w:val="20"/>
                <w:color w:val="auto"/>
              </w:rPr>
            </w:pPr>
            <w:r>
              <w:rPr>
                <w:rFonts w:ascii="Arial" w:cs="Arial" w:eastAsia="Arial" w:hAnsi="Arial"/>
                <w:sz w:val="14"/>
                <w:szCs w:val="14"/>
                <w:b w:val="1"/>
                <w:bCs w:val="1"/>
                <w:color w:val="auto"/>
                <w:w w:val="95"/>
              </w:rPr>
              <w:t>Unit</w:t>
            </w:r>
          </w:p>
        </w:tc>
        <w:tc>
          <w:tcPr>
            <w:tcW w:w="0" w:type="dxa"/>
            <w:vAlign w:val="bottom"/>
          </w:tcPr>
          <w:p>
            <w:pPr>
              <w:spacing w:after="0"/>
              <w:rPr>
                <w:sz w:val="1"/>
                <w:szCs w:val="1"/>
                <w:color w:val="auto"/>
              </w:rPr>
            </w:pPr>
          </w:p>
        </w:tc>
      </w:tr>
      <w:tr>
        <w:trPr>
          <w:trHeight w:val="178"/>
        </w:trPr>
        <w:tc>
          <w:tcPr>
            <w:tcW w:w="448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960" w:type="dxa"/>
            <w:vAlign w:val="bottom"/>
            <w:gridSpan w:val="2"/>
          </w:tcPr>
          <w:p>
            <w:pPr>
              <w:jc w:val="center"/>
              <w:ind w:right="150"/>
              <w:spacing w:after="0"/>
              <w:rPr>
                <w:sz w:val="20"/>
                <w:szCs w:val="20"/>
                <w:color w:val="auto"/>
              </w:rPr>
            </w:pPr>
            <w:r>
              <w:rPr>
                <w:rFonts w:ascii="Arial" w:cs="Arial" w:eastAsia="Arial" w:hAnsi="Arial"/>
                <w:sz w:val="14"/>
                <w:szCs w:val="14"/>
                <w:b w:val="1"/>
                <w:bCs w:val="1"/>
                <w:color w:val="auto"/>
                <w:w w:val="93"/>
              </w:rPr>
              <w:t>Change</w:t>
            </w:r>
          </w:p>
        </w:tc>
        <w:tc>
          <w:tcPr>
            <w:tcW w:w="780" w:type="dxa"/>
            <w:vAlign w:val="bottom"/>
            <w:gridSpan w:val="2"/>
          </w:tcPr>
          <w:p>
            <w:pPr>
              <w:jc w:val="center"/>
              <w:ind w:right="15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16"/>
        </w:trPr>
        <w:tc>
          <w:tcPr>
            <w:tcW w:w="4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 versus 2019</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4480" w:type="dxa"/>
            <w:vAlign w:val="bottom"/>
          </w:tcPr>
          <w:p>
            <w:pPr>
              <w:ind w:left="20"/>
              <w:spacing w:after="0"/>
              <w:rPr>
                <w:sz w:val="20"/>
                <w:szCs w:val="20"/>
                <w:color w:val="auto"/>
              </w:rPr>
            </w:pPr>
            <w:r>
              <w:rPr>
                <w:rFonts w:ascii="Arial" w:cs="Arial" w:eastAsia="Arial" w:hAnsi="Arial"/>
                <w:sz w:val="18"/>
                <w:szCs w:val="18"/>
                <w:color w:val="auto"/>
              </w:rPr>
              <w:t>2019 versus 2018</w:t>
            </w:r>
          </w:p>
        </w:tc>
        <w:tc>
          <w:tcPr>
            <w:tcW w:w="720" w:type="dxa"/>
            <w:vAlign w:val="bottom"/>
            <w:gridSpan w:val="2"/>
          </w:tcPr>
          <w:p>
            <w:pPr>
              <w:jc w:val="right"/>
              <w:ind w:right="10"/>
              <w:spacing w:after="0"/>
              <w:rPr>
                <w:sz w:val="20"/>
                <w:szCs w:val="20"/>
                <w:color w:val="auto"/>
              </w:rPr>
            </w:pPr>
            <w:r>
              <w:rPr>
                <w:rFonts w:ascii="Arial" w:cs="Arial" w:eastAsia="Arial" w:hAnsi="Arial"/>
                <w:sz w:val="18"/>
                <w:szCs w:val="18"/>
                <w:color w:val="auto"/>
              </w:rPr>
              <w:t>(1.6)%</w:t>
            </w:r>
          </w:p>
        </w:tc>
        <w:tc>
          <w:tcPr>
            <w:tcW w:w="1240" w:type="dxa"/>
            <w:vAlign w:val="bottom"/>
            <w:gridSpan w:val="2"/>
          </w:tcPr>
          <w:p>
            <w:pPr>
              <w:jc w:val="right"/>
              <w:ind w:right="10"/>
              <w:spacing w:after="0"/>
              <w:rPr>
                <w:sz w:val="20"/>
                <w:szCs w:val="20"/>
                <w:color w:val="auto"/>
              </w:rPr>
            </w:pPr>
            <w:r>
              <w:rPr>
                <w:rFonts w:ascii="Arial" w:cs="Arial" w:eastAsia="Arial" w:hAnsi="Arial"/>
                <w:sz w:val="18"/>
                <w:szCs w:val="18"/>
                <w:color w:val="auto"/>
              </w:rPr>
              <w:t>(7.9)%</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6.3 %</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1.5 %</w:t>
            </w:r>
          </w:p>
        </w:tc>
        <w:tc>
          <w:tcPr>
            <w:tcW w:w="780" w:type="dxa"/>
            <w:vAlign w:val="bottom"/>
            <w:gridSpan w:val="2"/>
          </w:tcPr>
          <w:p>
            <w:pPr>
              <w:jc w:val="right"/>
              <w:ind w:right="10"/>
              <w:spacing w:after="0"/>
              <w:rPr>
                <w:sz w:val="20"/>
                <w:szCs w:val="20"/>
                <w:color w:val="auto"/>
              </w:rPr>
            </w:pPr>
            <w:r>
              <w:rPr>
                <w:rFonts w:ascii="Arial" w:cs="Arial" w:eastAsia="Arial" w:hAnsi="Arial"/>
                <w:sz w:val="18"/>
                <w:szCs w:val="18"/>
                <w:color w:val="auto"/>
              </w:rPr>
              <w:t>4.8 %</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720" w:right="79" w:hanging="319"/>
        <w:spacing w:after="0" w:line="257" w:lineRule="auto"/>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Diversifying our end market sales mix by increasing sales of specialty wood and protective packaging to industrial users, increasing our penetration of the concrete forming market, increasing our sales of engineered wood components for custom home, multi-family, military and light commercial construction, increasing our market share with independent retailers, and increasing our sales of customized interior fixtures, casework and millwork used in a variety of commercial markets.</w:t>
      </w:r>
    </w:p>
    <w:p>
      <w:pPr>
        <w:spacing w:after="0" w:line="187" w:lineRule="exact"/>
        <w:rPr>
          <w:rFonts w:ascii="Arial" w:cs="Arial" w:eastAsia="Arial" w:hAnsi="Arial"/>
          <w:sz w:val="18"/>
          <w:szCs w:val="18"/>
          <w:color w:val="auto"/>
        </w:rPr>
      </w:pPr>
    </w:p>
    <w:p>
      <w:pPr>
        <w:ind w:left="720" w:hanging="319"/>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Expanding geographically in our core businesses, domestically and internationally.</w:t>
      </w:r>
    </w:p>
    <w:p>
      <w:pPr>
        <w:spacing w:after="0" w:line="225" w:lineRule="exact"/>
        <w:rPr>
          <w:rFonts w:ascii="Arial" w:cs="Arial" w:eastAsia="Arial" w:hAnsi="Arial"/>
          <w:sz w:val="18"/>
          <w:szCs w:val="18"/>
          <w:color w:val="auto"/>
        </w:rPr>
      </w:pPr>
    </w:p>
    <w:p>
      <w:pPr>
        <w:jc w:val="both"/>
        <w:ind w:left="720" w:right="79" w:hanging="319"/>
        <w:spacing w:after="0" w:line="270" w:lineRule="auto"/>
        <w:tabs>
          <w:tab w:leader="none" w:pos="7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Increasing our sales of "value-added" products and enhancing our product offering with new or improved products. Value-added products generally consist of fencing, decking, lattice, and other specialty products sold to the retail segment, specialty wood packaging, engineered wood components, customized interior fixtures, and "wood alternative" products. Engineered wood components include roof trusses, wall panels, and floor systems. Wood alternative products consist of products manufactured with wood and non-wood composites, metals and plastics. Although we consider the treatment of dimensional lumber and panels with certain chemical preservatives a value-added process, treated lumber is not presently included in the value-added sales totals. Remanufactured lumber and panels that are components of finished goods are also generally categorized as “commodity-based” products.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0" w:name="page81"/>
    <w:bookmarkEnd w:id="8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UFP INDUSTRIES, INC.</w:t>
      </w:r>
    </w:p>
    <w:p>
      <w:pPr>
        <w:spacing w:after="0" w:line="50"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24" w:lineRule="exact"/>
        <w:rPr>
          <w:sz w:val="20"/>
          <w:szCs w:val="20"/>
          <w:color w:val="auto"/>
        </w:rPr>
      </w:pPr>
    </w:p>
    <w:p>
      <w:pPr>
        <w:jc w:val="both"/>
        <w:ind w:left="700" w:right="59"/>
        <w:spacing w:after="0" w:line="289" w:lineRule="auto"/>
        <w:rPr>
          <w:sz w:val="20"/>
          <w:szCs w:val="20"/>
          <w:color w:val="auto"/>
        </w:rPr>
      </w:pPr>
      <w:r>
        <w:rPr>
          <w:rFonts w:ascii="Arial" w:cs="Arial" w:eastAsia="Arial" w:hAnsi="Arial"/>
          <w:sz w:val="16"/>
          <w:szCs w:val="16"/>
          <w:color w:val="auto"/>
        </w:rPr>
        <w:t>The following table presents, for the periods indicated, our percentage of value-added and commodity-based sales to total sales by our segments (Retail, Industrial, Construction, and All Other and Corporate). Value-added products are typically sold at fixed selling prices for a pre-determined time period and carry higher gross margins than our commodity-based products. The increase in our ratio of commodity-based product sales to total sales reflected in the tables below is primarily due to the impact of dramatically higher lumber prices in 2020 as the selling prices of these products are generally indexed to the current Lumber Market at the time they are shipped. For example, a majority of our commodity-based sales are sold through our ProWood business unit and selling prices were up 30% in 2020 compared to 2019. Also, our Industrial and Construction segments primarily sell value-added products and their unit sales were both down 6% compared to last year.</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1500" w:type="dxa"/>
            <w:vAlign w:val="bottom"/>
          </w:tcPr>
          <w:p>
            <w:pPr>
              <w:spacing w:after="0"/>
              <w:rPr>
                <w:sz w:val="15"/>
                <w:szCs w:val="15"/>
                <w:color w:val="auto"/>
              </w:rPr>
            </w:pPr>
          </w:p>
        </w:tc>
        <w:tc>
          <w:tcPr>
            <w:tcW w:w="2420" w:type="dxa"/>
            <w:vAlign w:val="bottom"/>
            <w:tcBorders>
              <w:bottom w:val="single" w:sz="8" w:color="auto"/>
            </w:tcBorders>
            <w:gridSpan w:val="3"/>
          </w:tcPr>
          <w:p>
            <w:pPr>
              <w:jc w:val="right"/>
              <w:ind w:right="173"/>
              <w:spacing w:after="0"/>
              <w:rPr>
                <w:sz w:val="20"/>
                <w:szCs w:val="20"/>
                <w:color w:val="auto"/>
              </w:rPr>
            </w:pPr>
            <w:r>
              <w:rPr>
                <w:rFonts w:ascii="Arial" w:cs="Arial" w:eastAsia="Arial" w:hAnsi="Arial"/>
                <w:sz w:val="14"/>
                <w:szCs w:val="14"/>
                <w:b w:val="1"/>
                <w:bCs w:val="1"/>
                <w:color w:val="auto"/>
              </w:rPr>
              <w:t>Year Ended December 26, 2020</w:t>
            </w:r>
          </w:p>
        </w:tc>
        <w:tc>
          <w:tcPr>
            <w:tcW w:w="160" w:type="dxa"/>
            <w:vAlign w:val="bottom"/>
          </w:tcPr>
          <w:p>
            <w:pPr>
              <w:spacing w:after="0"/>
              <w:rPr>
                <w:sz w:val="15"/>
                <w:szCs w:val="15"/>
                <w:color w:val="auto"/>
              </w:rPr>
            </w:pPr>
          </w:p>
        </w:tc>
        <w:tc>
          <w:tcPr>
            <w:tcW w:w="2320" w:type="dxa"/>
            <w:vAlign w:val="bottom"/>
            <w:tcBorders>
              <w:bottom w:val="single" w:sz="8" w:color="auto"/>
            </w:tcBorders>
            <w:gridSpan w:val="3"/>
          </w:tcPr>
          <w:p>
            <w:pPr>
              <w:jc w:val="right"/>
              <w:ind w:right="113"/>
              <w:spacing w:after="0"/>
              <w:rPr>
                <w:sz w:val="20"/>
                <w:szCs w:val="20"/>
                <w:color w:val="auto"/>
              </w:rPr>
            </w:pPr>
            <w:r>
              <w:rPr>
                <w:rFonts w:ascii="Arial" w:cs="Arial" w:eastAsia="Arial" w:hAnsi="Arial"/>
                <w:sz w:val="14"/>
                <w:szCs w:val="14"/>
                <w:b w:val="1"/>
                <w:bCs w:val="1"/>
                <w:color w:val="auto"/>
              </w:rPr>
              <w:t>Year Ended December 28, 2019</w:t>
            </w:r>
          </w:p>
        </w:tc>
        <w:tc>
          <w:tcPr>
            <w:tcW w:w="160" w:type="dxa"/>
            <w:vAlign w:val="bottom"/>
          </w:tcPr>
          <w:p>
            <w:pPr>
              <w:spacing w:after="0"/>
              <w:rPr>
                <w:sz w:val="15"/>
                <w:szCs w:val="15"/>
                <w:color w:val="auto"/>
              </w:rPr>
            </w:pPr>
          </w:p>
        </w:tc>
        <w:tc>
          <w:tcPr>
            <w:tcW w:w="2340" w:type="dxa"/>
            <w:vAlign w:val="bottom"/>
            <w:tcBorders>
              <w:bottom w:val="single" w:sz="8" w:color="auto"/>
            </w:tcBorders>
            <w:gridSpan w:val="3"/>
          </w:tcPr>
          <w:p>
            <w:pPr>
              <w:jc w:val="right"/>
              <w:ind w:right="113"/>
              <w:spacing w:after="0"/>
              <w:rPr>
                <w:sz w:val="20"/>
                <w:szCs w:val="20"/>
                <w:color w:val="auto"/>
              </w:rPr>
            </w:pPr>
            <w:r>
              <w:rPr>
                <w:rFonts w:ascii="Arial" w:cs="Arial" w:eastAsia="Arial" w:hAnsi="Arial"/>
                <w:sz w:val="14"/>
                <w:szCs w:val="14"/>
                <w:b w:val="1"/>
                <w:bCs w:val="1"/>
                <w:color w:val="auto"/>
              </w:rPr>
              <w:t>Year Ended December 29, 2018</w:t>
            </w:r>
          </w:p>
        </w:tc>
      </w:tr>
      <w:tr>
        <w:trPr>
          <w:trHeight w:val="304"/>
        </w:trPr>
        <w:tc>
          <w:tcPr>
            <w:tcW w:w="1500" w:type="dxa"/>
            <w:vAlign w:val="bottom"/>
          </w:tcPr>
          <w:p>
            <w:pPr>
              <w:spacing w:after="0"/>
              <w:rPr>
                <w:sz w:val="24"/>
                <w:szCs w:val="24"/>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Value-Added</w:t>
            </w:r>
          </w:p>
        </w:tc>
        <w:tc>
          <w:tcPr>
            <w:tcW w:w="1420" w:type="dxa"/>
            <w:vAlign w:val="bottom"/>
            <w:gridSpan w:val="2"/>
          </w:tcPr>
          <w:p>
            <w:pPr>
              <w:ind w:left="60"/>
              <w:spacing w:after="0"/>
              <w:rPr>
                <w:sz w:val="20"/>
                <w:szCs w:val="20"/>
                <w:color w:val="auto"/>
              </w:rPr>
            </w:pPr>
            <w:r>
              <w:rPr>
                <w:rFonts w:ascii="Arial" w:cs="Arial" w:eastAsia="Arial" w:hAnsi="Arial"/>
                <w:sz w:val="14"/>
                <w:szCs w:val="14"/>
                <w:b w:val="1"/>
                <w:bCs w:val="1"/>
                <w:color w:val="auto"/>
              </w:rPr>
              <w:t>Commodity-Based</w:t>
            </w: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Value-Added</w:t>
            </w:r>
          </w:p>
        </w:tc>
        <w:tc>
          <w:tcPr>
            <w:tcW w:w="13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2"/>
              </w:rPr>
              <w:t>Commodity-Based</w:t>
            </w: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Value-Added</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w w:val="92"/>
              </w:rPr>
              <w:t>Commodity-Based</w:t>
            </w:r>
          </w:p>
        </w:tc>
      </w:tr>
      <w:tr>
        <w:trPr>
          <w:trHeight w:val="216"/>
        </w:trPr>
        <w:tc>
          <w:tcPr>
            <w:tcW w:w="1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Retail</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53.8 %</w:t>
            </w:r>
          </w:p>
        </w:tc>
        <w:tc>
          <w:tcPr>
            <w:tcW w:w="16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46.2 %</w:t>
            </w:r>
          </w:p>
        </w:tc>
        <w:tc>
          <w:tcPr>
            <w:tcW w:w="1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57.8 %</w:t>
            </w:r>
          </w:p>
        </w:tc>
        <w:tc>
          <w:tcPr>
            <w:tcW w:w="16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42.2 %</w:t>
            </w:r>
          </w:p>
        </w:tc>
        <w:tc>
          <w:tcPr>
            <w:tcW w:w="1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54.0 %</w:t>
            </w:r>
          </w:p>
        </w:tc>
        <w:tc>
          <w:tcPr>
            <w:tcW w:w="16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46.0 %</w:t>
            </w:r>
          </w:p>
        </w:tc>
      </w:tr>
      <w:tr>
        <w:trPr>
          <w:trHeight w:val="216"/>
        </w:trPr>
        <w:tc>
          <w:tcPr>
            <w:tcW w:w="1500" w:type="dxa"/>
            <w:vAlign w:val="bottom"/>
          </w:tcPr>
          <w:p>
            <w:pPr>
              <w:ind w:left="20"/>
              <w:spacing w:after="0"/>
              <w:rPr>
                <w:sz w:val="20"/>
                <w:szCs w:val="20"/>
                <w:color w:val="auto"/>
              </w:rPr>
            </w:pPr>
            <w:r>
              <w:rPr>
                <w:rFonts w:ascii="Arial" w:cs="Arial" w:eastAsia="Arial" w:hAnsi="Arial"/>
                <w:sz w:val="18"/>
                <w:szCs w:val="18"/>
                <w:color w:val="auto"/>
              </w:rPr>
              <w:t>Industrial</w:t>
            </w:r>
          </w:p>
        </w:tc>
        <w:tc>
          <w:tcPr>
            <w:tcW w:w="1000" w:type="dxa"/>
            <w:vAlign w:val="bottom"/>
          </w:tcPr>
          <w:p>
            <w:pPr>
              <w:jc w:val="right"/>
              <w:spacing w:after="0"/>
              <w:rPr>
                <w:sz w:val="20"/>
                <w:szCs w:val="20"/>
                <w:color w:val="auto"/>
              </w:rPr>
            </w:pPr>
            <w:r>
              <w:rPr>
                <w:rFonts w:ascii="Arial" w:cs="Arial" w:eastAsia="Arial" w:hAnsi="Arial"/>
                <w:sz w:val="18"/>
                <w:szCs w:val="18"/>
                <w:color w:val="auto"/>
              </w:rPr>
              <w:t>64.7 %</w:t>
            </w:r>
          </w:p>
        </w:tc>
        <w:tc>
          <w:tcPr>
            <w:tcW w:w="160" w:type="dxa"/>
            <w:vAlign w:val="bottom"/>
          </w:tcPr>
          <w:p>
            <w:pPr>
              <w:spacing w:after="0"/>
              <w:rPr>
                <w:sz w:val="18"/>
                <w:szCs w:val="18"/>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35.3 %</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66.2 %</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33.8 %</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60.5 %</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39.5 %</w:t>
            </w:r>
          </w:p>
        </w:tc>
      </w:tr>
      <w:tr>
        <w:trPr>
          <w:trHeight w:val="216"/>
        </w:trPr>
        <w:tc>
          <w:tcPr>
            <w:tcW w:w="1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76.3 %</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23.7 %</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81.4 %</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18.6 %</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76.5 %</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23.5 %</w:t>
            </w:r>
          </w:p>
        </w:tc>
      </w:tr>
      <w:tr>
        <w:trPr>
          <w:trHeight w:val="202"/>
        </w:trPr>
        <w:tc>
          <w:tcPr>
            <w:tcW w:w="1500" w:type="dxa"/>
            <w:vAlign w:val="bottom"/>
          </w:tcPr>
          <w:p>
            <w:pPr>
              <w:ind w:left="20"/>
              <w:spacing w:after="0" w:line="201" w:lineRule="exact"/>
              <w:rPr>
                <w:sz w:val="20"/>
                <w:szCs w:val="20"/>
                <w:color w:val="auto"/>
              </w:rPr>
            </w:pPr>
            <w:r>
              <w:rPr>
                <w:rFonts w:ascii="Arial" w:cs="Arial" w:eastAsia="Arial" w:hAnsi="Arial"/>
                <w:sz w:val="18"/>
                <w:szCs w:val="18"/>
                <w:color w:val="auto"/>
              </w:rPr>
              <w:t>All Other and</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30"/>
        </w:trPr>
        <w:tc>
          <w:tcPr>
            <w:tcW w:w="1500" w:type="dxa"/>
            <w:vAlign w:val="bottom"/>
          </w:tcPr>
          <w:p>
            <w:pPr>
              <w:ind w:left="20"/>
              <w:spacing w:after="0"/>
              <w:rPr>
                <w:sz w:val="20"/>
                <w:szCs w:val="20"/>
                <w:color w:val="auto"/>
              </w:rPr>
            </w:pPr>
            <w:r>
              <w:rPr>
                <w:rFonts w:ascii="Arial" w:cs="Arial" w:eastAsia="Arial" w:hAnsi="Arial"/>
                <w:sz w:val="18"/>
                <w:szCs w:val="18"/>
                <w:color w:val="auto"/>
              </w:rPr>
              <w:t>Corporate</w:t>
            </w:r>
          </w:p>
        </w:tc>
        <w:tc>
          <w:tcPr>
            <w:tcW w:w="1000" w:type="dxa"/>
            <w:vAlign w:val="bottom"/>
          </w:tcPr>
          <w:p>
            <w:pPr>
              <w:jc w:val="right"/>
              <w:spacing w:after="0"/>
              <w:rPr>
                <w:sz w:val="20"/>
                <w:szCs w:val="20"/>
                <w:color w:val="auto"/>
              </w:rPr>
            </w:pPr>
            <w:r>
              <w:rPr>
                <w:rFonts w:ascii="Arial" w:cs="Arial" w:eastAsia="Arial" w:hAnsi="Arial"/>
                <w:sz w:val="18"/>
                <w:szCs w:val="18"/>
                <w:color w:val="auto"/>
              </w:rPr>
              <w:t>75.6 %</w:t>
            </w:r>
          </w:p>
        </w:tc>
        <w:tc>
          <w:tcPr>
            <w:tcW w:w="160" w:type="dxa"/>
            <w:vAlign w:val="bottom"/>
          </w:tcPr>
          <w:p>
            <w:pPr>
              <w:spacing w:after="0"/>
              <w:rPr>
                <w:sz w:val="20"/>
                <w:szCs w:val="20"/>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24.4 %</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75.8 %</w:t>
            </w: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24.2 %</w:t>
            </w: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65.9 %</w:t>
            </w: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34.1 %</w:t>
            </w:r>
          </w:p>
        </w:tc>
      </w:tr>
      <w:tr>
        <w:trPr>
          <w:trHeight w:val="216"/>
        </w:trPr>
        <w:tc>
          <w:tcPr>
            <w:tcW w:w="1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Sales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64.3 %</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35.7 %</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69.3 %</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30.7 %</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64.6 %</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35.4 %</w:t>
            </w:r>
          </w:p>
        </w:tc>
      </w:tr>
    </w:tbl>
    <w:p>
      <w:pPr>
        <w:spacing w:after="0" w:line="310" w:lineRule="exact"/>
        <w:rPr>
          <w:sz w:val="20"/>
          <w:szCs w:val="20"/>
          <w:color w:val="auto"/>
        </w:rPr>
      </w:pPr>
    </w:p>
    <w:p>
      <w:pPr>
        <w:jc w:val="both"/>
        <w:ind w:left="720" w:right="79" w:hanging="319"/>
        <w:spacing w:after="0" w:line="257" w:lineRule="auto"/>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Developing new products. We define new products as those that will generate sales of at least a $1 million per year within 4 years of launch and are still growing and gaining market penetration. New product sales and gross profits in 2020 were up 26% and 36%, respectively, from the prior year. Approximately $126 million of new product sales for 2019, while still sold, were sunset in 2020 and excluded from the table below because they no longer meet the definition above.</w:t>
      </w:r>
    </w:p>
    <w:p>
      <w:pPr>
        <w:spacing w:after="0" w:line="139" w:lineRule="exact"/>
        <w:rPr>
          <w:sz w:val="20"/>
          <w:szCs w:val="20"/>
          <w:color w:val="auto"/>
        </w:rPr>
      </w:pPr>
    </w:p>
    <w:tbl>
      <w:tblPr>
        <w:tblLayout w:type="fixed"/>
        <w:tblInd w:w="100" w:type="dxa"/>
        <w:tblCellMar>
          <w:top w:w="0" w:type="dxa"/>
          <w:left w:w="0" w:type="dxa"/>
          <w:bottom w:w="0" w:type="dxa"/>
          <w:right w:w="0" w:type="dxa"/>
        </w:tblCellMar>
      </w:tblPr>
      <w:tr>
        <w:trPr>
          <w:trHeight w:val="178"/>
        </w:trPr>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New Product Sales by Segment</w:t>
            </w:r>
          </w:p>
        </w:tc>
        <w:tc>
          <w:tcPr>
            <w:tcW w:w="10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r>
      <w:tr>
        <w:trPr>
          <w:trHeight w:val="155"/>
        </w:trPr>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2"/>
          </w:tcPr>
          <w:p>
            <w:pPr>
              <w:jc w:val="right"/>
              <w:spacing w:after="0" w:line="149" w:lineRule="exact"/>
              <w:rPr>
                <w:sz w:val="20"/>
                <w:szCs w:val="20"/>
                <w:color w:val="auto"/>
              </w:rPr>
            </w:pPr>
            <w:r>
              <w:rPr>
                <w:rFonts w:ascii="Arial" w:cs="Arial" w:eastAsia="Arial" w:hAnsi="Arial"/>
                <w:sz w:val="14"/>
                <w:szCs w:val="14"/>
                <w:b w:val="1"/>
                <w:bCs w:val="1"/>
                <w:color w:val="auto"/>
              </w:rPr>
              <w:t>Year Ended</w:t>
            </w:r>
          </w:p>
        </w:tc>
        <w:tc>
          <w:tcPr>
            <w:tcW w:w="2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r>
      <w:tr>
        <w:trPr>
          <w:trHeight w:val="139"/>
        </w:trPr>
        <w:tc>
          <w:tcPr>
            <w:tcW w:w="8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ind w:right="55"/>
              <w:spacing w:after="0" w:line="139" w:lineRule="exact"/>
              <w:rPr>
                <w:sz w:val="20"/>
                <w:szCs w:val="20"/>
                <w:color w:val="auto"/>
              </w:rPr>
            </w:pPr>
            <w:r>
              <w:rPr>
                <w:rFonts w:ascii="Arial" w:cs="Arial" w:eastAsia="Arial" w:hAnsi="Arial"/>
                <w:sz w:val="14"/>
                <w:szCs w:val="14"/>
                <w:b w:val="1"/>
                <w:bCs w:val="1"/>
                <w:color w:val="auto"/>
                <w:w w:val="94"/>
              </w:rPr>
              <w:t>December 26,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ind w:right="57"/>
              <w:spacing w:after="0" w:line="139" w:lineRule="exact"/>
              <w:rPr>
                <w:sz w:val="20"/>
                <w:szCs w:val="20"/>
                <w:color w:val="auto"/>
              </w:rPr>
            </w:pPr>
            <w:r>
              <w:rPr>
                <w:rFonts w:ascii="Arial" w:cs="Arial" w:eastAsia="Arial" w:hAnsi="Arial"/>
                <w:sz w:val="14"/>
                <w:szCs w:val="14"/>
                <w:b w:val="1"/>
                <w:bCs w:val="1"/>
                <w:color w:val="auto"/>
                <w:w w:val="94"/>
              </w:rPr>
              <w:t>December 28,</w:t>
            </w:r>
          </w:p>
        </w:tc>
        <w:tc>
          <w:tcPr>
            <w:tcW w:w="900" w:type="dxa"/>
            <w:vAlign w:val="bottom"/>
            <w:gridSpan w:val="2"/>
          </w:tcPr>
          <w:p>
            <w:pPr>
              <w:jc w:val="right"/>
              <w:ind w:right="99"/>
              <w:spacing w:after="0" w:line="139"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ind w:right="55"/>
              <w:spacing w:after="0" w:line="139" w:lineRule="exact"/>
              <w:rPr>
                <w:sz w:val="20"/>
                <w:szCs w:val="20"/>
                <w:color w:val="auto"/>
              </w:rPr>
            </w:pPr>
            <w:r>
              <w:rPr>
                <w:rFonts w:ascii="Arial" w:cs="Arial" w:eastAsia="Arial" w:hAnsi="Arial"/>
                <w:sz w:val="14"/>
                <w:szCs w:val="14"/>
                <w:b w:val="1"/>
                <w:bCs w:val="1"/>
                <w:color w:val="auto"/>
                <w:w w:val="92"/>
              </w:rPr>
              <w:t>December 29,</w:t>
            </w:r>
          </w:p>
        </w:tc>
        <w:tc>
          <w:tcPr>
            <w:tcW w:w="1240" w:type="dxa"/>
            <w:vAlign w:val="bottom"/>
            <w:gridSpan w:val="2"/>
          </w:tcPr>
          <w:p>
            <w:pPr>
              <w:jc w:val="right"/>
              <w:ind w:right="376"/>
              <w:spacing w:after="0" w:line="139" w:lineRule="exact"/>
              <w:rPr>
                <w:sz w:val="20"/>
                <w:szCs w:val="20"/>
                <w:color w:val="auto"/>
              </w:rPr>
            </w:pPr>
            <w:r>
              <w:rPr>
                <w:rFonts w:ascii="Arial" w:cs="Arial" w:eastAsia="Arial" w:hAnsi="Arial"/>
                <w:sz w:val="14"/>
                <w:szCs w:val="14"/>
                <w:b w:val="1"/>
                <w:bCs w:val="1"/>
                <w:color w:val="auto"/>
              </w:rPr>
              <w:t>%</w:t>
            </w:r>
          </w:p>
        </w:tc>
      </w:tr>
      <w:tr>
        <w:trPr>
          <w:trHeight w:val="191"/>
        </w:trPr>
        <w:tc>
          <w:tcPr>
            <w:tcW w:w="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(in thousands)</w:t>
            </w:r>
          </w:p>
        </w:tc>
        <w:tc>
          <w:tcPr>
            <w:tcW w:w="1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Change</w:t>
            </w:r>
          </w:p>
        </w:tc>
        <w:tc>
          <w:tcPr>
            <w:tcW w:w="2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6"/>
                <w:szCs w:val="16"/>
                <w:color w:val="auto"/>
              </w:rPr>
            </w:pPr>
          </w:p>
        </w:tc>
        <w:tc>
          <w:tcPr>
            <w:tcW w:w="10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Change</w:t>
            </w:r>
          </w:p>
        </w:tc>
      </w:tr>
      <w:tr>
        <w:trPr>
          <w:trHeight w:val="203"/>
        </w:trPr>
        <w:tc>
          <w:tcPr>
            <w:tcW w:w="22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Retail</w:t>
            </w: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394,838</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284,182</w:t>
            </w:r>
          </w:p>
        </w:tc>
        <w:tc>
          <w:tcPr>
            <w:tcW w:w="2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38.9</w:t>
            </w:r>
          </w:p>
        </w:tc>
        <w:tc>
          <w:tcPr>
            <w:tcW w:w="2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4"/>
              </w:rPr>
              <w:t>%</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316,017</w:t>
            </w:r>
          </w:p>
        </w:tc>
        <w:tc>
          <w:tcPr>
            <w:tcW w:w="2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(10.1)%</w:t>
            </w:r>
          </w:p>
        </w:tc>
      </w:tr>
      <w:tr>
        <w:trPr>
          <w:trHeight w:val="216"/>
        </w:trPr>
        <w:tc>
          <w:tcPr>
            <w:tcW w:w="2220" w:type="dxa"/>
            <w:vAlign w:val="bottom"/>
            <w:gridSpan w:val="2"/>
          </w:tcPr>
          <w:p>
            <w:pPr>
              <w:spacing w:after="0"/>
              <w:rPr>
                <w:sz w:val="20"/>
                <w:szCs w:val="20"/>
                <w:color w:val="auto"/>
              </w:rPr>
            </w:pPr>
            <w:r>
              <w:rPr>
                <w:rFonts w:ascii="Arial" w:cs="Arial" w:eastAsia="Arial" w:hAnsi="Arial"/>
                <w:sz w:val="18"/>
                <w:szCs w:val="18"/>
                <w:color w:val="auto"/>
              </w:rPr>
              <w:t>Industrial</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78,142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68,672</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13.8</w:t>
            </w:r>
          </w:p>
        </w:tc>
        <w:tc>
          <w:tcPr>
            <w:tcW w:w="22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88,063</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(22.0)%</w:t>
            </w:r>
          </w:p>
        </w:tc>
      </w:tr>
      <w:tr>
        <w:trPr>
          <w:trHeight w:val="216"/>
        </w:trPr>
        <w:tc>
          <w:tcPr>
            <w:tcW w:w="2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Construction</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54,307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60,177</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75,174</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w:t>
            </w:r>
          </w:p>
        </w:tc>
      </w:tr>
      <w:tr>
        <w:trPr>
          <w:trHeight w:val="223"/>
        </w:trPr>
        <w:tc>
          <w:tcPr>
            <w:tcW w:w="22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All Other and Corporate</w:t>
            </w:r>
          </w:p>
        </w:tc>
        <w:tc>
          <w:tcPr>
            <w:tcW w:w="4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11,397</w:t>
            </w:r>
          </w:p>
        </w:tc>
        <w:tc>
          <w:tcPr>
            <w:tcW w:w="2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13,016</w:t>
            </w:r>
          </w:p>
        </w:tc>
        <w:tc>
          <w:tcPr>
            <w:tcW w:w="1120" w:type="dxa"/>
            <w:vAlign w:val="bottom"/>
            <w:tcBorders>
              <w:bottom w:val="single" w:sz="8" w:color="CCEEFF"/>
            </w:tcBorders>
            <w:gridSpan w:val="3"/>
          </w:tcPr>
          <w:p>
            <w:pPr>
              <w:jc w:val="right"/>
              <w:spacing w:after="0"/>
              <w:rPr>
                <w:sz w:val="20"/>
                <w:szCs w:val="20"/>
                <w:color w:val="auto"/>
              </w:rPr>
            </w:pPr>
            <w:r>
              <w:rPr>
                <w:rFonts w:ascii="Arial" w:cs="Arial" w:eastAsia="Arial" w:hAnsi="Arial"/>
                <w:sz w:val="18"/>
                <w:szCs w:val="18"/>
                <w:color w:val="auto"/>
              </w:rPr>
              <w:t>(12.4)%</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n/a</w:t>
            </w:r>
          </w:p>
        </w:tc>
        <w:tc>
          <w:tcPr>
            <w:tcW w:w="22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jc w:val="right"/>
              <w:ind w:right="216"/>
              <w:spacing w:after="0"/>
              <w:rPr>
                <w:sz w:val="20"/>
                <w:szCs w:val="20"/>
                <w:color w:val="auto"/>
              </w:rPr>
            </w:pPr>
            <w:r>
              <w:rPr>
                <w:rFonts w:ascii="Arial" w:cs="Arial" w:eastAsia="Arial" w:hAnsi="Arial"/>
                <w:sz w:val="18"/>
                <w:szCs w:val="18"/>
                <w:color w:val="auto"/>
              </w:rPr>
              <w:t>n/a</w:t>
            </w:r>
          </w:p>
        </w:tc>
      </w:tr>
      <w:tr>
        <w:trPr>
          <w:trHeight w:val="216"/>
        </w:trPr>
        <w:tc>
          <w:tcPr>
            <w:tcW w:w="2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New Product Sales</w:t>
            </w:r>
          </w:p>
        </w:tc>
        <w:tc>
          <w:tcPr>
            <w:tcW w:w="4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538,684</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426,047</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479,254</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(11.1)%</w:t>
            </w:r>
          </w:p>
        </w:tc>
      </w:tr>
      <w:tr>
        <w:trPr>
          <w:trHeight w:val="20"/>
        </w:trPr>
        <w:tc>
          <w:tcPr>
            <w:tcW w:w="8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103" w:lineRule="exact"/>
        <w:rPr>
          <w:sz w:val="20"/>
          <w:szCs w:val="20"/>
          <w:color w:val="auto"/>
        </w:rPr>
      </w:pPr>
    </w:p>
    <w:p>
      <w:pPr>
        <w:ind w:left="100"/>
        <w:spacing w:after="0"/>
        <w:rPr>
          <w:sz w:val="20"/>
          <w:szCs w:val="20"/>
          <w:color w:val="auto"/>
        </w:rPr>
      </w:pPr>
      <w:r>
        <w:rPr>
          <w:rFonts w:ascii="Arial" w:cs="Arial" w:eastAsia="Arial" w:hAnsi="Arial"/>
          <w:sz w:val="13"/>
          <w:szCs w:val="13"/>
          <w:color w:val="auto"/>
        </w:rPr>
        <w:t>Note: Certain prior year product reclassifications and the change in designation of certain products as "new" resulted in a change in prior year's sales.</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1" w:name="page82"/>
    <w:bookmarkEnd w:id="8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UFP INDUSTRIES, INC.</w:t>
      </w:r>
    </w:p>
    <w:p>
      <w:pPr>
        <w:spacing w:after="0" w:line="50"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Retail Segment:</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2020 versus 2019</w:t>
      </w:r>
    </w:p>
    <w:p>
      <w:pPr>
        <w:spacing w:after="0" w:line="225"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Net sales to the retail segment increased 45% in 2020 compared to 2019 due to a 25% increase in unit sales and a 20% increase in selling prices. Our unit growth was primarily driven by a 49% increase in our Dimensions Home &amp; Décor products including project panels and short lumber, a 28% increase in Outdoor Essentials Fence, Lawn &amp; Garden products, a 25% increase in our ProWood pressure-treated products, and a 20% increase in our Deckorators composite decking and railing. Acquisitions contributed 1% to the overall growth in unit sales, primarily in our UFP Edge siding and trim products. Our new product sales contributed to these increases and were up 39% for the year. Finally, our sales to big box customers increased 48%, and sales to other independent retailers increased 38%. Our unit sales increases were primarily due to an increase in demand as consumers invested in home improvement activities over other spending alternatives. We believe that the pandemic and related disruptions in the lives of consumers contributed to this increase in demand.</w:t>
      </w:r>
    </w:p>
    <w:p>
      <w:pPr>
        <w:spacing w:after="0" w:line="16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Gross profits increased by $118.6 million, or 68% to $293 million in 2020 compared to 2019, comparing favorably with our 25% increase in unit sales. Our increase in gross profits was due to the following factors:</w:t>
      </w:r>
    </w:p>
    <w:p>
      <w:pPr>
        <w:spacing w:after="0" w:line="170" w:lineRule="exact"/>
        <w:rPr>
          <w:sz w:val="20"/>
          <w:szCs w:val="20"/>
          <w:color w:val="auto"/>
        </w:rPr>
      </w:pPr>
    </w:p>
    <w:p>
      <w:pPr>
        <w:ind w:left="720" w:right="79" w:hanging="319"/>
        <w:spacing w:after="0" w:line="277" w:lineRule="auto"/>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Increased unit sales of value-added products within our Deckorators, Outdoor Essentials, and Dimensions business units contributed $53.1 million to the increase.</w:t>
      </w:r>
    </w:p>
    <w:p>
      <w:pPr>
        <w:spacing w:after="0" w:line="170" w:lineRule="exact"/>
        <w:rPr>
          <w:rFonts w:ascii="Arial" w:cs="Arial" w:eastAsia="Arial" w:hAnsi="Arial"/>
          <w:sz w:val="18"/>
          <w:szCs w:val="18"/>
          <w:color w:val="auto"/>
        </w:rPr>
      </w:pPr>
    </w:p>
    <w:p>
      <w:pPr>
        <w:jc w:val="both"/>
        <w:ind w:left="720" w:right="79" w:hanging="319"/>
        <w:spacing w:after="0" w:line="263" w:lineRule="auto"/>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ProWood business unit, which produces and sells pressure treated lumber, contributed $48.9 million to the increase attributable to unit sales growth and the favorable trend of rising lumber prices as the selling prices of these products are primarily determined on a variable price formula.</w:t>
      </w:r>
    </w:p>
    <w:p>
      <w:pPr>
        <w:spacing w:after="0" w:line="183"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remaining $16.6 million increase is attributed to favorable cost variances as a result of operating leverage combined with strong organic unit growth.</w:t>
      </w:r>
    </w:p>
    <w:p>
      <w:pPr>
        <w:spacing w:after="0" w:line="170"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Selling, general and administrative (“SG&amp;A”) expenses increased by approximately $25.2 million, or 22.4%, in 2020 compared to 2019, lower than our 25% increase in unit sales. Acquired operations in 2020 contributed approximately $2.2 million to this increase. Accrued bonus expense increased approximately $18.7 million and totaled approximately $35.3 million for 2020. The remaining increase was due to increases in salaries and wages ($5.2 million), sales compensation ($1.4 million), and in-store merchandising costs ($1.6 million), offset by a decline in advertising ($2.5 million) and travel and related costs ($1.2 million).</w:t>
      </w:r>
    </w:p>
    <w:p>
      <w:pPr>
        <w:spacing w:after="0" w:line="19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Earnings from operations of the Retail reportable segment increased in 2020 compared to 2019 by $93.6 million, or 151.8%, well in excess of our 25% increase in unit sales as a result of the factors mentioned above.</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2019 versus 2018</w:t>
      </w:r>
    </w:p>
    <w:p>
      <w:pPr>
        <w:spacing w:after="0" w:line="225"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Net sales to the retail segment decreased 1% in 2019 compared to 2018 due to an 11% decrease in selling prices which was mostly offset by a 10% increase in unit sales. The decrease in selling prices was as a result of the decline in lumber prices in 2019. Our organic unit growth was primarily driven by a 40% increase in Deckorators composite decking and railing, an 18% increase in our UFP Edge siding and trim products. and a 6% increase in our ProWood pressure-treated products. Within this segment, sales to our big box customers increased 5% while our sales to other retailers decreased 10%.</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2" w:name="page83"/>
    <w:bookmarkEnd w:id="8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UFP INDUSTRIES, INC.</w:t>
      </w:r>
    </w:p>
    <w:p>
      <w:pPr>
        <w:spacing w:after="0" w:line="50"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24" w:lineRule="exact"/>
        <w:rPr>
          <w:sz w:val="20"/>
          <w:szCs w:val="20"/>
          <w:color w:val="auto"/>
        </w:rPr>
      </w:pPr>
    </w:p>
    <w:p>
      <w:pPr>
        <w:jc w:val="both"/>
        <w:ind w:left="60" w:right="79"/>
        <w:spacing w:after="0" w:line="293" w:lineRule="auto"/>
        <w:rPr>
          <w:sz w:val="20"/>
          <w:szCs w:val="20"/>
          <w:color w:val="auto"/>
        </w:rPr>
      </w:pPr>
      <w:r>
        <w:rPr>
          <w:rFonts w:ascii="Arial" w:cs="Arial" w:eastAsia="Arial" w:hAnsi="Arial"/>
          <w:sz w:val="16"/>
          <w:szCs w:val="16"/>
          <w:color w:val="auto"/>
        </w:rPr>
        <w:t>Gross profits increased $25 million, or 17% to $174 million in 2019 compared to 2018 comparing favorably with our 10% increase in units sold due to strong organic sales growth and leveraging of fixed costs, lower lumber costs on sales of fixed price products, value-added sales mix improvements and a favorable lumber market trend in 2019 which resulted in an improvement in gross profit per unit on sales of variable priced products. Increased unit sales of value-added products within Deckorators, Outdoor Essentials, and UFP Edge contributed $20.8 million to the increase in gross profit. ProWood contributed $7.6 million to the increase and the remaining $3.4 million is due to unfavorable cost variances.</w:t>
      </w:r>
    </w:p>
    <w:p>
      <w:pPr>
        <w:spacing w:after="0" w:line="164"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SG&amp;A expenses increased $15.2 million, or 16%, in 2019 compared to 2018, while we reported a 10% increase in unit sales. Acquired operations in 2019 contributed approximately $1.2 million to the increase. Accrued bonus increased approximately $4 million and totaled approximately $16.6 million in 2019. The remaining increase was due to increases of $4.0 million in compensation and sales incentives, $3.1 million in advertising, and other insignificant increases spread over several accounts.</w:t>
      </w:r>
    </w:p>
    <w:p>
      <w:pPr>
        <w:spacing w:after="0" w:line="18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Earnings from operations increased $9.5 million, or 18%, due to the factors mentioned above, which was well in excess of our 10% increase in unit sales.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Industrial Segment:</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2020 versus 2019</w:t>
      </w:r>
    </w:p>
    <w:p>
      <w:pPr>
        <w:spacing w:after="0" w:line="22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Net sales to the industrial segment decreased 1% in 2020 compared to 2019 due to a 5% increase in selling prices attributable to the Lumber Market, offset by a 6% decrease in unit sales due to the impact of the pandemic and government imposed shutdowns on certain of our customers.</w:t>
      </w:r>
    </w:p>
    <w:p>
      <w:pPr>
        <w:spacing w:after="0" w:line="184" w:lineRule="exact"/>
        <w:rPr>
          <w:sz w:val="20"/>
          <w:szCs w:val="20"/>
          <w:color w:val="auto"/>
        </w:rPr>
      </w:pPr>
    </w:p>
    <w:p>
      <w:pPr>
        <w:jc w:val="both"/>
        <w:ind w:left="60" w:right="79"/>
        <w:spacing w:after="0" w:line="311" w:lineRule="auto"/>
        <w:rPr>
          <w:sz w:val="20"/>
          <w:szCs w:val="20"/>
          <w:color w:val="auto"/>
        </w:rPr>
      </w:pPr>
      <w:r>
        <w:rPr>
          <w:rFonts w:ascii="Arial" w:cs="Arial" w:eastAsia="Arial" w:hAnsi="Arial"/>
          <w:sz w:val="16"/>
          <w:szCs w:val="16"/>
          <w:color w:val="auto"/>
        </w:rPr>
        <w:t>Gross profits decreased by 1.6% to $176.7 million in 2020 compared to 2019, comparing favorably with our 6% decrease in our unit sales. We believe we achieved these results by continuing to make favorable changes in our sales mix of value-added products and effectively passing along increases in commodity lumber costs to our customers.</w:t>
      </w:r>
    </w:p>
    <w:p>
      <w:pPr>
        <w:spacing w:after="0" w:line="14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SG&amp;A expenses increased by approximately $1.0 million, or 1.0%, in 2020 compared to 2019. Acquired operations in 2020 contributed approximately $3.0 million to total SG&amp;A expenses. Accrued bonus expense decreased $5.0 million compared to last year and totaled approximately $18.8 million for 2020. The remaining increase was primarily due to compensation and sales incentives.</w:t>
      </w:r>
    </w:p>
    <w:p>
      <w:pPr>
        <w:spacing w:after="0" w:line="187"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Certain contingent liabilities related to earnout incentives associated with business acquisitions by our industrial segment were reduced in 2020 and the impact to earnings was an increase of $4.1 million.</w:t>
      </w:r>
    </w:p>
    <w:p>
      <w:pPr>
        <w:spacing w:after="0" w:line="170"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Earnings from operations of the Industrial reportable segment in 2020 increased $0.4 million, or 0.5%, compared to 2019 due to the factors discussed above.</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2019 versus 2018</w:t>
      </w:r>
    </w:p>
    <w:p>
      <w:pPr>
        <w:spacing w:after="0" w:line="225"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color w:val="auto"/>
        </w:rPr>
        <w:t>Net sales to the industrial segment increased 3% in 2019 compared to 2018, resulting from a 4% increase in overall unit sales and a 1% decrease in selling prices. Businesses we acquired contributed 6% to our growth in unit sales.</w:t>
      </w:r>
    </w:p>
    <w:p>
      <w:pPr>
        <w:spacing w:after="0" w:line="146"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color w:val="auto"/>
        </w:rPr>
        <w:t>Gross profits increased $45.2 million, or 34%, in the industrial segment, primarily driven by favorable changes in product mix and lower lumber costs in 2019 as most products sold to this market have fixed selling prices for a period of time.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3" w:name="page84"/>
    <w:bookmarkEnd w:id="8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UFP INDUSTRIES, INC.</w:t>
      </w:r>
    </w:p>
    <w:p>
      <w:pPr>
        <w:spacing w:after="0" w:line="50"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24"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SG&amp;A expenses increased by approximately $21.3 million, or 29%, in 2020 compared to 2019. Acquired operations in 2019 contributed approximately $6.3 million to total SG&amp;A expenses. Accrued bonus expense increased approximately $9.5 million and totaled approximately $23.7 million in 2019. The remaining increases were due to a $3.5 million increase in salaries and wages, a $1.1 million increase in sales compensation, and a $0.8 million increase in bad debt expense.</w:t>
      </w:r>
    </w:p>
    <w:p>
      <w:pPr>
        <w:spacing w:after="0" w:line="157"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Earnings from operations for the Industrial reportable segment increased in 2019 compared to 2018 by $23.5 million, or 39%, which was well in excess of our 4% increase in unit sales, due to the factors above.</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Construction Segment:</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2020 versus 2019</w:t>
      </w:r>
    </w:p>
    <w:p>
      <w:pPr>
        <w:spacing w:after="0" w:line="22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Net sales to the construction segment increased 4% in 2020 compared to 2019 due to a 10% increase in selling prices, offset by a 6% decrease in unit sales due to the impact of the pandemic and government-imposed shutdowns on customer demand. Unit sales changes of our business units that comprise this segment consisted of declines of 2% in site-built construction, 8% in concrete forming, and 23% in commercial construction, offset by a 2% increase in factory-built housing.</w:t>
      </w:r>
    </w:p>
    <w:p>
      <w:pPr>
        <w:spacing w:after="0" w:line="188"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Gross profits decreased by $9.5 million, or 3.5% to $262.2 million in 2020 compared to 2019 comparing favorably with our 6% decrease in unit sales. The decrease in our gross profit was comprised of the following factors:</w:t>
      </w:r>
    </w:p>
    <w:p>
      <w:pPr>
        <w:spacing w:after="0" w:line="146" w:lineRule="exact"/>
        <w:rPr>
          <w:sz w:val="20"/>
          <w:szCs w:val="20"/>
          <w:color w:val="auto"/>
        </w:rPr>
      </w:pPr>
    </w:p>
    <w:p>
      <w:pPr>
        <w:jc w:val="both"/>
        <w:ind w:left="720" w:right="79" w:hanging="319"/>
        <w:spacing w:after="0" w:line="263" w:lineRule="auto"/>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Gross profits in our site-built construction business unit decreased by $15.2 million due to a combination of lower unit sales and higher commodity lumber costs, which adversely impacted our profit per unit of products we sell on a fixed price to our customers for a period of time.</w:t>
      </w:r>
    </w:p>
    <w:p>
      <w:pPr>
        <w:spacing w:after="0" w:line="183"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decline in unit sales in our commercial business unit, which has a more significant fixed cost structure, caused a decrease in gross profit of $27.4 million.</w:t>
      </w:r>
    </w:p>
    <w:p>
      <w:pPr>
        <w:spacing w:after="0" w:line="170"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impact of rising lumber prices on variable priced products contributed $11.7 million in gross profit in our factory-built housing and concrete forming business units.</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Favorable cost variances contributed $14.7 million in gross profit.</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Acquired businesses contributed $6.7 million.</w:t>
      </w:r>
    </w:p>
    <w:p>
      <w:pPr>
        <w:spacing w:after="0" w:line="225"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SG&amp;A expenses decreased by approximately $8.8 million, or 4.7%, in 2020 compared to 2019 due to decreases in salaries and wages of $2.2 million, travel expenses of $3.8 million and medical expenses of $2.1 million, primarily due to reductions in headcount in our commercial business unit as a result of efforts to re-align our capacity with lower customer demand. These decreases were offset by the SG&amp;A expenses of acquired operations in 2020 which contributed approximately $4.6 million of additional SG&amp;A expenses in 2020. Accrued bonus expense decreased $5.0 million compared to 2019 and totaled approximately $18.6 million for 2020.</w:t>
      </w:r>
    </w:p>
    <w:p>
      <w:pPr>
        <w:spacing w:after="0" w:line="192"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Due to the underperformance of our commercial business unit, we recorded a charge against earnings of $11.5 million to impair the goodwill associated with that business unit. In addition, certain leases of our commercial business unit were impaired with a charge against earnings of $1.6 million as a result of our efforts to re-align our capacity with lower customer demand.</w:t>
      </w:r>
    </w:p>
    <w:p>
      <w:pPr>
        <w:spacing w:after="0" w:line="187"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Earnings from operations of the Construction reportable segment decreased in 2020 compared to 2019 by $13.4 million, or 16.2%, due to the factors mentioned above.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4" w:name="page85"/>
    <w:bookmarkEnd w:id="8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UFP INDUSTRIES, INC.</w:t>
      </w:r>
    </w:p>
    <w:p>
      <w:pPr>
        <w:spacing w:after="0" w:line="50"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2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2019 versus 2018</w:t>
      </w:r>
    </w:p>
    <w:p>
      <w:pPr>
        <w:spacing w:after="0" w:line="225" w:lineRule="exact"/>
        <w:rPr>
          <w:sz w:val="20"/>
          <w:szCs w:val="20"/>
          <w:color w:val="auto"/>
        </w:rPr>
      </w:pPr>
    </w:p>
    <w:p>
      <w:pPr>
        <w:jc w:val="both"/>
        <w:ind w:left="60" w:right="79"/>
        <w:spacing w:after="0" w:line="311" w:lineRule="auto"/>
        <w:rPr>
          <w:sz w:val="20"/>
          <w:szCs w:val="20"/>
          <w:color w:val="auto"/>
        </w:rPr>
      </w:pPr>
      <w:r>
        <w:rPr>
          <w:rFonts w:ascii="Arial" w:cs="Arial" w:eastAsia="Arial" w:hAnsi="Arial"/>
          <w:sz w:val="16"/>
          <w:szCs w:val="16"/>
          <w:color w:val="auto"/>
        </w:rPr>
        <w:t>Net sales to the construction segment decreased 4% in 2019 compared to 2018, due to a 6% increase in unit sales offset by a decrease of 10% in selling prices. Unit changes within this segment consisted of increases of 14% in commercial construction, 10% in concrete forming, and 2% in site-built construction, offset by a 2% decrease in factory-built housing.</w:t>
      </w:r>
    </w:p>
    <w:p>
      <w:pPr>
        <w:spacing w:after="0" w:line="14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Gross profits increased by $18.2 million, or 7.2% to $271.8 million in 2019 compared to 2018 , comparing favorably with our 6% increase in unit sales.</w:t>
      </w:r>
    </w:p>
    <w:p>
      <w:pPr>
        <w:spacing w:after="0" w:line="170"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SG&amp;A expenses increased by approximately $6.9 million, or 4%, in 2019 compared to 2020 and was primarily due to an increase in accrued bonus expense of $6.4 million.</w:t>
      </w:r>
    </w:p>
    <w:p>
      <w:pPr>
        <w:spacing w:after="0" w:line="170"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Earnings from operations for the Construction reportable segment increased in 2019 compared to 2018 by $11.0 million, or 15%, due to the factors mentioned above.</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All Other Segment:</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Our All Other reportable segment consists of our International and Ardellis (our insurance captive) segments that are overall not significant.</w:t>
      </w:r>
    </w:p>
    <w:p>
      <w:pPr>
        <w:spacing w:after="0" w:line="170"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Earnings from operations increased in 2020 compared to 2019 by $16.2 million, or 87.4%, primarily driven by increases in gross profit of our Mexican affiliate as well as our import/export trading business. Gross profit increases at our Mexican affiliate were driven by unit increases of approximately 15% as well as selling price increases due to the rising lumber market.</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color w:val="auto"/>
        </w:rPr>
        <w:t>Earnings from operations decreased in 2019 compared to 2018 by $.5 million, or 2.6%.</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Corporate:</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corporate segment consists of over (under) allocated costs that are not significant.</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INTEREST EXPENSE</w:t>
      </w:r>
    </w:p>
    <w:p>
      <w:pPr>
        <w:spacing w:after="0" w:line="202"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color w:val="auto"/>
        </w:rPr>
        <w:t>Interest expense increased in 2020 compared to 2019, due to the issuance of $150 million of long-term debt in August of 2020 to provide capital to support our future growth. See “Note E of Notes to the Consolidated Financial Statements”.</w:t>
      </w:r>
    </w:p>
    <w:p>
      <w:pPr>
        <w:spacing w:after="0" w:line="10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INCOME TAXES</w:t>
      </w:r>
    </w:p>
    <w:p>
      <w:pPr>
        <w:spacing w:after="0" w:line="216"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Effective tax rates differ from statutory federal income tax rates, primarily due to provisions for state and local income taxes, and permanent tax differences. Our effective tax rate was 25.5% in 2020 compared to 24.2% in 2019. The increase was primarily due to recording non-deductible goodwill impairment expense in 2020, along with a valuation allowance against deferred tax assets associated with net operating loss carryforwards of foreign subsidiaries in our commercial business unit totaling approximately $3.6 million.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5" w:name="page86"/>
    <w:bookmarkEnd w:id="8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UFP INDUSTRIES, INC.</w:t>
      </w:r>
    </w:p>
    <w:p>
      <w:pPr>
        <w:spacing w:after="0" w:line="50"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ind w:left="2040"/>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OFF-BALANCE SHEET COMMITMENTS AND CONTRACTUAL OBLIGATIONS</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We have no significant off-balance sheet commitments. The following table summarizes our contractual obligations as of December 26, 2020 (in thousands).</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78"/>
        </w:trPr>
        <w:tc>
          <w:tcPr>
            <w:tcW w:w="46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5"/>
          </w:tcPr>
          <w:p>
            <w:pPr>
              <w:jc w:val="right"/>
              <w:ind w:right="357"/>
              <w:spacing w:after="0"/>
              <w:rPr>
                <w:sz w:val="20"/>
                <w:szCs w:val="20"/>
                <w:color w:val="auto"/>
              </w:rPr>
            </w:pPr>
            <w:r>
              <w:rPr>
                <w:rFonts w:ascii="Arial" w:cs="Arial" w:eastAsia="Arial" w:hAnsi="Arial"/>
                <w:sz w:val="14"/>
                <w:szCs w:val="14"/>
                <w:b w:val="1"/>
                <w:bCs w:val="1"/>
                <w:color w:val="auto"/>
              </w:rPr>
              <w:t>Payments Due by Period</w:t>
            </w: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r>
      <w:tr>
        <w:trPr>
          <w:trHeight w:val="126"/>
        </w:trPr>
        <w:tc>
          <w:tcPr>
            <w:tcW w:w="4660" w:type="dxa"/>
            <w:vAlign w:val="bottom"/>
          </w:tcPr>
          <w:p>
            <w:pPr>
              <w:spacing w:after="0"/>
              <w:rPr>
                <w:sz w:val="10"/>
                <w:szCs w:val="10"/>
                <w:color w:val="auto"/>
              </w:rPr>
            </w:pPr>
          </w:p>
        </w:tc>
        <w:tc>
          <w:tcPr>
            <w:tcW w:w="680" w:type="dxa"/>
            <w:vAlign w:val="bottom"/>
            <w:gridSpan w:val="2"/>
          </w:tcPr>
          <w:p>
            <w:pPr>
              <w:jc w:val="right"/>
              <w:spacing w:after="0" w:line="126" w:lineRule="exact"/>
              <w:rPr>
                <w:sz w:val="20"/>
                <w:szCs w:val="20"/>
                <w:color w:val="auto"/>
              </w:rPr>
            </w:pPr>
            <w:r>
              <w:rPr>
                <w:rFonts w:ascii="Arial" w:cs="Arial" w:eastAsia="Arial" w:hAnsi="Arial"/>
                <w:sz w:val="14"/>
                <w:szCs w:val="14"/>
                <w:b w:val="1"/>
                <w:bCs w:val="1"/>
                <w:color w:val="auto"/>
                <w:w w:val="94"/>
              </w:rPr>
              <w:t>Less than</w:t>
            </w:r>
          </w:p>
        </w:tc>
        <w:tc>
          <w:tcPr>
            <w:tcW w:w="160" w:type="dxa"/>
            <w:vAlign w:val="bottom"/>
          </w:tcPr>
          <w:p>
            <w:pPr>
              <w:spacing w:after="0"/>
              <w:rPr>
                <w:sz w:val="10"/>
                <w:szCs w:val="10"/>
                <w:color w:val="auto"/>
              </w:rPr>
            </w:pPr>
          </w:p>
        </w:tc>
        <w:tc>
          <w:tcPr>
            <w:tcW w:w="680" w:type="dxa"/>
            <w:vAlign w:val="bottom"/>
          </w:tcPr>
          <w:p>
            <w:pPr>
              <w:jc w:val="right"/>
              <w:ind w:right="119"/>
              <w:spacing w:after="0" w:line="126" w:lineRule="exact"/>
              <w:rPr>
                <w:sz w:val="20"/>
                <w:szCs w:val="20"/>
                <w:color w:val="auto"/>
              </w:rPr>
            </w:pPr>
            <w:r>
              <w:rPr>
                <w:rFonts w:ascii="Arial" w:cs="Arial" w:eastAsia="Arial" w:hAnsi="Arial"/>
                <w:sz w:val="14"/>
                <w:szCs w:val="14"/>
                <w:b w:val="1"/>
                <w:bCs w:val="1"/>
                <w:color w:val="auto"/>
              </w:rPr>
              <w:t>1 – 3</w:t>
            </w:r>
          </w:p>
        </w:tc>
        <w:tc>
          <w:tcPr>
            <w:tcW w:w="160" w:type="dxa"/>
            <w:vAlign w:val="bottom"/>
          </w:tcPr>
          <w:p>
            <w:pPr>
              <w:spacing w:after="0"/>
              <w:rPr>
                <w:sz w:val="10"/>
                <w:szCs w:val="10"/>
                <w:color w:val="auto"/>
              </w:rPr>
            </w:pPr>
          </w:p>
        </w:tc>
        <w:tc>
          <w:tcPr>
            <w:tcW w:w="680" w:type="dxa"/>
            <w:vAlign w:val="bottom"/>
          </w:tcPr>
          <w:p>
            <w:pPr>
              <w:jc w:val="right"/>
              <w:ind w:right="117"/>
              <w:spacing w:after="0" w:line="126" w:lineRule="exact"/>
              <w:rPr>
                <w:sz w:val="20"/>
                <w:szCs w:val="20"/>
                <w:color w:val="auto"/>
              </w:rPr>
            </w:pPr>
            <w:r>
              <w:rPr>
                <w:rFonts w:ascii="Arial" w:cs="Arial" w:eastAsia="Arial" w:hAnsi="Arial"/>
                <w:sz w:val="14"/>
                <w:szCs w:val="14"/>
                <w:b w:val="1"/>
                <w:bCs w:val="1"/>
                <w:color w:val="auto"/>
              </w:rPr>
              <w:t>3 – 5</w:t>
            </w:r>
          </w:p>
        </w:tc>
        <w:tc>
          <w:tcPr>
            <w:tcW w:w="160" w:type="dxa"/>
            <w:vAlign w:val="bottom"/>
          </w:tcPr>
          <w:p>
            <w:pPr>
              <w:spacing w:after="0"/>
              <w:rPr>
                <w:sz w:val="10"/>
                <w:szCs w:val="10"/>
                <w:color w:val="auto"/>
              </w:rPr>
            </w:pPr>
          </w:p>
        </w:tc>
        <w:tc>
          <w:tcPr>
            <w:tcW w:w="780" w:type="dxa"/>
            <w:vAlign w:val="bottom"/>
          </w:tcPr>
          <w:p>
            <w:pPr>
              <w:jc w:val="right"/>
              <w:ind w:right="157"/>
              <w:spacing w:after="0" w:line="126" w:lineRule="exact"/>
              <w:rPr>
                <w:sz w:val="20"/>
                <w:szCs w:val="20"/>
                <w:color w:val="auto"/>
              </w:rPr>
            </w:pPr>
            <w:r>
              <w:rPr>
                <w:rFonts w:ascii="Arial" w:cs="Arial" w:eastAsia="Arial" w:hAnsi="Arial"/>
                <w:sz w:val="14"/>
                <w:szCs w:val="14"/>
                <w:b w:val="1"/>
                <w:bCs w:val="1"/>
                <w:color w:val="auto"/>
              </w:rPr>
              <w:t>After</w:t>
            </w: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78"/>
        </w:trPr>
        <w:tc>
          <w:tcPr>
            <w:tcW w:w="466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Contractual Obligation</w:t>
            </w: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9"/>
              </w:rPr>
              <w:t>1 Year</w:t>
            </w:r>
          </w:p>
        </w:tc>
        <w:tc>
          <w:tcPr>
            <w:tcW w:w="16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Years</w:t>
            </w:r>
          </w:p>
        </w:tc>
        <w:tc>
          <w:tcPr>
            <w:tcW w:w="16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Years</w:t>
            </w:r>
          </w:p>
        </w:tc>
        <w:tc>
          <w:tcPr>
            <w:tcW w:w="16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5 Years</w:t>
            </w:r>
          </w:p>
        </w:tc>
        <w:tc>
          <w:tcPr>
            <w:tcW w:w="14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Total</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Long-term debt and finance lease obligations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$ 43,384</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$ 39,971</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$ 228,252</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$ 311,707</w:t>
            </w:r>
          </w:p>
        </w:tc>
      </w:tr>
      <w:tr>
        <w:trPr>
          <w:trHeight w:val="202"/>
        </w:trPr>
        <w:tc>
          <w:tcPr>
            <w:tcW w:w="4660" w:type="dxa"/>
            <w:vAlign w:val="bottom"/>
          </w:tcPr>
          <w:p>
            <w:pPr>
              <w:spacing w:after="0" w:line="201" w:lineRule="exact"/>
              <w:rPr>
                <w:sz w:val="20"/>
                <w:szCs w:val="20"/>
                <w:color w:val="auto"/>
              </w:rPr>
            </w:pPr>
            <w:r>
              <w:rPr>
                <w:rFonts w:ascii="Arial" w:cs="Arial" w:eastAsia="Arial" w:hAnsi="Arial"/>
                <w:sz w:val="18"/>
                <w:szCs w:val="18"/>
                <w:color w:val="auto"/>
              </w:rPr>
              <w:t>Estimated interest on long-term debt and finance lease</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obligations</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10,873</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20,352</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17,260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48,949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97,434</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18,671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27,345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17,696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25,961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89,673</w:t>
            </w:r>
          </w:p>
        </w:tc>
      </w:tr>
      <w:tr>
        <w:trPr>
          <w:trHeight w:val="223"/>
        </w:trPr>
        <w:tc>
          <w:tcPr>
            <w:tcW w:w="4660" w:type="dxa"/>
            <w:vAlign w:val="bottom"/>
          </w:tcPr>
          <w:p>
            <w:pPr>
              <w:spacing w:after="0"/>
              <w:rPr>
                <w:sz w:val="20"/>
                <w:szCs w:val="20"/>
                <w:color w:val="auto"/>
              </w:rPr>
            </w:pPr>
            <w:r>
              <w:rPr>
                <w:rFonts w:ascii="Arial" w:cs="Arial" w:eastAsia="Arial" w:hAnsi="Arial"/>
                <w:sz w:val="18"/>
                <w:szCs w:val="18"/>
                <w:color w:val="auto"/>
              </w:rPr>
              <w:t>Capital project purchase obligations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22,761</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22,761</w:t>
            </w:r>
          </w:p>
        </w:tc>
      </w:tr>
      <w:tr>
        <w:trPr>
          <w:trHeight w:val="216"/>
        </w:trPr>
        <w:tc>
          <w:tcPr>
            <w:tcW w:w="46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52,405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$ 91,081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$ 74,927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$ 303,162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$ 521,575</w:t>
            </w:r>
          </w:p>
        </w:tc>
      </w:tr>
      <w:tr>
        <w:trPr>
          <w:trHeight w:val="20"/>
        </w:trPr>
        <w:tc>
          <w:tcPr>
            <w:tcW w:w="4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As of December 26, 2020, we also had $41.0 million in outstanding letters of credit issued during the normal course of business, as required by some vendor contracts.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table below presents, for the periods indicated, a summary of our cash flow statement (in thousands):</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w w:val="90"/>
              </w:rPr>
              <w:t>December 26,</w:t>
            </w:r>
          </w:p>
        </w:tc>
        <w:tc>
          <w:tcPr>
            <w:tcW w:w="140" w:type="dxa"/>
            <w:vAlign w:val="bottom"/>
          </w:tcPr>
          <w:p>
            <w:pPr>
              <w:spacing w:after="0"/>
              <w:rPr>
                <w:sz w:val="14"/>
                <w:szCs w:val="14"/>
                <w:color w:val="auto"/>
              </w:rPr>
            </w:pPr>
          </w:p>
        </w:tc>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December 28,</w:t>
            </w:r>
          </w:p>
        </w:tc>
      </w:tr>
      <w:tr>
        <w:trPr>
          <w:trHeight w:val="178"/>
        </w:trPr>
        <w:tc>
          <w:tcPr>
            <w:tcW w:w="5660" w:type="dxa"/>
            <w:vAlign w:val="bottom"/>
          </w:tcPr>
          <w:p>
            <w:pPr>
              <w:spacing w:after="0"/>
              <w:rPr>
                <w:sz w:val="15"/>
                <w:szCs w:val="15"/>
                <w:color w:val="auto"/>
              </w:rPr>
            </w:pPr>
          </w:p>
        </w:tc>
        <w:tc>
          <w:tcPr>
            <w:tcW w:w="2100" w:type="dxa"/>
            <w:vAlign w:val="bottom"/>
            <w:gridSpan w:val="2"/>
          </w:tcPr>
          <w:p>
            <w:pPr>
              <w:jc w:val="right"/>
              <w:ind w:right="215"/>
              <w:spacing w:after="0"/>
              <w:rPr>
                <w:sz w:val="20"/>
                <w:szCs w:val="20"/>
                <w:color w:val="auto"/>
              </w:rPr>
            </w:pPr>
            <w:r>
              <w:rPr>
                <w:rFonts w:ascii="Arial" w:cs="Arial" w:eastAsia="Arial" w:hAnsi="Arial"/>
                <w:sz w:val="14"/>
                <w:szCs w:val="14"/>
                <w:b w:val="1"/>
                <w:bCs w:val="1"/>
                <w:color w:val="auto"/>
              </w:rPr>
              <w:t>2020</w:t>
            </w:r>
          </w:p>
        </w:tc>
        <w:tc>
          <w:tcPr>
            <w:tcW w:w="1000" w:type="dxa"/>
            <w:vAlign w:val="bottom"/>
            <w:gridSpan w:val="2"/>
          </w:tcPr>
          <w:p>
            <w:pPr>
              <w:jc w:val="right"/>
              <w:ind w:right="215"/>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5"/>
                <w:szCs w:val="15"/>
                <w:color w:val="auto"/>
              </w:rPr>
            </w:pPr>
          </w:p>
        </w:tc>
      </w:tr>
      <w:tr>
        <w:trPr>
          <w:trHeight w:val="216"/>
        </w:trPr>
        <w:tc>
          <w:tcPr>
            <w:tcW w:w="5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from operating activities</w:t>
            </w:r>
          </w:p>
        </w:tc>
        <w:tc>
          <w:tcPr>
            <w:tcW w:w="12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336,477</w:t>
            </w: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349,291</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(154,718)</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(142,037)</w:t>
            </w:r>
          </w:p>
        </w:tc>
        <w:tc>
          <w:tcPr>
            <w:tcW w:w="140" w:type="dxa"/>
            <w:vAlign w:val="bottom"/>
          </w:tcPr>
          <w:p>
            <w:pPr>
              <w:spacing w:after="0"/>
              <w:rPr>
                <w:sz w:val="18"/>
                <w:szCs w:val="18"/>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Cash from (used in) financing activities</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85,221</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(67,268)</w:t>
            </w:r>
          </w:p>
        </w:tc>
        <w:tc>
          <w:tcPr>
            <w:tcW w:w="140" w:type="dxa"/>
            <w:vAlign w:val="bottom"/>
            <w:shd w:val="clear" w:color="auto" w:fill="CCEEFF"/>
          </w:tcPr>
          <w:p>
            <w:pPr>
              <w:spacing w:after="0"/>
              <w:rPr>
                <w:sz w:val="18"/>
                <w:szCs w:val="18"/>
                <w:color w:val="auto"/>
              </w:rPr>
            </w:pPr>
          </w:p>
        </w:tc>
      </w:tr>
      <w:tr>
        <w:trPr>
          <w:trHeight w:val="223"/>
        </w:trPr>
        <w:tc>
          <w:tcPr>
            <w:tcW w:w="566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962</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482</w:t>
            </w:r>
          </w:p>
        </w:tc>
        <w:tc>
          <w:tcPr>
            <w:tcW w:w="140" w:type="dxa"/>
            <w:vAlign w:val="bottom"/>
          </w:tcPr>
          <w:p>
            <w:pPr>
              <w:spacing w:after="0"/>
              <w:rPr>
                <w:sz w:val="19"/>
                <w:szCs w:val="19"/>
                <w:color w:val="auto"/>
              </w:rPr>
            </w:pPr>
          </w:p>
        </w:tc>
      </w:tr>
      <w:tr>
        <w:trPr>
          <w:trHeight w:val="216"/>
        </w:trPr>
        <w:tc>
          <w:tcPr>
            <w:tcW w:w="5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12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267,942</w:t>
            </w: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140,468</w:t>
            </w:r>
          </w:p>
        </w:tc>
        <w:tc>
          <w:tcPr>
            <w:tcW w:w="140" w:type="dxa"/>
            <w:vAlign w:val="bottom"/>
            <w:tcBorders>
              <w:top w:val="single" w:sz="8" w:color="CCEEFF"/>
            </w:tcBorders>
            <w:shd w:val="clear" w:color="auto" w:fill="CCEEFF"/>
          </w:tcPr>
          <w:p>
            <w:pPr>
              <w:spacing w:after="0"/>
              <w:rPr>
                <w:sz w:val="18"/>
                <w:szCs w:val="18"/>
                <w:color w:val="auto"/>
              </w:rPr>
            </w:pPr>
          </w:p>
        </w:tc>
      </w:tr>
      <w:tr>
        <w:trPr>
          <w:trHeight w:val="223"/>
        </w:trPr>
        <w:tc>
          <w:tcPr>
            <w:tcW w:w="5660" w:type="dxa"/>
            <w:vAlign w:val="bottom"/>
          </w:tcPr>
          <w:p>
            <w:pPr>
              <w:spacing w:after="0"/>
              <w:rPr>
                <w:sz w:val="20"/>
                <w:szCs w:val="20"/>
                <w:color w:val="auto"/>
              </w:rPr>
            </w:pPr>
            <w:r>
              <w:rPr>
                <w:rFonts w:ascii="Arial" w:cs="Arial" w:eastAsia="Arial" w:hAnsi="Arial"/>
                <w:sz w:val="18"/>
                <w:szCs w:val="18"/>
                <w:color w:val="auto"/>
              </w:rPr>
              <w:t>Cash, cash equivalents, and restricted cash, beginning of year</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168,666</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28,198</w:t>
            </w:r>
          </w:p>
        </w:tc>
        <w:tc>
          <w:tcPr>
            <w:tcW w:w="140" w:type="dxa"/>
            <w:vAlign w:val="bottom"/>
          </w:tcPr>
          <w:p>
            <w:pPr>
              <w:spacing w:after="0"/>
              <w:rPr>
                <w:sz w:val="19"/>
                <w:szCs w:val="19"/>
                <w:color w:val="auto"/>
              </w:rPr>
            </w:pPr>
          </w:p>
        </w:tc>
      </w:tr>
      <w:tr>
        <w:trPr>
          <w:trHeight w:val="216"/>
        </w:trPr>
        <w:tc>
          <w:tcPr>
            <w:tcW w:w="56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cash equivalents, and restricted cash, end of year</w:t>
            </w:r>
          </w:p>
        </w:tc>
        <w:tc>
          <w:tcPr>
            <w:tcW w:w="124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436,608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168,666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6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In general, we financed our growth in the past through a combination of operating cash flows, our revolving credit facility, industrial development bonds (when circumstances permit), and issuance of long-term notes payable at times when interest rates are favorable. We manage our capital structure by attempting to maintain a targeted ratio of debt to equity and debt to earnings before interest, taxes, depreciation and amortization. We believe these financial ratios are among many other important factors to maintaining a strong credit profile, which in turn helps ensure timely access to capital when needed.</w:t>
      </w:r>
    </w:p>
    <w:p>
      <w:pPr>
        <w:spacing w:after="0" w:line="161"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Seasonality has a significant impact on our working capital due to our primary selling season which occurs during the period from March to August. Consequently, our working capital increases during our first and second quarters resulting in negative or modest cash flows from operations during those periods. Conversely, we experience a substantial decrease in working capital once we move beyond our peak selling season which typically results in significant cash flows from operations in our third and fourth quarters.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6" w:name="page87"/>
    <w:bookmarkEnd w:id="8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UFP INDUSTRIES, INC.</w:t>
      </w:r>
    </w:p>
    <w:p>
      <w:pPr>
        <w:spacing w:after="0" w:line="50"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24" w:lineRule="exact"/>
        <w:rPr>
          <w:sz w:val="20"/>
          <w:szCs w:val="20"/>
          <w:color w:val="auto"/>
        </w:rPr>
      </w:pPr>
    </w:p>
    <w:p>
      <w:pPr>
        <w:jc w:val="both"/>
        <w:ind w:left="60" w:right="79"/>
        <w:spacing w:after="0" w:line="311" w:lineRule="auto"/>
        <w:rPr>
          <w:sz w:val="20"/>
          <w:szCs w:val="20"/>
          <w:color w:val="auto"/>
        </w:rPr>
      </w:pPr>
      <w:r>
        <w:rPr>
          <w:rFonts w:ascii="Arial" w:cs="Arial" w:eastAsia="Arial" w:hAnsi="Arial"/>
          <w:sz w:val="16"/>
          <w:szCs w:val="16"/>
          <w:color w:val="auto"/>
        </w:rPr>
        <w:t>Due to the seasonality of our business and the effects of the Lumber Market, we believe our cash cycle (days sales are outstanding plus days supply of inventory less days payables are outstanding) is a good indicator of our working capital management. As indicated in the table below, our cash cycle decreased to 48 days in 2020 from 56 days in 2019.</w:t>
      </w:r>
    </w:p>
    <w:p>
      <w:pPr>
        <w:spacing w:after="0" w:line="154" w:lineRule="exact"/>
        <w:rPr>
          <w:sz w:val="20"/>
          <w:szCs w:val="20"/>
          <w:color w:val="auto"/>
        </w:rPr>
      </w:pPr>
    </w:p>
    <w:tbl>
      <w:tblPr>
        <w:tblLayout w:type="fixed"/>
        <w:tblInd w:w="9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860" w:type="dxa"/>
            <w:vAlign w:val="bottom"/>
            <w:tcBorders>
              <w:bottom w:val="single" w:sz="8" w:color="auto"/>
            </w:tcBorders>
            <w:gridSpan w:val="3"/>
          </w:tcPr>
          <w:p>
            <w:pPr>
              <w:jc w:val="right"/>
              <w:ind w:right="496"/>
              <w:spacing w:after="0"/>
              <w:rPr>
                <w:sz w:val="20"/>
                <w:szCs w:val="20"/>
                <w:color w:val="auto"/>
              </w:rPr>
            </w:pPr>
            <w:r>
              <w:rPr>
                <w:rFonts w:ascii="Arial" w:cs="Arial" w:eastAsia="Arial" w:hAnsi="Arial"/>
                <w:sz w:val="14"/>
                <w:szCs w:val="14"/>
                <w:b w:val="1"/>
                <w:bCs w:val="1"/>
                <w:color w:val="auto"/>
              </w:rPr>
              <w:t>Year Ended</w:t>
            </w:r>
          </w:p>
        </w:tc>
      </w:tr>
      <w:tr>
        <w:trPr>
          <w:trHeight w:val="126"/>
        </w:trPr>
        <w:tc>
          <w:tcPr>
            <w:tcW w:w="2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020" w:type="dxa"/>
            <w:vAlign w:val="bottom"/>
            <w:gridSpan w:val="2"/>
          </w:tcPr>
          <w:p>
            <w:pPr>
              <w:spacing w:after="0" w:line="126" w:lineRule="exact"/>
              <w:rPr>
                <w:sz w:val="20"/>
                <w:szCs w:val="20"/>
                <w:color w:val="auto"/>
              </w:rPr>
            </w:pPr>
            <w:r>
              <w:rPr>
                <w:rFonts w:ascii="Arial" w:cs="Arial" w:eastAsia="Arial" w:hAnsi="Arial"/>
                <w:sz w:val="14"/>
                <w:szCs w:val="14"/>
                <w:b w:val="1"/>
                <w:bCs w:val="1"/>
                <w:color w:val="auto"/>
              </w:rPr>
              <w:t>December 26,</w:t>
            </w:r>
          </w:p>
        </w:tc>
        <w:tc>
          <w:tcPr>
            <w:tcW w:w="840" w:type="dxa"/>
            <w:vAlign w:val="bottom"/>
          </w:tcPr>
          <w:p>
            <w:pPr>
              <w:jc w:val="right"/>
              <w:spacing w:after="0" w:line="126" w:lineRule="exact"/>
              <w:rPr>
                <w:sz w:val="20"/>
                <w:szCs w:val="20"/>
                <w:color w:val="auto"/>
              </w:rPr>
            </w:pPr>
            <w:r>
              <w:rPr>
                <w:rFonts w:ascii="Arial" w:cs="Arial" w:eastAsia="Arial" w:hAnsi="Arial"/>
                <w:sz w:val="14"/>
                <w:szCs w:val="14"/>
                <w:b w:val="1"/>
                <w:bCs w:val="1"/>
                <w:color w:val="auto"/>
                <w:w w:val="90"/>
              </w:rPr>
              <w:t>December 28,</w:t>
            </w:r>
          </w:p>
        </w:tc>
      </w:tr>
      <w:tr>
        <w:trPr>
          <w:trHeight w:val="178"/>
        </w:trPr>
        <w:tc>
          <w:tcPr>
            <w:tcW w:w="2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2480" w:type="dxa"/>
            <w:vAlign w:val="bottom"/>
            <w:gridSpan w:val="2"/>
          </w:tcPr>
          <w:p>
            <w:pPr>
              <w:jc w:val="right"/>
              <w:ind w:right="197"/>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5"/>
                <w:szCs w:val="15"/>
                <w:color w:val="auto"/>
              </w:rPr>
            </w:pPr>
          </w:p>
        </w:tc>
        <w:tc>
          <w:tcPr>
            <w:tcW w:w="840" w:type="dxa"/>
            <w:vAlign w:val="bottom"/>
          </w:tcPr>
          <w:p>
            <w:pPr>
              <w:jc w:val="right"/>
              <w:ind w:right="196"/>
              <w:spacing w:after="0"/>
              <w:rPr>
                <w:sz w:val="20"/>
                <w:szCs w:val="20"/>
                <w:color w:val="auto"/>
              </w:rPr>
            </w:pPr>
            <w:r>
              <w:rPr>
                <w:rFonts w:ascii="Arial" w:cs="Arial" w:eastAsia="Arial" w:hAnsi="Arial"/>
                <w:sz w:val="14"/>
                <w:szCs w:val="14"/>
                <w:b w:val="1"/>
                <w:bCs w:val="1"/>
                <w:color w:val="auto"/>
              </w:rPr>
              <w:t>2019</w:t>
            </w:r>
          </w:p>
        </w:tc>
      </w:tr>
      <w:tr>
        <w:trPr>
          <w:trHeight w:val="216"/>
        </w:trPr>
        <w:tc>
          <w:tcPr>
            <w:tcW w:w="20" w:type="dxa"/>
            <w:vAlign w:val="bottom"/>
          </w:tcPr>
          <w:p>
            <w:pPr>
              <w:spacing w:after="0"/>
              <w:rPr>
                <w:sz w:val="18"/>
                <w:szCs w:val="18"/>
                <w:color w:val="auto"/>
              </w:rPr>
            </w:pPr>
          </w:p>
        </w:tc>
        <w:tc>
          <w:tcPr>
            <w:tcW w:w="3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Days of sales outstanding</w:t>
            </w:r>
          </w:p>
        </w:tc>
        <w:tc>
          <w:tcPr>
            <w:tcW w:w="16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Days supply of inventory</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36"/>
        </w:trPr>
        <w:tc>
          <w:tcPr>
            <w:tcW w:w="20" w:type="dxa"/>
            <w:vAlign w:val="bottom"/>
          </w:tcPr>
          <w:p>
            <w:pPr>
              <w:spacing w:after="0"/>
              <w:rPr>
                <w:sz w:val="20"/>
                <w:szCs w:val="20"/>
                <w:color w:val="auto"/>
              </w:rPr>
            </w:pPr>
          </w:p>
        </w:tc>
        <w:tc>
          <w:tcPr>
            <w:tcW w:w="3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Days payables outstanding</w:t>
            </w:r>
          </w:p>
        </w:tc>
        <w:tc>
          <w:tcPr>
            <w:tcW w:w="16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03"/>
        </w:trPr>
        <w:tc>
          <w:tcPr>
            <w:tcW w:w="3600" w:type="dxa"/>
            <w:vAlign w:val="bottom"/>
            <w:gridSpan w:val="2"/>
          </w:tcPr>
          <w:p>
            <w:pPr>
              <w:spacing w:after="0" w:line="203" w:lineRule="exact"/>
              <w:rPr>
                <w:sz w:val="20"/>
                <w:szCs w:val="20"/>
                <w:color w:val="auto"/>
              </w:rPr>
            </w:pPr>
            <w:r>
              <w:rPr>
                <w:rFonts w:ascii="Arial" w:cs="Arial" w:eastAsia="Arial" w:hAnsi="Arial"/>
                <w:sz w:val="18"/>
                <w:szCs w:val="18"/>
                <w:color w:val="auto"/>
              </w:rPr>
              <w:t>Days in cash cycle</w:t>
            </w:r>
          </w:p>
        </w:tc>
        <w:tc>
          <w:tcPr>
            <w:tcW w:w="1660" w:type="dxa"/>
            <w:vAlign w:val="bottom"/>
          </w:tcPr>
          <w:p>
            <w:pPr>
              <w:spacing w:after="0"/>
              <w:rPr>
                <w:sz w:val="17"/>
                <w:szCs w:val="17"/>
                <w:color w:val="auto"/>
              </w:rPr>
            </w:pPr>
          </w:p>
        </w:tc>
        <w:tc>
          <w:tcPr>
            <w:tcW w:w="8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48</w:t>
            </w:r>
          </w:p>
        </w:tc>
        <w:tc>
          <w:tcPr>
            <w:tcW w:w="200" w:type="dxa"/>
            <w:vAlign w:val="bottom"/>
          </w:tcPr>
          <w:p>
            <w:pPr>
              <w:spacing w:after="0"/>
              <w:rPr>
                <w:sz w:val="17"/>
                <w:szCs w:val="17"/>
                <w:color w:val="auto"/>
              </w:rPr>
            </w:pPr>
          </w:p>
        </w:tc>
        <w:tc>
          <w:tcPr>
            <w:tcW w:w="8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56</w:t>
            </w: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The decrease in our days supply of inventory in 2020 was primarily due to opportunistic buying when lumber prices were low in early 2019 to improve gross profits and higher levels of “safety stock” we carried to address transportation challenges and ensure timely deliveries to our customers. We did not engage in this level of opportunistic buying in late 2019 and early 2020. Additionally, strong demand in our retail segment and shortages of supply contributed to higher inventory turns in 2020.</w:t>
      </w:r>
    </w:p>
    <w:p>
      <w:pPr>
        <w:spacing w:after="0" w:line="188"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Our cash flows from operating activities in 2020 was $336.5 million, which was comprised of net earnings of $253.9 million, $85.3 million of non-cash expenses, including $11.5 million of Goodwill Impairment charges, and a $2.7 million increase in working capital since the end of December 2019. Comparatively, cash generated from operating activities was approximately $349.3 million in 2019, which was comprised of net earnings of $182.4 million, $77 million of non-cash expenses, and a $89.9 million decrease in working capital since the end of 2018. Our net working capital increased during 2020 due to unusually high lumber prices as well as strong sales growth and demand in our retail segment, which resulted in an increase in our accounts receivable and inventory.</w:t>
      </w:r>
    </w:p>
    <w:p>
      <w:pPr>
        <w:spacing w:after="0" w:line="177"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Our cash used in investing activities during 2020 was $154.7 million, which was comprised primarily of purchases of property, plant, and equipment totaling $89.2 million and business acquisitions totaling $65.3 million. Our outstanding purchase commitments on existing capital projects totaled approximately $22.8 million on December 26, 2020. Our capital expenditures primarily consist of “maintenance” capital expenditures totaling approximately $55 million, as well as “expansionary and efficiency” capital expenditures. Notable areas of capital spending include projects to expand capacity and enhance the productivity of our Deckorators product line, several projects to expand manufacturing capacity to serve industrial customers and achieve efficiencies through automation, improvements to a number of facilities, and an increase of our transportation capacity (tractors, trailers) in order to meet higher volumes and replace old rolling stock. The sale and purchase of investments totaling $24.8 million and $28.1 million, respectively, are due to investment activity in our captive insurance subsidiary.</w:t>
      </w:r>
    </w:p>
    <w:p>
      <w:pPr>
        <w:spacing w:after="0" w:line="18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In 2019, investments in business acquisitions and purchases of property, plant, and equipment were $39.1 million and $84.9 million, respectively. Outstanding purchase commitments on existing capital projects totaled approximately $33.8 million on December 28, 2019. Investments in life insurance contracts and net investment activity used an additional $15.2 million and $3.5 million of cash.</w:t>
      </w:r>
    </w:p>
    <w:p>
      <w:pPr>
        <w:spacing w:after="0" w:line="187"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Cash flows from financing activities during 2020 primarily consisted of proceeds of $150.0 million from the issuance of Senior E, F and G Notes and $6.9 million of borrowings under the revolving credit facilities (See Notes to Consolidated Financial Statements “Debt”); offset by repayments under these facilities of approximately $6.5 million, $30.7 million in dividend payments, and $29.2 million in stock repurchases at an average price of $38.62. We paid quarterly dividends in March, June, September and December of 2020 at a quarterly rate of $0.125 per share. Comparatively in 2019, cash flows from financing activities primarily consisted of $422.1 million in borrowings under the revolving credit facilities, repayments under these facilities of $460.5 million, and $24.5 million in dividend payments at a semi-annual rate of $0.20 per share.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7" w:name="page88"/>
    <w:bookmarkEnd w:id="8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UFP INDUSTRIES, INC.</w:t>
      </w:r>
    </w:p>
    <w:p>
      <w:pPr>
        <w:spacing w:after="0" w:line="50"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24"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On November 1, 2018, we entered into a five-year, $375 million unsecured revolving credit facility with a syndicate of U.S. and Canadian banks led by JPMorgan Chase Bank, N.A., as administrative agent and Wells Fargo Bank, N.A., as syndication agent. The facilities include up to $40 million which may be advanced in the form of letters of credit, and up to $100 million (U.S. dollar equivalent) which may be advanced in Canadian dollars, Australian dollars, pounds Sterling, Euros and such other foreign currencies as may subsequently be agreed upon among the parties. This facility replaced our $295 million unsecured revolving credit facility. On February 19, 2021, the credit agreement was amended to increase the availability from $375 million to $550 million by exercising the accordion feature in the original agreement.</w:t>
      </w:r>
    </w:p>
    <w:p>
      <w:pPr>
        <w:spacing w:after="0" w:line="166"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On August 10, 2020, we entered into an unsecured Note Purchase Agreement (the "Agreement") under which we issued our 3.04% Series 2020 E Senior Notes, due August 10, 2032, in the aggregate principal amount of $50 million, our 3.08% Series 2020 F Senior Notes, due August 10, 2033, in the aggregate principal amount of $50 million, and our 3.15% Series 2020 G Senior Notes, due August 10, 2035, in the aggregate principal amount of $50 million. Proceeds from the sale of the Series E, F and G Senior Notes have been used to fund working capital needs and the PalletOne, Inc. acquisition. Refer to Note O, “Subsequent Events” for additional information.</w:t>
      </w:r>
    </w:p>
    <w:p>
      <w:pPr>
        <w:spacing w:after="0" w:line="178"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On December 26, 2020, we had $4.7 million outstanding on our $375 million revolving credit facility. The revolving credit facility also supports letters of credit totaling approximately $7.1 million on December 26, 2020. As a result, we have approximately $363 million in remaining availability on our revolver. Financial covenants on the unsecured revolving credit facility and unsecured notes include minimum interest tests and a maximum leverage ratio. The agreements also restrict the amount of additional indebtedness we may incur and the amount of assets which may be sold. We were in compliance with all our covenant requirements on December 26, 2020.</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ENVIRONMENTAL CONSIDERATIONS AND REGULATIONS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See Notes to Consolidated Financial Statements, Note L, “Commitments, Contingencies, and Guarantees”.</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CRITICAL ACCOUNTING POLICIES</w:t>
      </w:r>
    </w:p>
    <w:p>
      <w:pPr>
        <w:spacing w:after="0" w:line="229"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In preparing our consolidated financial statements, we follow accounting principles generally accepted in the United States. These principles require us to make certain estimates and apply judgments that affect our financial position and results of operations. We continually review our accounting policies and financial information disclosures. Following is a summary of our more significant accounting policies that require the use of estimates and judgments in preparing the financial statements.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We evaluate goodwill for indicators of impairment when events or circumstances indicate that this risk may be present. Our judgments regarding the existence of impairment are based on market conditions, operational performance and estimated future cash flows. Determining whether an impairment has occurred requires the valuation of the respective reporting unit, which we have consistently estimated using primarily a weighted average between income and market valuation approaches. We believe this approach is the most appropriate and accurate method to measure the fair value of our intangible assets. We use discounted cash flow analysis with the following assumption: a business is worth today what it can generate in future cash flows; cash received today is worth more than an equal amount of cash received in the future; and future cash flows can be reasonably estimated. The discounted cash flow analysis is based on the present value of projected cash flows and residual values.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8" w:name="page89"/>
    <w:bookmarkEnd w:id="8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UFP INDUSTRIES, INC.</w:t>
      </w:r>
    </w:p>
    <w:p>
      <w:pPr>
        <w:spacing w:after="0" w:line="50"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24"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If the carrying value of goodwill is considered impaired, an impairment charge is recorded to adjust it to its fair value. Changes in forecasted operations and changes in discount rates can materially affect these estimates. In addition, we test goodwill annually for impairment or more frequently if changes in circumstances or the occurrence of other events suggest impairments exist. The test for impairment requires us to make several estimates about fair value, most of which are based on projected future cash flows and market valuation multiples. Changes in these estimates may result in the recognition of an impairment loss.</w:t>
      </w:r>
    </w:p>
    <w:p>
      <w:pPr>
        <w:spacing w:after="0" w:line="192"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On our annual testing date of September 26, 2020, we experienced significantly lower than expected operating results within our commercial reporting unit, which is within the Construction segment. In conjunction with completing our annual planning activities, we noted an expectation for significantly lower customer demand for the foreseeable future. As a result, we revised our future cash flow projections for this reporting unit and performed the goodwill impairment test by calculating the fair value of the reporting unit based on its discounted estimated future cash flows. It was determined that the carrying value of the reporting unit exceeded its fair value and we recorded a non-cash goodwill impairment charge of $11.5 million, which represents the entire amount of the goodwill recorded within the reporting unit, as a result. All other reporting units had a fair value that was substantially in excess of the carrying value. We believe we have sufficient available information, both current and historical, to support our assumptions, judgments and estimates used in the goodwill impairment test.</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Revenue for product sales is recognized at the time the performance obligation is satisfied, which is primarily when the goods are delivered to the carrier, Free On Board (FOB) shipping point. Generally, title passes at the time of shipment. In certain circumstances, the customer takes title when the shipment arrives at the destination. However, our shipping process is typically completed the same day.</w:t>
      </w:r>
    </w:p>
    <w:p>
      <w:pPr>
        <w:spacing w:after="0" w:line="187"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Performance on construction contracts is reflected in operations using over time accounting, under either the cost to cost or units of delivery methods, depending on the nature of the business at individual operations. Under over time accounting using the cost to cost method, revenues and related earnings on construction contracts are measured by the relationships of actual costs incurred related to the total estimated costs. Under over time accounting using the units of delivery method, revenues and related earnings on construction contracts are measured by the relationships of actual units produced related to the total number of units. Revisions in earnings estimates on the construction contracts are recorded in the accounting period in which the basis for such revisions becomes known. Projected losses on individual contracts are charged to operations in their entirety when such losses become apparent.</w:t>
      </w:r>
    </w:p>
    <w:p>
      <w:pPr>
        <w:spacing w:after="0" w:line="178"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Our construction contracts are generally entered into with a fixed price and completion of the projects can range from 6 to 18 months in duration. Therefore, our operating results are impacted by, among many other things, labor rates and commodity costs. During the year, we update our estimated costs to complete our projects using current labor and commodity costs and recognize losses to the extent that they exist.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FORWARD OUTLOOK</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GOALS</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Our goal is to achieve long-term unit sales growth that exceeds positive U.S. GDP growth by 4 percent to 6 percent, including business acquisitions.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9" w:name="page90"/>
    <w:bookmarkEnd w:id="8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UFP INDUSTRIES, INC.</w:t>
      </w:r>
    </w:p>
    <w:p>
      <w:pPr>
        <w:spacing w:after="0" w:line="50"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ind w:left="2040"/>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24"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general long-term objectives also include:</w:t>
      </w:r>
    </w:p>
    <w:p>
      <w:pPr>
        <w:spacing w:after="0" w:line="225" w:lineRule="exact"/>
        <w:rPr>
          <w:sz w:val="20"/>
          <w:szCs w:val="20"/>
          <w:color w:val="auto"/>
        </w:rPr>
      </w:pPr>
    </w:p>
    <w:p>
      <w:pPr>
        <w:ind w:left="720" w:right="79" w:hanging="319"/>
        <w:spacing w:after="0" w:line="308" w:lineRule="auto"/>
        <w:tabs>
          <w:tab w:leader="none" w:pos="7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Achieving sales growth primarily through new product introduction, international business expansion, and gaining additional market share, particularly in our core retail, industrial and construction segments;</w:t>
      </w:r>
    </w:p>
    <w:p>
      <w:pPr>
        <w:spacing w:after="0" w:line="146" w:lineRule="exact"/>
        <w:rPr>
          <w:rFonts w:ascii="Arial" w:cs="Arial" w:eastAsia="Arial" w:hAnsi="Arial"/>
          <w:sz w:val="17"/>
          <w:szCs w:val="17"/>
          <w:color w:val="auto"/>
        </w:rPr>
      </w:pPr>
    </w:p>
    <w:p>
      <w:pPr>
        <w:ind w:left="720" w:right="79" w:hanging="319"/>
        <w:spacing w:after="0" w:line="277" w:lineRule="auto"/>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Identifying new growth opportunities in businesses with adjacencies to our core businesses, primarily through strategic business acquisitions;</w:t>
      </w:r>
    </w:p>
    <w:p>
      <w:pPr>
        <w:spacing w:after="0" w:line="170" w:lineRule="exact"/>
        <w:rPr>
          <w:rFonts w:ascii="Arial" w:cs="Arial" w:eastAsia="Arial" w:hAnsi="Arial"/>
          <w:sz w:val="18"/>
          <w:szCs w:val="18"/>
          <w:color w:val="auto"/>
        </w:rPr>
      </w:pPr>
    </w:p>
    <w:p>
      <w:pPr>
        <w:jc w:val="both"/>
        <w:ind w:left="720" w:right="79" w:hanging="319"/>
        <w:spacing w:after="0" w:line="263" w:lineRule="auto"/>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Increasing our profitability through cost reductions, productivity improvements as volume improves and through investments in automation, and a more favorable mix of value-added products resulting in growth in earnings from operations in excess of our unit sales growth; and</w:t>
      </w:r>
    </w:p>
    <w:p>
      <w:pPr>
        <w:spacing w:after="0" w:line="183" w:lineRule="exact"/>
        <w:rPr>
          <w:rFonts w:ascii="Arial" w:cs="Arial" w:eastAsia="Arial" w:hAnsi="Arial"/>
          <w:sz w:val="18"/>
          <w:szCs w:val="18"/>
          <w:color w:val="auto"/>
        </w:rPr>
      </w:pPr>
    </w:p>
    <w:p>
      <w:pPr>
        <w:ind w:left="720" w:hanging="319"/>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Earning a return on invested capital in excess of our weighted average cost of capital.</w:t>
      </w:r>
    </w:p>
    <w:p>
      <w:pPr>
        <w:spacing w:after="0" w:line="200" w:lineRule="exact"/>
        <w:rPr>
          <w:sz w:val="20"/>
          <w:szCs w:val="20"/>
          <w:color w:val="auto"/>
        </w:rPr>
      </w:pPr>
    </w:p>
    <w:p>
      <w:pPr>
        <w:spacing w:after="0" w:line="23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RETAIL SEGMENT</w:t>
      </w:r>
    </w:p>
    <w:p>
      <w:pPr>
        <w:spacing w:after="0" w:line="229"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The Home Improvement Research Institute (“HIRI”) anticipates growth in home improvement spending and has forecasted a 4.3% compounded annual growth rate through 2024. Most recently, large “big box” customers like The Home Depot and Lowes have cautioned that they cannot predict if pandemic driven demand trends from 2020 will continue into 2021. The Home Depot has stated that if the demand environment during the last half of 2020 were to persist through the current year, it would imply flat to slightly positive comparable sales growth in 2021. Lowe’s has forecasted a 5% to 7% decline in demand in 2021. Sales of our Retail Solutions segment comprised approximately 42% of our annual sales in 2020 and 34% of our annual sales in 2019 and 2018.</w:t>
      </w:r>
    </w:p>
    <w:p>
      <w:pPr>
        <w:spacing w:after="0" w:line="19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We continue to compete for market share for certain retail customers and face intense pricing pressure from other suppliers to this market.</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long-term goal is to achieve sales growth by:</w:t>
      </w:r>
    </w:p>
    <w:p>
      <w:pPr>
        <w:spacing w:after="0" w:line="225" w:lineRule="exact"/>
        <w:rPr>
          <w:sz w:val="20"/>
          <w:szCs w:val="20"/>
          <w:color w:val="auto"/>
        </w:rPr>
      </w:pPr>
    </w:p>
    <w:p>
      <w:pPr>
        <w:ind w:left="720" w:hanging="319"/>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Increasing our market share of value-added products, including our Deckorators product line.</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Developing new products.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Acquiring competitors in core product categories when those opportunities exist.</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Adding new products and customers through strategic business acquisitions or alliances.</w:t>
      </w:r>
    </w:p>
    <w:p>
      <w:pPr>
        <w:spacing w:after="0" w:line="225"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Increasing our emphasis on product innovation and product differentiation in order to counter commoditization trends and influences.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0" w:name="page91"/>
    <w:bookmarkEnd w:id="9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UFP INDUSTRIES, INC.</w:t>
      </w:r>
    </w:p>
    <w:p>
      <w:pPr>
        <w:spacing w:after="0" w:line="50"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ind w:left="2040"/>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INDUSTRIAL SEGMENT</w:t>
      </w:r>
    </w:p>
    <w:p>
      <w:pPr>
        <w:spacing w:after="0" w:line="229"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Our goal is to increase our sales of wood, wood alternative, and protective packaging products to a wide variety of industrial customers and manufactured wood components for OEM users. We believe the vast amount of hardwood and softwood lumber consumed for industrial applications, combined with the highly fragmented nature of this market, provides us with market share growth opportunities as a result of our competitive advantages in manufacturing, purchasing, and material utilization. In addition, purchasers of packaging products with a wide geographic footprint increasingly desire to reduce the number of suppliers they buy from, which provides an opportunity to gain market share due to our national presence. We plan to continue to obtain market share by expanding our manufacturing capacity, enhancing our capabilities and product offerings to enhance the solutions we offer our customers, and improving our ability to serve large regional and national customers in targeted markets. We plan to continue to pursue acquisition opportunities that meet our strategic criteria and help us meet these objectives. As discussed above, the recently implemented reorganization of our business is intended to promote revenue growth through the introduction of new products and services and enhanced expertise in this market as well as improved earnings through more efficient use of our people, resources and capital.</w:t>
      </w:r>
    </w:p>
    <w:p>
      <w:pPr>
        <w:spacing w:after="0" w:line="168"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Market indicators that should be considered when evaluating future demand for our products in the Industrial segment include Industrial production and the Purchasing Managers Index. Industrial Production in the United States is estimated to stand at .90% in 2021. The Purchasing Managers Index is projected to trend around 53.4 points in 2022 and 52.4 points in 2023. Sales in this segment comprised approximately 21% of our annual sales in 2020.</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CONSTRUCTION SEGMENT</w:t>
      </w:r>
    </w:p>
    <w:p>
      <w:pPr>
        <w:spacing w:after="0" w:line="229"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i w:val="1"/>
          <w:iCs w:val="1"/>
          <w:color w:val="auto"/>
        </w:rPr>
        <w:t>National Association of Home Builders</w:t>
      </w:r>
      <w:r>
        <w:rPr>
          <w:rFonts w:ascii="Arial" w:cs="Arial" w:eastAsia="Arial" w:hAnsi="Arial"/>
          <w:sz w:val="17"/>
          <w:szCs w:val="17"/>
          <w:color w:val="auto"/>
        </w:rPr>
        <w:t xml:space="preserve"> forecasts a 21% increase in manufactured home shipments in 2021 followed by a 5% increase in 2022. We currently supply approximately 40% of the trusses used in manufactured housing and we will strive to maintain our market share of trusses produced for this market. Sales of our Factory Built business unit within our Construction segment comprised approximately 12% of our annual sales in 2020.</w:t>
      </w:r>
    </w:p>
    <w:p>
      <w:pPr>
        <w:spacing w:after="0" w:line="171"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i w:val="1"/>
          <w:iCs w:val="1"/>
          <w:color w:val="auto"/>
        </w:rPr>
        <w:t>Mortgage Bankers Association of America</w:t>
      </w:r>
      <w:r>
        <w:rPr>
          <w:rFonts w:ascii="Arial" w:cs="Arial" w:eastAsia="Arial" w:hAnsi="Arial"/>
          <w:sz w:val="17"/>
          <w:szCs w:val="17"/>
          <w:color w:val="auto"/>
        </w:rPr>
        <w:t xml:space="preserve"> forecasts a 10% increase in national housing starts to an estimated 1.5 million starts in 2021. The </w:t>
      </w:r>
      <w:r>
        <w:rPr>
          <w:rFonts w:ascii="Arial" w:cs="Arial" w:eastAsia="Arial" w:hAnsi="Arial"/>
          <w:sz w:val="17"/>
          <w:szCs w:val="17"/>
          <w:i w:val="1"/>
          <w:iCs w:val="1"/>
          <w:color w:val="auto"/>
        </w:rPr>
        <w:t>National Association of Home Builders</w:t>
      </w:r>
      <w:r>
        <w:rPr>
          <w:rFonts w:ascii="Arial" w:cs="Arial" w:eastAsia="Arial" w:hAnsi="Arial"/>
          <w:sz w:val="17"/>
          <w:szCs w:val="17"/>
          <w:color w:val="auto"/>
        </w:rPr>
        <w:t xml:space="preserve"> forecasts starts of 1.2 million, a 4% increase from 2020. We believe we are well-positioned to capture our share of any increase that may occur in housing starts in the regions we operate, which is primarily Texas, Colorado, the mid-Atlantic states, and the Northeast. However, due to our conservative approach to adding capacity to serve this market and focus on managing potential channel conflicts with certain customers, our growth may trail the market in future years. Sales of our Site Built business unit within our Construction segment comprised approximately 14% of our annual sales in 2020.</w:t>
      </w:r>
    </w:p>
    <w:p>
      <w:pPr>
        <w:spacing w:after="0" w:line="177"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Non-residential construction spending is a market indicator that should be considered when evaluating future demand for our products in our Commercial and Concrete Forming business units within our Construction segment. Sales in these business units comprised approximately 7% of our annual sales in 2020.</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GROSS PROFIT</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believe the following factors may impact our gross profits and margins in the future:</w:t>
      </w:r>
    </w:p>
    <w:p>
      <w:pPr>
        <w:spacing w:after="0" w:line="225" w:lineRule="exact"/>
        <w:rPr>
          <w:sz w:val="20"/>
          <w:szCs w:val="20"/>
          <w:color w:val="auto"/>
        </w:rPr>
      </w:pPr>
    </w:p>
    <w:p>
      <w:pPr>
        <w:ind w:left="720" w:hanging="319"/>
        <w:spacing w:after="0"/>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End market demand and our ability to grow and leverage fixed costs.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effective implementation of our strategy to focus and manage our operations around the markets we serve.</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1" w:name="page92"/>
    <w:bookmarkEnd w:id="9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UFP INDUSTRIES, INC.</w:t>
      </w:r>
    </w:p>
    <w:p>
      <w:pPr>
        <w:spacing w:after="0" w:line="50"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24" w:lineRule="exact"/>
        <w:rPr>
          <w:sz w:val="20"/>
          <w:szCs w:val="20"/>
          <w:color w:val="auto"/>
        </w:rPr>
      </w:pPr>
    </w:p>
    <w:p>
      <w:pPr>
        <w:jc w:val="both"/>
        <w:ind w:left="720" w:right="79" w:hanging="319"/>
        <w:spacing w:after="0" w:line="311" w:lineRule="auto"/>
        <w:tabs>
          <w:tab w:leader="none" w:pos="7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Our ability to maintain market share and gross margins on products sold to our largest customers. We believe our level of service, geographic diversity, and quality of products provides an added value to our customers. However, if our customers are unwilling to pay for these advantages, our sales and gross margins may be reduced.</w:t>
      </w:r>
    </w:p>
    <w:p>
      <w:pPr>
        <w:spacing w:after="0" w:line="148" w:lineRule="exact"/>
        <w:rPr>
          <w:rFonts w:ascii="Arial" w:cs="Arial" w:eastAsia="Arial" w:hAnsi="Arial"/>
          <w:sz w:val="16"/>
          <w:szCs w:val="16"/>
          <w:color w:val="auto"/>
        </w:rPr>
      </w:pPr>
    </w:p>
    <w:p>
      <w:pPr>
        <w:ind w:left="720" w:hanging="319"/>
        <w:spacing w:after="0"/>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Sales mix of value-added and commodity products.</w:t>
      </w:r>
    </w:p>
    <w:p>
      <w:pPr>
        <w:spacing w:after="0" w:line="225"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Fluctuations in the relative level of the Lumber Market and trends in the market price of lumber. (See "Impact of the Lumber Market on our Operating Results.")</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Fuel and transportation costs.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Rising labor and benefit costs.</w:t>
      </w:r>
    </w:p>
    <w:p>
      <w:pPr>
        <w:spacing w:after="0" w:line="225"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continue to achieve productivity improvements as our unit sales increase and planned cost reductions through continuous improvement activities, automation, and other initiatives.</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Changes in corporate income tax rates and the cost of complying with new or increased government regulations.</w:t>
      </w:r>
    </w:p>
    <w:p>
      <w:pPr>
        <w:spacing w:after="0" w:line="24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229"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In recent years, selling, general and administrative (SG&amp;A) expenses have increased as we have added personnel needed to take advantage of growth opportunities and execute our initiatives intended to increase our sales of new products and improve our sales mix of value-added products. We anticipate our trend of increases in these costs will continue in 2021; however, our objective is to reduce these costs on a per unit basis and as a percentage of gross profits as we grow through the improved productivity of our people and as a result of fixed costs. In addition, bonus and other incentive expenses for all salaried and sales employees is based on our profitability and the effective management of our assets and will continue to fluctuate based on our results. See Note H — Common Stock for discussion of future compensation costs related to long-term share-based bonus awards.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color w:val="auto"/>
        </w:rPr>
        <w:t>On a long-term basis, we expect that our SG&amp;A expenses will primarily be impacted by:</w:t>
      </w:r>
    </w:p>
    <w:p>
      <w:pPr>
        <w:spacing w:after="0" w:line="225" w:lineRule="exact"/>
        <w:rPr>
          <w:sz w:val="20"/>
          <w:szCs w:val="20"/>
          <w:color w:val="auto"/>
        </w:rPr>
      </w:pPr>
    </w:p>
    <w:p>
      <w:pPr>
        <w:ind w:left="720" w:right="79" w:hanging="319"/>
        <w:spacing w:after="0" w:line="277" w:lineRule="auto"/>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growth in sales to the industrial and the construction segments. Our sales to these segments require a higher ratio of SG&amp;A costs due, in part, to product design and engineering requirements.</w:t>
      </w:r>
    </w:p>
    <w:p>
      <w:pPr>
        <w:spacing w:after="0" w:line="170"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Sales of new products and value-added, branded products to the retail segment, which generally require higher product development, marketing, advertising, and other selling costs.</w:t>
      </w:r>
    </w:p>
    <w:p>
      <w:pPr>
        <w:spacing w:after="0" w:line="170"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incentive compensation programs which are tied to gross profits, pre-bonus earnings from operations and return on investment.</w:t>
      </w:r>
    </w:p>
    <w:p>
      <w:pPr>
        <w:spacing w:after="0" w:line="170"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growth and success in achieving continuous improvement objectives designed to improve our productivity and leverage our fixed costs as we grow.</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Our cash cycle will continue to be impacted in the future by our mix of sales by market. Sales to our construction and industrial segments require a greater investment in working capital than sales to our retail segment. Additionally, our net investment in trade receivables, inventory, and accounts payable will continue to be impacted by the level of lumber prices.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2" w:name="page93"/>
    <w:bookmarkEnd w:id="9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UFP INDUSTRIES, INC.</w:t>
      </w:r>
    </w:p>
    <w:p>
      <w:pPr>
        <w:spacing w:after="0" w:line="50"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24"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Additionally, we expect to spend approximately $115.5 million on capital expenditures, incur depreciation of approximately $71 million, and incur amortization and other non-cash expenses of approximately $19 million in 2021.</w:t>
      </w:r>
    </w:p>
    <w:p>
      <w:pPr>
        <w:spacing w:after="0" w:line="146"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On December 26, 2020, we had outstanding purchase commitments on capital projects of approximately $22.8 million. We intend to fund capital expenditures and purchase commitments through our operating cash flows and availability under our revolving credit facility which is considered sufficient to meet these commitments and working capital needs.</w:t>
      </w:r>
    </w:p>
    <w:p>
      <w:pPr>
        <w:spacing w:after="0" w:line="149"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In 2020, the frequency of our dividend payments increased from semi-annually to quarterly and the pro-rata rate increased by 25%. Our dividend rates are reviewed and approved at each of our January, April, July, and October board meetings and payments are made in March, June, September, and December of each year.</w:t>
      </w:r>
    </w:p>
    <w:p>
      <w:pPr>
        <w:spacing w:after="0" w:line="184"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We have a share repurchase program approved by our Board of Directors, and as of December 26, 2020, we have remaining authorization to buy back approximately 1.1 million shares. In the past, we have repurchased shares in order to offset the effect of issuances resulting from our employee benefit plans and at opportune times when our stock price falls to predetermined levels.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3" w:name="page94"/>
    <w:bookmarkEnd w:id="9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7"/>
          <w:szCs w:val="17"/>
          <w:color w:val="auto"/>
        </w:rPr>
        <w:t>To the shareholders and the Board of Directors of UFP Industries, Inc. (formerly Universal Forest Products, Inc.)</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75"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We have audited the internal control over financial reporting of UFP Industries, Inc. and subsidiaries (the “Company”) as of December 26, 2020, based on criteria established in Internal Control — Integrated Framework (2013) issued by the Committee of Sponsoring Organizations of the Treadway Commission (COSO). In our opinion, because of the effect of the material weakness identified below on the achievement of the objectives of the control criteria, the Company has not maintained effective internal control over financial reporting as of December 26, 2020, based on criteria established in Internal Control — Integrated Framework (2013) issued by COSO.</w:t>
      </w:r>
    </w:p>
    <w:p>
      <w:pPr>
        <w:spacing w:after="0" w:line="124" w:lineRule="exact"/>
        <w:rPr>
          <w:sz w:val="20"/>
          <w:szCs w:val="20"/>
          <w:color w:val="auto"/>
        </w:rPr>
      </w:pPr>
    </w:p>
    <w:p>
      <w:pPr>
        <w:jc w:val="both"/>
        <w:ind w:left="60" w:right="79"/>
        <w:spacing w:after="0" w:line="286" w:lineRule="auto"/>
        <w:rPr>
          <w:sz w:val="20"/>
          <w:szCs w:val="20"/>
          <w:color w:val="auto"/>
        </w:rPr>
      </w:pPr>
      <w:r>
        <w:rPr>
          <w:rFonts w:ascii="Arial" w:cs="Arial" w:eastAsia="Arial" w:hAnsi="Arial"/>
          <w:sz w:val="17"/>
          <w:szCs w:val="17"/>
          <w:color w:val="auto"/>
        </w:rPr>
        <w:t>We have also audited, in accordance with the standards of the Public Company Accounting Oversight Board (United States) (PCAOB), the consolidated financial statements as of and for the year ended December 26, 2020, of the Company and our report dated March 3, 2021, expressed an unqualified opinion on those financial statements.</w:t>
      </w:r>
    </w:p>
    <w:p>
      <w:pPr>
        <w:spacing w:after="0" w:line="1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Basis for Opinion</w:t>
      </w:r>
    </w:p>
    <w:p>
      <w:pPr>
        <w:spacing w:after="0" w:line="175"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10"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75"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2"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4" w:name="page95"/>
    <w:bookmarkEnd w:id="9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Material Weakness</w:t>
      </w:r>
    </w:p>
    <w:p>
      <w:pPr>
        <w:spacing w:after="0" w:line="175"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The following material weakness has been identified and included in management's assessment: Management identified a material weakness in the design and operation of their controls regarding the accounting for the Company’s share-based bonus awards. The controls were not adequately designed to review the appropriate accounting conclusions with enough precision related to the determination of the appropriate period over which to recognize the expense associated with share-based bonus awards.</w:t>
      </w:r>
    </w:p>
    <w:p>
      <w:pPr>
        <w:spacing w:after="0" w:line="112"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This material weakness was considered in determining the nature, timing, and extent of audit tests applied in our audit of the consolidated financial statements as of and for the year ended December 26, 2020, of the Company, and this report does not affect our report on such financial statements.</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Deloitte &amp; Touche LLP</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color w:val="auto"/>
        </w:rPr>
        <w:t>Grand Rapids, Michigan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March 3,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5" w:name="page96"/>
    <w:bookmarkEnd w:id="9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7"/>
          <w:szCs w:val="17"/>
          <w:color w:val="auto"/>
        </w:rPr>
        <w:t>To the shareholders and the Board of Directors of UFP Industries, Inc. (formerly Universal Forest Products, Inc.)</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75"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We have audited the accompanying consolidated balance sheets of UFP Industries, Inc. (formerly Universal Forest Products, Inc.) and subsidiaries (the "Company") as of December 26, 2020 and December 28, 2019, the related consolidated statements of earnings and comprehensive income, shareholders' equity, and cash flows, for each of the three years in the period ended December 26, 2020, and the related notes (collectively referred to as the "financial statements"). In our opinion, the financial statements present fairly, in all material respects, the financial position of the Company as of December 26, 2020 and December 28, 2019, and the results of its operations and its cash flows for each of the three years in the period ended December 26, 2020, in conformity with accounting principles generally accepted in the United States of America.</w:t>
      </w:r>
    </w:p>
    <w:p>
      <w:pPr>
        <w:spacing w:after="0" w:line="138"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Company's internal control over financial reporting as of December 26, 2020, based on criteria established in Internal Control — Integrated Framework (2013) issued by the Committee of Sponsoring Organizations of the Treadway Commission and our report dated March 3, 2021, expressed an adverse opinion on the Company's internal control over financial reporting because of a material weakness.</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Basis for Opinion</w:t>
      </w:r>
    </w:p>
    <w:p>
      <w:pPr>
        <w:spacing w:after="0" w:line="175" w:lineRule="exact"/>
        <w:rPr>
          <w:sz w:val="20"/>
          <w:szCs w:val="20"/>
          <w:color w:val="auto"/>
        </w:rPr>
      </w:pPr>
    </w:p>
    <w:p>
      <w:pPr>
        <w:jc w:val="both"/>
        <w:ind w:left="60" w:right="79"/>
        <w:spacing w:after="0" w:line="279"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17"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3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Audit Matters</w:t>
      </w:r>
    </w:p>
    <w:p>
      <w:pPr>
        <w:spacing w:after="0" w:line="175" w:lineRule="exact"/>
        <w:rPr>
          <w:sz w:val="20"/>
          <w:szCs w:val="20"/>
          <w:color w:val="auto"/>
        </w:rPr>
      </w:pPr>
    </w:p>
    <w:p>
      <w:pPr>
        <w:ind w:left="60" w:right="139"/>
        <w:spacing w:after="0" w:line="273" w:lineRule="auto"/>
        <w:rPr>
          <w:sz w:val="20"/>
          <w:szCs w:val="20"/>
          <w:color w:val="auto"/>
        </w:rPr>
      </w:pPr>
      <w:r>
        <w:rPr>
          <w:rFonts w:ascii="Arial" w:cs="Arial" w:eastAsia="Arial" w:hAnsi="Arial"/>
          <w:sz w:val="17"/>
          <w:szCs w:val="17"/>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20" w:lineRule="exact"/>
        <w:rPr>
          <w:sz w:val="20"/>
          <w:szCs w:val="20"/>
          <w:color w:val="auto"/>
        </w:rPr>
      </w:pPr>
    </w:p>
    <w:p>
      <w:pPr>
        <w:ind w:left="60" w:right="2759"/>
        <w:spacing w:after="0" w:line="440" w:lineRule="auto"/>
        <w:rPr>
          <w:sz w:val="20"/>
          <w:szCs w:val="20"/>
          <w:color w:val="auto"/>
        </w:rPr>
      </w:pPr>
      <w:r>
        <w:rPr>
          <w:rFonts w:ascii="Arial" w:cs="Arial" w:eastAsia="Arial" w:hAnsi="Arial"/>
          <w:sz w:val="18"/>
          <w:szCs w:val="18"/>
          <w:b w:val="1"/>
          <w:bCs w:val="1"/>
          <w:color w:val="auto"/>
        </w:rPr>
        <w:t xml:space="preserve">Share-Based Bonus Expense – Refer to Notes A and H to the financial statements </w:t>
      </w:r>
      <w:r>
        <w:rPr>
          <w:rFonts w:ascii="Arial" w:cs="Arial" w:eastAsia="Arial" w:hAnsi="Arial"/>
          <w:sz w:val="18"/>
          <w:szCs w:val="18"/>
          <w:i w:val="1"/>
          <w:iCs w:val="1"/>
          <w:color w:val="auto"/>
        </w:rPr>
        <w:t>Critical Audit Matter Description</w:t>
      </w:r>
    </w:p>
    <w:p>
      <w:pPr>
        <w:spacing w:after="0" w:line="1" w:lineRule="exact"/>
        <w:rPr>
          <w:sz w:val="20"/>
          <w:szCs w:val="20"/>
          <w:color w:val="auto"/>
        </w:rPr>
      </w:pPr>
    </w:p>
    <w:p>
      <w:pPr>
        <w:ind w:left="60" w:right="599"/>
        <w:spacing w:after="0" w:line="277" w:lineRule="auto"/>
        <w:rPr>
          <w:sz w:val="20"/>
          <w:szCs w:val="20"/>
          <w:color w:val="auto"/>
        </w:rPr>
      </w:pPr>
      <w:r>
        <w:rPr>
          <w:rFonts w:ascii="Arial" w:cs="Arial" w:eastAsia="Arial" w:hAnsi="Arial"/>
          <w:sz w:val="18"/>
          <w:szCs w:val="18"/>
          <w:color w:val="auto"/>
        </w:rPr>
        <w:t xml:space="preserve">The Company recognizes share-based bonus expense over the associated service and vesting period of the awards in accordance with ASC Topic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6" w:name="page97"/>
    <w:bookmarkEnd w:id="9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7" w:lineRule="auto"/>
        <w:rPr>
          <w:sz w:val="20"/>
          <w:szCs w:val="20"/>
          <w:color w:val="auto"/>
        </w:rPr>
      </w:pPr>
      <w:r>
        <w:rPr>
          <w:rFonts w:ascii="Arial" w:cs="Arial" w:eastAsia="Arial" w:hAnsi="Arial"/>
          <w:sz w:val="18"/>
          <w:szCs w:val="18"/>
          <w:color w:val="auto"/>
        </w:rPr>
        <w:t>We identified share-based bonus expense as a critical audit matter because of the material weakness identified by the Company related to the design and operation of the Company’s control regarding the accounting for their share-based bonus awards. This made auditing share-based bonus expense more challenging and required an increased extent of audit effort, including the need to involve professionals in our firm having expertise in share-based compensation accounting and to modify the nature and extent of our audit procedures.</w:t>
      </w:r>
    </w:p>
    <w:p>
      <w:pPr>
        <w:spacing w:after="0" w:line="13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audit procedures related to share-based bonus expense included the following, among others:</w:t>
      </w:r>
    </w:p>
    <w:p>
      <w:pPr>
        <w:spacing w:after="0" w:line="171" w:lineRule="exact"/>
        <w:rPr>
          <w:sz w:val="20"/>
          <w:szCs w:val="20"/>
          <w:color w:val="auto"/>
        </w:rPr>
      </w:pPr>
    </w:p>
    <w:p>
      <w:pPr>
        <w:ind w:left="1040" w:right="279" w:hanging="315"/>
        <w:spacing w:after="0" w:line="277"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read the applicable agreements, recalculated the share-based bonus expense calculations and compared the key terms from the agreements to management’s analysis.</w:t>
      </w:r>
    </w:p>
    <w:p>
      <w:pPr>
        <w:spacing w:after="0" w:line="116" w:lineRule="exact"/>
        <w:rPr>
          <w:rFonts w:ascii="Arial" w:cs="Arial" w:eastAsia="Arial" w:hAnsi="Arial"/>
          <w:sz w:val="18"/>
          <w:szCs w:val="18"/>
          <w:color w:val="auto"/>
        </w:rPr>
      </w:pPr>
    </w:p>
    <w:p>
      <w:pPr>
        <w:ind w:left="1040" w:right="159" w:hanging="315"/>
        <w:spacing w:after="0" w:line="277"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assessed the appropriateness of judgments made by management in determining key assumptions related to the awards, such as service inception date.</w:t>
      </w:r>
    </w:p>
    <w:p>
      <w:pPr>
        <w:spacing w:after="0" w:line="116" w:lineRule="exact"/>
        <w:rPr>
          <w:rFonts w:ascii="Arial" w:cs="Arial" w:eastAsia="Arial" w:hAnsi="Arial"/>
          <w:sz w:val="18"/>
          <w:szCs w:val="18"/>
          <w:color w:val="auto"/>
        </w:rPr>
      </w:pPr>
    </w:p>
    <w:p>
      <w:pPr>
        <w:ind w:left="1040" w:right="439" w:hanging="315"/>
        <w:spacing w:after="0" w:line="311" w:lineRule="auto"/>
        <w:tabs>
          <w:tab w:leader="none" w:pos="10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We tested the accuracy and completeness of the data used in measuring the share-based bonus awards by agreeing the underlying inputs, such as grant date and vesting terms, among others, back to source documents, such as compensation committee meeting minutes or share-based bonus award letters.</w:t>
      </w:r>
    </w:p>
    <w:p>
      <w:pPr>
        <w:spacing w:after="0" w:line="9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With the assistance of professionals in our firm having expertise in accounting for share-based bonus awards, we evaluated the Company’s conclusions regarding the accounting model to record share-based bonus expense over the requisite service and vesting period of the awards in accordance with accounting principles generally accepted in the United States of America.</w:t>
      </w:r>
    </w:p>
    <w:p>
      <w:pPr>
        <w:spacing w:after="0" w:line="133"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Deloitte &amp; Touche LLP</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color w:val="auto"/>
        </w:rPr>
        <w:t>Grand Rapids, Michigan</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March 3, 2021</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have served as the Company's auditor since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7" w:name="page98"/>
    <w:bookmarkEnd w:id="9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UFP INDUSTRIES,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108" w:lineRule="exact"/>
        <w:rPr>
          <w:sz w:val="20"/>
          <w:szCs w:val="20"/>
          <w:color w:val="auto"/>
        </w:rPr>
      </w:pPr>
    </w:p>
    <w:tbl>
      <w:tblPr>
        <w:tblLayout w:type="fixed"/>
        <w:tblInd w:w="60" w:type="dxa"/>
        <w:tblCellMar>
          <w:top w:w="0" w:type="dxa"/>
          <w:left w:w="0" w:type="dxa"/>
          <w:bottom w:w="0" w:type="dxa"/>
          <w:right w:w="0" w:type="dxa"/>
        </w:tblCellMar>
      </w:tblPr>
      <w:tr>
        <w:trPr>
          <w:trHeight w:val="186"/>
        </w:trPr>
        <w:tc>
          <w:tcPr>
            <w:tcW w:w="6280" w:type="dxa"/>
            <w:vAlign w:val="bottom"/>
          </w:tcPr>
          <w:p>
            <w:pPr>
              <w:spacing w:after="0"/>
              <w:rPr>
                <w:sz w:val="20"/>
                <w:szCs w:val="20"/>
                <w:color w:val="auto"/>
              </w:rPr>
            </w:pPr>
            <w:r>
              <w:rPr>
                <w:rFonts w:ascii="Arial" w:cs="Arial" w:eastAsia="Arial" w:hAnsi="Arial"/>
                <w:sz w:val="14"/>
                <w:szCs w:val="14"/>
                <w:b w:val="1"/>
                <w:bCs w:val="1"/>
                <w:color w:val="auto"/>
              </w:rPr>
              <w:t>(in thousands, except share data)</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2"/>
              </w:rPr>
              <w:t>December 26,</w:t>
            </w:r>
          </w:p>
        </w:tc>
        <w:tc>
          <w:tcPr>
            <w:tcW w:w="120" w:type="dxa"/>
            <w:vAlign w:val="bottom"/>
          </w:tcPr>
          <w:p>
            <w:pPr>
              <w:spacing w:after="0"/>
              <w:rPr>
                <w:sz w:val="16"/>
                <w:szCs w:val="16"/>
                <w:color w:val="auto"/>
              </w:rPr>
            </w:pPr>
          </w:p>
        </w:tc>
        <w:tc>
          <w:tcPr>
            <w:tcW w:w="10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2"/>
              </w:rPr>
              <w:t>December 28,</w:t>
            </w:r>
          </w:p>
        </w:tc>
        <w:tc>
          <w:tcPr>
            <w:tcW w:w="0" w:type="dxa"/>
            <w:vAlign w:val="bottom"/>
          </w:tcPr>
          <w:p>
            <w:pPr>
              <w:spacing w:after="0"/>
              <w:rPr>
                <w:sz w:val="1"/>
                <w:szCs w:val="1"/>
                <w:color w:val="auto"/>
              </w:rPr>
            </w:pPr>
          </w:p>
        </w:tc>
      </w:tr>
      <w:tr>
        <w:trPr>
          <w:trHeight w:val="133"/>
        </w:trPr>
        <w:tc>
          <w:tcPr>
            <w:tcW w:w="6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28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28"/>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348"/>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48"/>
        </w:trPr>
        <w:tc>
          <w:tcPr>
            <w:tcW w:w="62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ASSETS</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80" w:type="dxa"/>
            <w:vAlign w:val="bottom"/>
          </w:tcPr>
          <w:p>
            <w:pPr>
              <w:spacing w:after="0" w:line="149" w:lineRule="exact"/>
              <w:rPr>
                <w:sz w:val="20"/>
                <w:szCs w:val="20"/>
                <w:color w:val="auto"/>
              </w:rPr>
            </w:pPr>
            <w:r>
              <w:rPr>
                <w:rFonts w:ascii="Arial" w:cs="Arial" w:eastAsia="Arial" w:hAnsi="Arial"/>
                <w:sz w:val="14"/>
                <w:szCs w:val="14"/>
                <w:color w:val="auto"/>
              </w:rPr>
              <w:t>CURRENT ASSETS: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Cash and cash equivalents</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436,507</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168,336</w:t>
            </w:r>
          </w:p>
        </w:tc>
        <w:tc>
          <w:tcPr>
            <w:tcW w:w="0" w:type="dxa"/>
            <w:vAlign w:val="bottom"/>
          </w:tcPr>
          <w:p>
            <w:pPr>
              <w:spacing w:after="0"/>
              <w:rPr>
                <w:sz w:val="1"/>
                <w:szCs w:val="1"/>
                <w:color w:val="auto"/>
              </w:rPr>
            </w:pPr>
          </w:p>
        </w:tc>
      </w:tr>
      <w:tr>
        <w:trPr>
          <w:trHeight w:val="148"/>
        </w:trPr>
        <w:tc>
          <w:tcPr>
            <w:tcW w:w="6280" w:type="dxa"/>
            <w:vAlign w:val="bottom"/>
          </w:tcPr>
          <w:p>
            <w:pPr>
              <w:ind w:left="120"/>
              <w:spacing w:after="0" w:line="149" w:lineRule="exact"/>
              <w:rPr>
                <w:sz w:val="20"/>
                <w:szCs w:val="20"/>
                <w:color w:val="auto"/>
              </w:rPr>
            </w:pPr>
            <w:r>
              <w:rPr>
                <w:rFonts w:ascii="Arial" w:cs="Arial" w:eastAsia="Arial" w:hAnsi="Arial"/>
                <w:sz w:val="14"/>
                <w:szCs w:val="14"/>
                <w:color w:val="auto"/>
              </w:rPr>
              <w:t>Restricted cash</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101</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330</w:t>
            </w:r>
          </w:p>
        </w:tc>
        <w:tc>
          <w:tcPr>
            <w:tcW w:w="0" w:type="dxa"/>
            <w:vAlign w:val="bottom"/>
          </w:tcPr>
          <w:p>
            <w:pPr>
              <w:spacing w:after="0"/>
              <w:rPr>
                <w:sz w:val="1"/>
                <w:szCs w:val="1"/>
                <w:color w:val="auto"/>
              </w:rPr>
            </w:pPr>
          </w:p>
        </w:tc>
      </w:tr>
      <w:tr>
        <w:trPr>
          <w:trHeight w:val="148"/>
        </w:trPr>
        <w:tc>
          <w:tcPr>
            <w:tcW w:w="62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Investments</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24,308</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18,527</w:t>
            </w:r>
          </w:p>
        </w:tc>
        <w:tc>
          <w:tcPr>
            <w:tcW w:w="0" w:type="dxa"/>
            <w:vAlign w:val="bottom"/>
          </w:tcPr>
          <w:p>
            <w:pPr>
              <w:spacing w:after="0"/>
              <w:rPr>
                <w:sz w:val="1"/>
                <w:szCs w:val="1"/>
                <w:color w:val="auto"/>
              </w:rPr>
            </w:pPr>
          </w:p>
        </w:tc>
      </w:tr>
      <w:tr>
        <w:trPr>
          <w:trHeight w:val="148"/>
        </w:trPr>
        <w:tc>
          <w:tcPr>
            <w:tcW w:w="6280" w:type="dxa"/>
            <w:vAlign w:val="bottom"/>
          </w:tcPr>
          <w:p>
            <w:pPr>
              <w:ind w:left="120"/>
              <w:spacing w:after="0" w:line="149" w:lineRule="exact"/>
              <w:rPr>
                <w:sz w:val="20"/>
                <w:szCs w:val="20"/>
                <w:color w:val="auto"/>
              </w:rPr>
            </w:pPr>
            <w:r>
              <w:rPr>
                <w:rFonts w:ascii="Arial" w:cs="Arial" w:eastAsia="Arial" w:hAnsi="Arial"/>
                <w:sz w:val="14"/>
                <w:szCs w:val="14"/>
                <w:color w:val="auto"/>
              </w:rPr>
              <w:t>Accounts receivable, net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470,504</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364,027</w:t>
            </w:r>
          </w:p>
        </w:tc>
        <w:tc>
          <w:tcPr>
            <w:tcW w:w="0" w:type="dxa"/>
            <w:vAlign w:val="bottom"/>
          </w:tcPr>
          <w:p>
            <w:pPr>
              <w:spacing w:after="0"/>
              <w:rPr>
                <w:sz w:val="1"/>
                <w:szCs w:val="1"/>
                <w:color w:val="auto"/>
              </w:rPr>
            </w:pPr>
          </w:p>
        </w:tc>
      </w:tr>
      <w:tr>
        <w:trPr>
          <w:trHeight w:val="148"/>
        </w:trPr>
        <w:tc>
          <w:tcPr>
            <w:tcW w:w="62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Inventories:</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80" w:type="dxa"/>
            <w:vAlign w:val="bottom"/>
          </w:tcPr>
          <w:p>
            <w:pPr>
              <w:ind w:left="320"/>
              <w:spacing w:after="0" w:line="149" w:lineRule="exact"/>
              <w:rPr>
                <w:sz w:val="20"/>
                <w:szCs w:val="20"/>
                <w:color w:val="auto"/>
              </w:rPr>
            </w:pPr>
            <w:r>
              <w:rPr>
                <w:rFonts w:ascii="Arial" w:cs="Arial" w:eastAsia="Arial" w:hAnsi="Arial"/>
                <w:sz w:val="14"/>
                <w:szCs w:val="14"/>
                <w:color w:val="auto"/>
              </w:rPr>
              <w:t>Raw materials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316,481</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236,283</w:t>
            </w:r>
          </w:p>
        </w:tc>
        <w:tc>
          <w:tcPr>
            <w:tcW w:w="0" w:type="dxa"/>
            <w:vAlign w:val="bottom"/>
          </w:tcPr>
          <w:p>
            <w:pPr>
              <w:spacing w:after="0"/>
              <w:rPr>
                <w:sz w:val="1"/>
                <w:szCs w:val="1"/>
                <w:color w:val="auto"/>
              </w:rPr>
            </w:pPr>
          </w:p>
        </w:tc>
      </w:tr>
      <w:tr>
        <w:trPr>
          <w:trHeight w:val="168"/>
        </w:trPr>
        <w:tc>
          <w:tcPr>
            <w:tcW w:w="6280" w:type="dxa"/>
            <w:vAlign w:val="bottom"/>
            <w:tcBorders>
              <w:bottom w:val="single" w:sz="8" w:color="CCEEFF"/>
            </w:tcBorders>
            <w:shd w:val="clear" w:color="auto" w:fill="CCEEFF"/>
          </w:tcPr>
          <w:p>
            <w:pPr>
              <w:ind w:left="320"/>
              <w:spacing w:after="0" w:line="149" w:lineRule="exact"/>
              <w:rPr>
                <w:sz w:val="20"/>
                <w:szCs w:val="20"/>
                <w:color w:val="auto"/>
              </w:rPr>
            </w:pPr>
            <w:r>
              <w:rPr>
                <w:rFonts w:ascii="Arial" w:cs="Arial" w:eastAsia="Arial" w:hAnsi="Arial"/>
                <w:sz w:val="14"/>
                <w:szCs w:val="14"/>
                <w:color w:val="auto"/>
              </w:rPr>
              <w:t>Finished goods</w:t>
            </w:r>
          </w:p>
        </w:tc>
        <w:tc>
          <w:tcPr>
            <w:tcW w:w="1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250,813</w:t>
            </w:r>
          </w:p>
        </w:tc>
        <w:tc>
          <w:tcPr>
            <w:tcW w:w="2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250,591</w:t>
            </w:r>
          </w:p>
        </w:tc>
        <w:tc>
          <w:tcPr>
            <w:tcW w:w="0" w:type="dxa"/>
            <w:vAlign w:val="bottom"/>
          </w:tcPr>
          <w:p>
            <w:pPr>
              <w:spacing w:after="0"/>
              <w:rPr>
                <w:sz w:val="1"/>
                <w:szCs w:val="1"/>
                <w:color w:val="auto"/>
              </w:rPr>
            </w:pPr>
          </w:p>
        </w:tc>
      </w:tr>
      <w:tr>
        <w:trPr>
          <w:trHeight w:val="135"/>
        </w:trPr>
        <w:tc>
          <w:tcPr>
            <w:tcW w:w="6280" w:type="dxa"/>
            <w:vAlign w:val="bottom"/>
          </w:tcPr>
          <w:p>
            <w:pPr>
              <w:ind w:left="440"/>
              <w:spacing w:after="0" w:line="135" w:lineRule="exact"/>
              <w:rPr>
                <w:sz w:val="20"/>
                <w:szCs w:val="20"/>
                <w:color w:val="auto"/>
              </w:rPr>
            </w:pPr>
            <w:r>
              <w:rPr>
                <w:rFonts w:ascii="Arial" w:cs="Arial" w:eastAsia="Arial" w:hAnsi="Arial"/>
                <w:sz w:val="14"/>
                <w:szCs w:val="14"/>
                <w:color w:val="auto"/>
              </w:rPr>
              <w:t>Total inventories</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Arial" w:cs="Arial" w:eastAsia="Arial" w:hAnsi="Arial"/>
                <w:sz w:val="14"/>
                <w:szCs w:val="14"/>
                <w:color w:val="auto"/>
              </w:rPr>
              <w:t>567,294</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Arial" w:cs="Arial" w:eastAsia="Arial" w:hAnsi="Arial"/>
                <w:sz w:val="14"/>
                <w:szCs w:val="14"/>
                <w:color w:val="auto"/>
              </w:rPr>
              <w:t>486,874</w:t>
            </w:r>
          </w:p>
        </w:tc>
        <w:tc>
          <w:tcPr>
            <w:tcW w:w="0" w:type="dxa"/>
            <w:vAlign w:val="bottom"/>
          </w:tcPr>
          <w:p>
            <w:pPr>
              <w:spacing w:after="0"/>
              <w:rPr>
                <w:sz w:val="1"/>
                <w:szCs w:val="1"/>
                <w:color w:val="auto"/>
              </w:rPr>
            </w:pPr>
          </w:p>
        </w:tc>
      </w:tr>
      <w:tr>
        <w:trPr>
          <w:trHeight w:val="149"/>
        </w:trPr>
        <w:tc>
          <w:tcPr>
            <w:tcW w:w="62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Refundable income taxes</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5,836</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13,272</w:t>
            </w:r>
          </w:p>
        </w:tc>
        <w:tc>
          <w:tcPr>
            <w:tcW w:w="0" w:type="dxa"/>
            <w:vAlign w:val="bottom"/>
          </w:tcPr>
          <w:p>
            <w:pPr>
              <w:spacing w:after="0"/>
              <w:rPr>
                <w:sz w:val="1"/>
                <w:szCs w:val="1"/>
                <w:color w:val="auto"/>
              </w:rPr>
            </w:pPr>
          </w:p>
        </w:tc>
      </w:tr>
      <w:tr>
        <w:trPr>
          <w:trHeight w:val="155"/>
        </w:trPr>
        <w:tc>
          <w:tcPr>
            <w:tcW w:w="6280" w:type="dxa"/>
            <w:vAlign w:val="bottom"/>
            <w:tcBorders>
              <w:bottom w:val="single" w:sz="8" w:color="CCEEFF"/>
            </w:tcBorders>
          </w:tcPr>
          <w:p>
            <w:pPr>
              <w:ind w:left="120"/>
              <w:spacing w:after="0" w:line="149" w:lineRule="exact"/>
              <w:rPr>
                <w:sz w:val="20"/>
                <w:szCs w:val="20"/>
                <w:color w:val="auto"/>
              </w:rPr>
            </w:pPr>
            <w:r>
              <w:rPr>
                <w:rFonts w:ascii="Arial" w:cs="Arial" w:eastAsia="Arial" w:hAnsi="Arial"/>
                <w:sz w:val="14"/>
                <w:szCs w:val="14"/>
                <w:color w:val="auto"/>
              </w:rPr>
              <w:t>Other current assets</w:t>
            </w:r>
          </w:p>
        </w:tc>
        <w:tc>
          <w:tcPr>
            <w:tcW w:w="1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33,812</w:t>
            </w:r>
          </w:p>
        </w:tc>
        <w:tc>
          <w:tcPr>
            <w:tcW w:w="2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41,706</w:t>
            </w:r>
          </w:p>
        </w:tc>
        <w:tc>
          <w:tcPr>
            <w:tcW w:w="0" w:type="dxa"/>
            <w:vAlign w:val="bottom"/>
          </w:tcPr>
          <w:p>
            <w:pPr>
              <w:spacing w:after="0"/>
              <w:rPr>
                <w:sz w:val="1"/>
                <w:szCs w:val="1"/>
                <w:color w:val="auto"/>
              </w:rPr>
            </w:pPr>
          </w:p>
        </w:tc>
      </w:tr>
      <w:tr>
        <w:trPr>
          <w:trHeight w:val="148"/>
        </w:trPr>
        <w:tc>
          <w:tcPr>
            <w:tcW w:w="62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TOTAL CURRENT ASSETS</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1,538,362</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1,093,072</w:t>
            </w:r>
          </w:p>
        </w:tc>
        <w:tc>
          <w:tcPr>
            <w:tcW w:w="0" w:type="dxa"/>
            <w:vAlign w:val="bottom"/>
          </w:tcPr>
          <w:p>
            <w:pPr>
              <w:spacing w:after="0"/>
              <w:rPr>
                <w:sz w:val="1"/>
                <w:szCs w:val="1"/>
                <w:color w:val="auto"/>
              </w:rPr>
            </w:pPr>
          </w:p>
        </w:tc>
      </w:tr>
      <w:tr>
        <w:trPr>
          <w:trHeight w:val="148"/>
        </w:trPr>
        <w:tc>
          <w:tcPr>
            <w:tcW w:w="6280" w:type="dxa"/>
            <w:vAlign w:val="bottom"/>
          </w:tcPr>
          <w:p>
            <w:pPr>
              <w:spacing w:after="0" w:line="149" w:lineRule="exact"/>
              <w:rPr>
                <w:sz w:val="20"/>
                <w:szCs w:val="20"/>
                <w:color w:val="auto"/>
              </w:rPr>
            </w:pPr>
            <w:r>
              <w:rPr>
                <w:rFonts w:ascii="Arial" w:cs="Arial" w:eastAsia="Arial" w:hAnsi="Arial"/>
                <w:sz w:val="14"/>
                <w:szCs w:val="14"/>
                <w:color w:val="auto"/>
              </w:rPr>
              <w:t>DEFERRED INCOME TAXES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2,413</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2,763</w:t>
            </w:r>
          </w:p>
        </w:tc>
        <w:tc>
          <w:tcPr>
            <w:tcW w:w="0" w:type="dxa"/>
            <w:vAlign w:val="bottom"/>
          </w:tcPr>
          <w:p>
            <w:pPr>
              <w:spacing w:after="0"/>
              <w:rPr>
                <w:sz w:val="1"/>
                <w:szCs w:val="1"/>
                <w:color w:val="auto"/>
              </w:rPr>
            </w:pPr>
          </w:p>
        </w:tc>
      </w:tr>
      <w:tr>
        <w:trPr>
          <w:trHeight w:val="149"/>
        </w:trPr>
        <w:tc>
          <w:tcPr>
            <w:tcW w:w="6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RESTRICTED INVESTMENTS</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17,565</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16,214</w:t>
            </w:r>
          </w:p>
        </w:tc>
        <w:tc>
          <w:tcPr>
            <w:tcW w:w="0" w:type="dxa"/>
            <w:vAlign w:val="bottom"/>
          </w:tcPr>
          <w:p>
            <w:pPr>
              <w:spacing w:after="0"/>
              <w:rPr>
                <w:sz w:val="1"/>
                <w:szCs w:val="1"/>
                <w:color w:val="auto"/>
              </w:rPr>
            </w:pPr>
          </w:p>
        </w:tc>
      </w:tr>
      <w:tr>
        <w:trPr>
          <w:trHeight w:val="148"/>
        </w:trPr>
        <w:tc>
          <w:tcPr>
            <w:tcW w:w="6280" w:type="dxa"/>
            <w:vAlign w:val="bottom"/>
          </w:tcPr>
          <w:p>
            <w:pPr>
              <w:spacing w:after="0" w:line="149" w:lineRule="exact"/>
              <w:rPr>
                <w:sz w:val="20"/>
                <w:szCs w:val="20"/>
                <w:color w:val="auto"/>
              </w:rPr>
            </w:pPr>
            <w:r>
              <w:rPr>
                <w:rFonts w:ascii="Arial" w:cs="Arial" w:eastAsia="Arial" w:hAnsi="Arial"/>
                <w:sz w:val="14"/>
                <w:szCs w:val="14"/>
                <w:color w:val="auto"/>
              </w:rPr>
              <w:t>RIGHT OF USE ASSETS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77,245</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80,167</w:t>
            </w:r>
          </w:p>
        </w:tc>
        <w:tc>
          <w:tcPr>
            <w:tcW w:w="0" w:type="dxa"/>
            <w:vAlign w:val="bottom"/>
          </w:tcPr>
          <w:p>
            <w:pPr>
              <w:spacing w:after="0"/>
              <w:rPr>
                <w:sz w:val="1"/>
                <w:szCs w:val="1"/>
                <w:color w:val="auto"/>
              </w:rPr>
            </w:pPr>
          </w:p>
        </w:tc>
      </w:tr>
      <w:tr>
        <w:trPr>
          <w:trHeight w:val="148"/>
        </w:trPr>
        <w:tc>
          <w:tcPr>
            <w:tcW w:w="6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ASSETS</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20,298</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24,884</w:t>
            </w:r>
          </w:p>
        </w:tc>
        <w:tc>
          <w:tcPr>
            <w:tcW w:w="0" w:type="dxa"/>
            <w:vAlign w:val="bottom"/>
          </w:tcPr>
          <w:p>
            <w:pPr>
              <w:spacing w:after="0"/>
              <w:rPr>
                <w:sz w:val="1"/>
                <w:szCs w:val="1"/>
                <w:color w:val="auto"/>
              </w:rPr>
            </w:pPr>
          </w:p>
        </w:tc>
      </w:tr>
      <w:tr>
        <w:trPr>
          <w:trHeight w:val="148"/>
        </w:trPr>
        <w:tc>
          <w:tcPr>
            <w:tcW w:w="6280" w:type="dxa"/>
            <w:vAlign w:val="bottom"/>
          </w:tcPr>
          <w:p>
            <w:pPr>
              <w:spacing w:after="0" w:line="149" w:lineRule="exact"/>
              <w:rPr>
                <w:sz w:val="20"/>
                <w:szCs w:val="20"/>
                <w:color w:val="auto"/>
              </w:rPr>
            </w:pPr>
            <w:r>
              <w:rPr>
                <w:rFonts w:ascii="Arial" w:cs="Arial" w:eastAsia="Arial" w:hAnsi="Arial"/>
                <w:sz w:val="14"/>
                <w:szCs w:val="14"/>
                <w:color w:val="auto"/>
              </w:rPr>
              <w:t>GOODWILL</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252,193</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229,536</w:t>
            </w:r>
          </w:p>
        </w:tc>
        <w:tc>
          <w:tcPr>
            <w:tcW w:w="0" w:type="dxa"/>
            <w:vAlign w:val="bottom"/>
          </w:tcPr>
          <w:p>
            <w:pPr>
              <w:spacing w:after="0"/>
              <w:rPr>
                <w:sz w:val="1"/>
                <w:szCs w:val="1"/>
                <w:color w:val="auto"/>
              </w:rPr>
            </w:pPr>
          </w:p>
        </w:tc>
      </w:tr>
      <w:tr>
        <w:trPr>
          <w:trHeight w:val="148"/>
        </w:trPr>
        <w:tc>
          <w:tcPr>
            <w:tcW w:w="6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INDEFINITE-LIVED INTANGIBLE ASSETS</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7,401</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7,354</w:t>
            </w:r>
          </w:p>
        </w:tc>
        <w:tc>
          <w:tcPr>
            <w:tcW w:w="0" w:type="dxa"/>
            <w:vAlign w:val="bottom"/>
          </w:tcPr>
          <w:p>
            <w:pPr>
              <w:spacing w:after="0"/>
              <w:rPr>
                <w:sz w:val="1"/>
                <w:szCs w:val="1"/>
                <w:color w:val="auto"/>
              </w:rPr>
            </w:pPr>
          </w:p>
        </w:tc>
      </w:tr>
      <w:tr>
        <w:trPr>
          <w:trHeight w:val="149"/>
        </w:trPr>
        <w:tc>
          <w:tcPr>
            <w:tcW w:w="6280" w:type="dxa"/>
            <w:vAlign w:val="bottom"/>
          </w:tcPr>
          <w:p>
            <w:pPr>
              <w:spacing w:after="0" w:line="149" w:lineRule="exact"/>
              <w:rPr>
                <w:sz w:val="20"/>
                <w:szCs w:val="20"/>
                <w:color w:val="auto"/>
              </w:rPr>
            </w:pPr>
            <w:r>
              <w:rPr>
                <w:rFonts w:ascii="Arial" w:cs="Arial" w:eastAsia="Arial" w:hAnsi="Arial"/>
                <w:sz w:val="14"/>
                <w:szCs w:val="14"/>
                <w:color w:val="auto"/>
              </w:rPr>
              <w:t>OTHER INTANGIBLE ASSETS, NET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72,252</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48,313</w:t>
            </w:r>
          </w:p>
        </w:tc>
        <w:tc>
          <w:tcPr>
            <w:tcW w:w="0" w:type="dxa"/>
            <w:vAlign w:val="bottom"/>
          </w:tcPr>
          <w:p>
            <w:pPr>
              <w:spacing w:after="0"/>
              <w:rPr>
                <w:sz w:val="1"/>
                <w:szCs w:val="1"/>
                <w:color w:val="auto"/>
              </w:rPr>
            </w:pPr>
          </w:p>
        </w:tc>
      </w:tr>
      <w:tr>
        <w:trPr>
          <w:trHeight w:val="148"/>
        </w:trPr>
        <w:tc>
          <w:tcPr>
            <w:tcW w:w="6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PROPERTY, PLANT AND EQUIPMENT: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80" w:type="dxa"/>
            <w:vAlign w:val="bottom"/>
          </w:tcPr>
          <w:p>
            <w:pPr>
              <w:ind w:left="120"/>
              <w:spacing w:after="0" w:line="149" w:lineRule="exact"/>
              <w:rPr>
                <w:sz w:val="20"/>
                <w:szCs w:val="20"/>
                <w:color w:val="auto"/>
              </w:rPr>
            </w:pPr>
            <w:r>
              <w:rPr>
                <w:rFonts w:ascii="Arial" w:cs="Arial" w:eastAsia="Arial" w:hAnsi="Arial"/>
                <w:sz w:val="14"/>
                <w:szCs w:val="14"/>
                <w:color w:val="auto"/>
              </w:rPr>
              <w:t>Land and improvements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128,301</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125,097</w:t>
            </w:r>
          </w:p>
        </w:tc>
        <w:tc>
          <w:tcPr>
            <w:tcW w:w="0" w:type="dxa"/>
            <w:vAlign w:val="bottom"/>
          </w:tcPr>
          <w:p>
            <w:pPr>
              <w:spacing w:after="0"/>
              <w:rPr>
                <w:sz w:val="1"/>
                <w:szCs w:val="1"/>
                <w:color w:val="auto"/>
              </w:rPr>
            </w:pPr>
          </w:p>
        </w:tc>
      </w:tr>
      <w:tr>
        <w:trPr>
          <w:trHeight w:val="148"/>
        </w:trPr>
        <w:tc>
          <w:tcPr>
            <w:tcW w:w="62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Building and improvements</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272,864</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253,589</w:t>
            </w:r>
          </w:p>
        </w:tc>
        <w:tc>
          <w:tcPr>
            <w:tcW w:w="0" w:type="dxa"/>
            <w:vAlign w:val="bottom"/>
          </w:tcPr>
          <w:p>
            <w:pPr>
              <w:spacing w:after="0"/>
              <w:rPr>
                <w:sz w:val="1"/>
                <w:szCs w:val="1"/>
                <w:color w:val="auto"/>
              </w:rPr>
            </w:pPr>
          </w:p>
        </w:tc>
      </w:tr>
      <w:tr>
        <w:trPr>
          <w:trHeight w:val="148"/>
        </w:trPr>
        <w:tc>
          <w:tcPr>
            <w:tcW w:w="6280" w:type="dxa"/>
            <w:vAlign w:val="bottom"/>
          </w:tcPr>
          <w:p>
            <w:pPr>
              <w:ind w:left="120"/>
              <w:spacing w:after="0" w:line="149" w:lineRule="exact"/>
              <w:rPr>
                <w:sz w:val="20"/>
                <w:szCs w:val="20"/>
                <w:color w:val="auto"/>
              </w:rPr>
            </w:pPr>
            <w:r>
              <w:rPr>
                <w:rFonts w:ascii="Arial" w:cs="Arial" w:eastAsia="Arial" w:hAnsi="Arial"/>
                <w:sz w:val="14"/>
                <w:szCs w:val="14"/>
                <w:color w:val="auto"/>
              </w:rPr>
              <w:t>Machinery and equipment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525,542</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467,963</w:t>
            </w:r>
          </w:p>
        </w:tc>
        <w:tc>
          <w:tcPr>
            <w:tcW w:w="0" w:type="dxa"/>
            <w:vAlign w:val="bottom"/>
          </w:tcPr>
          <w:p>
            <w:pPr>
              <w:spacing w:after="0"/>
              <w:rPr>
                <w:sz w:val="1"/>
                <w:szCs w:val="1"/>
                <w:color w:val="auto"/>
              </w:rPr>
            </w:pPr>
          </w:p>
        </w:tc>
      </w:tr>
      <w:tr>
        <w:trPr>
          <w:trHeight w:val="149"/>
        </w:trPr>
        <w:tc>
          <w:tcPr>
            <w:tcW w:w="62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Furniture and fixtures</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21,110</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16,972</w:t>
            </w:r>
          </w:p>
        </w:tc>
        <w:tc>
          <w:tcPr>
            <w:tcW w:w="0" w:type="dxa"/>
            <w:vAlign w:val="bottom"/>
          </w:tcPr>
          <w:p>
            <w:pPr>
              <w:spacing w:after="0"/>
              <w:rPr>
                <w:sz w:val="1"/>
                <w:szCs w:val="1"/>
                <w:color w:val="auto"/>
              </w:rPr>
            </w:pPr>
          </w:p>
        </w:tc>
      </w:tr>
      <w:tr>
        <w:trPr>
          <w:trHeight w:val="155"/>
        </w:trPr>
        <w:tc>
          <w:tcPr>
            <w:tcW w:w="6280" w:type="dxa"/>
            <w:vAlign w:val="bottom"/>
            <w:tcBorders>
              <w:bottom w:val="single" w:sz="8" w:color="CCEEFF"/>
            </w:tcBorders>
          </w:tcPr>
          <w:p>
            <w:pPr>
              <w:ind w:left="120"/>
              <w:spacing w:after="0" w:line="149" w:lineRule="exact"/>
              <w:rPr>
                <w:sz w:val="20"/>
                <w:szCs w:val="20"/>
                <w:color w:val="auto"/>
              </w:rPr>
            </w:pPr>
            <w:r>
              <w:rPr>
                <w:rFonts w:ascii="Arial" w:cs="Arial" w:eastAsia="Arial" w:hAnsi="Arial"/>
                <w:sz w:val="14"/>
                <w:szCs w:val="14"/>
                <w:color w:val="auto"/>
              </w:rPr>
              <w:t>Construction in progress</w:t>
            </w:r>
          </w:p>
        </w:tc>
        <w:tc>
          <w:tcPr>
            <w:tcW w:w="1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26,680</w:t>
            </w:r>
          </w:p>
        </w:tc>
        <w:tc>
          <w:tcPr>
            <w:tcW w:w="2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21,342</w:t>
            </w:r>
          </w:p>
        </w:tc>
        <w:tc>
          <w:tcPr>
            <w:tcW w:w="0" w:type="dxa"/>
            <w:vAlign w:val="bottom"/>
          </w:tcPr>
          <w:p>
            <w:pPr>
              <w:spacing w:after="0"/>
              <w:rPr>
                <w:sz w:val="1"/>
                <w:szCs w:val="1"/>
                <w:color w:val="auto"/>
              </w:rPr>
            </w:pPr>
          </w:p>
        </w:tc>
      </w:tr>
      <w:tr>
        <w:trPr>
          <w:trHeight w:val="149"/>
        </w:trPr>
        <w:tc>
          <w:tcPr>
            <w:tcW w:w="62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PROPERTY, PLANT AND EQUIPMENT, GROSS</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974,497</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884,963</w:t>
            </w:r>
          </w:p>
        </w:tc>
        <w:tc>
          <w:tcPr>
            <w:tcW w:w="0" w:type="dxa"/>
            <w:vAlign w:val="bottom"/>
          </w:tcPr>
          <w:p>
            <w:pPr>
              <w:spacing w:after="0"/>
              <w:rPr>
                <w:sz w:val="1"/>
                <w:szCs w:val="1"/>
                <w:color w:val="auto"/>
              </w:rPr>
            </w:pPr>
          </w:p>
        </w:tc>
      </w:tr>
      <w:tr>
        <w:trPr>
          <w:trHeight w:val="155"/>
        </w:trPr>
        <w:tc>
          <w:tcPr>
            <w:tcW w:w="6280" w:type="dxa"/>
            <w:vAlign w:val="bottom"/>
          </w:tcPr>
          <w:p>
            <w:pPr>
              <w:ind w:left="120"/>
              <w:spacing w:after="0" w:line="149" w:lineRule="exact"/>
              <w:rPr>
                <w:sz w:val="20"/>
                <w:szCs w:val="20"/>
                <w:color w:val="auto"/>
              </w:rPr>
            </w:pPr>
            <w:r>
              <w:rPr>
                <w:rFonts w:ascii="Arial" w:cs="Arial" w:eastAsia="Arial" w:hAnsi="Arial"/>
                <w:sz w:val="14"/>
                <w:szCs w:val="14"/>
                <w:color w:val="auto"/>
              </w:rPr>
              <w:t>Less accumulated depreciation and amortization</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(557,335)</w:t>
            </w:r>
          </w:p>
        </w:tc>
        <w:tc>
          <w:tcPr>
            <w:tcW w:w="120" w:type="dxa"/>
            <w:vAlign w:val="bottom"/>
          </w:tcPr>
          <w:p>
            <w:pPr>
              <w:spacing w:after="0"/>
              <w:rPr>
                <w:sz w:val="13"/>
                <w:szCs w:val="13"/>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(497,789)</w:t>
            </w:r>
          </w:p>
        </w:tc>
        <w:tc>
          <w:tcPr>
            <w:tcW w:w="0" w:type="dxa"/>
            <w:vAlign w:val="bottom"/>
          </w:tcPr>
          <w:p>
            <w:pPr>
              <w:spacing w:after="0"/>
              <w:rPr>
                <w:sz w:val="1"/>
                <w:szCs w:val="1"/>
                <w:color w:val="auto"/>
              </w:rPr>
            </w:pPr>
          </w:p>
        </w:tc>
      </w:tr>
      <w:tr>
        <w:trPr>
          <w:trHeight w:val="168"/>
        </w:trPr>
        <w:tc>
          <w:tcPr>
            <w:tcW w:w="6280" w:type="dxa"/>
            <w:vAlign w:val="bottom"/>
            <w:tcBorders>
              <w:top w:val="single" w:sz="8" w:color="CCEEFF"/>
              <w:bottom w:val="single" w:sz="8" w:color="CCEEFF"/>
            </w:tcBorders>
            <w:shd w:val="clear" w:color="auto" w:fill="CCEEFF"/>
          </w:tcPr>
          <w:p>
            <w:pPr>
              <w:ind w:left="400"/>
              <w:spacing w:after="0" w:line="149" w:lineRule="exact"/>
              <w:rPr>
                <w:sz w:val="20"/>
                <w:szCs w:val="20"/>
                <w:color w:val="auto"/>
              </w:rPr>
            </w:pPr>
            <w:r>
              <w:rPr>
                <w:rFonts w:ascii="Arial" w:cs="Arial" w:eastAsia="Arial" w:hAnsi="Arial"/>
                <w:sz w:val="14"/>
                <w:szCs w:val="14"/>
                <w:color w:val="auto"/>
              </w:rPr>
              <w:t>PROPERTY, PLANT AND EQUIPMENT, NET</w:t>
            </w: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9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417,162</w:t>
            </w: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10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387,174</w:t>
            </w:r>
          </w:p>
        </w:tc>
        <w:tc>
          <w:tcPr>
            <w:tcW w:w="0" w:type="dxa"/>
            <w:vAlign w:val="bottom"/>
          </w:tcPr>
          <w:p>
            <w:pPr>
              <w:spacing w:after="0"/>
              <w:rPr>
                <w:sz w:val="1"/>
                <w:szCs w:val="1"/>
                <w:color w:val="auto"/>
              </w:rPr>
            </w:pPr>
          </w:p>
        </w:tc>
      </w:tr>
      <w:tr>
        <w:trPr>
          <w:trHeight w:val="175"/>
        </w:trPr>
        <w:tc>
          <w:tcPr>
            <w:tcW w:w="6280" w:type="dxa"/>
            <w:vAlign w:val="bottom"/>
            <w:tcBorders>
              <w:bottom w:val="single" w:sz="8" w:color="CCEEFF"/>
            </w:tcBorders>
          </w:tcPr>
          <w:p>
            <w:pPr>
              <w:spacing w:after="0" w:line="135" w:lineRule="exact"/>
              <w:rPr>
                <w:sz w:val="20"/>
                <w:szCs w:val="20"/>
                <w:color w:val="auto"/>
              </w:rPr>
            </w:pPr>
            <w:r>
              <w:rPr>
                <w:rFonts w:ascii="Arial" w:cs="Arial" w:eastAsia="Arial" w:hAnsi="Arial"/>
                <w:sz w:val="14"/>
                <w:szCs w:val="14"/>
                <w:color w:val="auto"/>
              </w:rPr>
              <w:t>TOTAL ASSETS</w:t>
            </w: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2,404,891</w:t>
            </w:r>
          </w:p>
        </w:tc>
        <w:tc>
          <w:tcPr>
            <w:tcW w:w="2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1,889,477</w:t>
            </w:r>
          </w:p>
        </w:tc>
        <w:tc>
          <w:tcPr>
            <w:tcW w:w="0" w:type="dxa"/>
            <w:vAlign w:val="bottom"/>
          </w:tcPr>
          <w:p>
            <w:pPr>
              <w:spacing w:after="0"/>
              <w:rPr>
                <w:sz w:val="1"/>
                <w:szCs w:val="1"/>
                <w:color w:val="auto"/>
              </w:rPr>
            </w:pPr>
          </w:p>
        </w:tc>
      </w:tr>
      <w:tr>
        <w:trPr>
          <w:trHeight w:val="129"/>
        </w:trPr>
        <w:tc>
          <w:tcPr>
            <w:tcW w:w="628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LIABILITIES AND SHAREHOLDERS’ EQUITY</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280" w:type="dxa"/>
            <w:vAlign w:val="bottom"/>
          </w:tcPr>
          <w:p>
            <w:pPr>
              <w:spacing w:after="0" w:line="149" w:lineRule="exact"/>
              <w:rPr>
                <w:sz w:val="20"/>
                <w:szCs w:val="20"/>
                <w:color w:val="auto"/>
              </w:rPr>
            </w:pPr>
            <w:r>
              <w:rPr>
                <w:rFonts w:ascii="Arial" w:cs="Arial" w:eastAsia="Arial" w:hAnsi="Arial"/>
                <w:sz w:val="14"/>
                <w:szCs w:val="14"/>
                <w:color w:val="auto"/>
              </w:rPr>
              <w:t>CURRENT LIABILITIES: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Accounts payable</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211,518</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142,479</w:t>
            </w:r>
          </w:p>
        </w:tc>
        <w:tc>
          <w:tcPr>
            <w:tcW w:w="0" w:type="dxa"/>
            <w:vAlign w:val="bottom"/>
          </w:tcPr>
          <w:p>
            <w:pPr>
              <w:spacing w:after="0"/>
              <w:rPr>
                <w:sz w:val="1"/>
                <w:szCs w:val="1"/>
                <w:color w:val="auto"/>
              </w:rPr>
            </w:pPr>
          </w:p>
        </w:tc>
      </w:tr>
      <w:tr>
        <w:trPr>
          <w:trHeight w:val="148"/>
        </w:trPr>
        <w:tc>
          <w:tcPr>
            <w:tcW w:w="6280" w:type="dxa"/>
            <w:vAlign w:val="bottom"/>
          </w:tcPr>
          <w:p>
            <w:pPr>
              <w:ind w:left="120"/>
              <w:spacing w:after="0" w:line="149" w:lineRule="exact"/>
              <w:rPr>
                <w:sz w:val="20"/>
                <w:szCs w:val="20"/>
                <w:color w:val="auto"/>
              </w:rPr>
            </w:pPr>
            <w:r>
              <w:rPr>
                <w:rFonts w:ascii="Arial" w:cs="Arial" w:eastAsia="Arial" w:hAnsi="Arial"/>
                <w:sz w:val="14"/>
                <w:szCs w:val="14"/>
                <w:color w:val="auto"/>
              </w:rPr>
              <w:t>Accrued liabilities: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8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Compensation and benefits</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166,478</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141,892</w:t>
            </w:r>
          </w:p>
        </w:tc>
        <w:tc>
          <w:tcPr>
            <w:tcW w:w="0" w:type="dxa"/>
            <w:vAlign w:val="bottom"/>
          </w:tcPr>
          <w:p>
            <w:pPr>
              <w:spacing w:after="0"/>
              <w:rPr>
                <w:sz w:val="1"/>
                <w:szCs w:val="1"/>
                <w:color w:val="auto"/>
              </w:rPr>
            </w:pPr>
          </w:p>
        </w:tc>
      </w:tr>
      <w:tr>
        <w:trPr>
          <w:trHeight w:val="149"/>
        </w:trPr>
        <w:tc>
          <w:tcPr>
            <w:tcW w:w="6280" w:type="dxa"/>
            <w:vAlign w:val="bottom"/>
          </w:tcPr>
          <w:p>
            <w:pPr>
              <w:ind w:left="320"/>
              <w:spacing w:after="0" w:line="149" w:lineRule="exact"/>
              <w:rPr>
                <w:sz w:val="20"/>
                <w:szCs w:val="20"/>
                <w:color w:val="auto"/>
              </w:rPr>
            </w:pPr>
            <w:r>
              <w:rPr>
                <w:rFonts w:ascii="Arial" w:cs="Arial" w:eastAsia="Arial" w:hAnsi="Arial"/>
                <w:sz w:val="14"/>
                <w:szCs w:val="14"/>
                <w:color w:val="auto"/>
              </w:rPr>
              <w:t>Other</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69,104</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51,572</w:t>
            </w:r>
          </w:p>
        </w:tc>
        <w:tc>
          <w:tcPr>
            <w:tcW w:w="0" w:type="dxa"/>
            <w:vAlign w:val="bottom"/>
          </w:tcPr>
          <w:p>
            <w:pPr>
              <w:spacing w:after="0"/>
              <w:rPr>
                <w:sz w:val="1"/>
                <w:szCs w:val="1"/>
                <w:color w:val="auto"/>
              </w:rPr>
            </w:pPr>
          </w:p>
        </w:tc>
      </w:tr>
      <w:tr>
        <w:trPr>
          <w:trHeight w:val="148"/>
        </w:trPr>
        <w:tc>
          <w:tcPr>
            <w:tcW w:w="62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Current portion of lease liability</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16,549</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15,283</w:t>
            </w:r>
          </w:p>
        </w:tc>
        <w:tc>
          <w:tcPr>
            <w:tcW w:w="0" w:type="dxa"/>
            <w:vAlign w:val="bottom"/>
          </w:tcPr>
          <w:p>
            <w:pPr>
              <w:spacing w:after="0"/>
              <w:rPr>
                <w:sz w:val="1"/>
                <w:szCs w:val="1"/>
                <w:color w:val="auto"/>
              </w:rPr>
            </w:pPr>
          </w:p>
        </w:tc>
      </w:tr>
      <w:tr>
        <w:trPr>
          <w:trHeight w:val="155"/>
        </w:trPr>
        <w:tc>
          <w:tcPr>
            <w:tcW w:w="6280" w:type="dxa"/>
            <w:vAlign w:val="bottom"/>
            <w:tcBorders>
              <w:bottom w:val="single" w:sz="8" w:color="CCEEFF"/>
            </w:tcBorders>
          </w:tcPr>
          <w:p>
            <w:pPr>
              <w:ind w:left="120"/>
              <w:spacing w:after="0" w:line="149" w:lineRule="exact"/>
              <w:rPr>
                <w:sz w:val="20"/>
                <w:szCs w:val="20"/>
                <w:color w:val="auto"/>
              </w:rPr>
            </w:pPr>
            <w:r>
              <w:rPr>
                <w:rFonts w:ascii="Arial" w:cs="Arial" w:eastAsia="Arial" w:hAnsi="Arial"/>
                <w:sz w:val="14"/>
                <w:szCs w:val="14"/>
                <w:color w:val="auto"/>
              </w:rPr>
              <w:t>Current portion of long-term debt</w:t>
            </w:r>
          </w:p>
        </w:tc>
        <w:tc>
          <w:tcPr>
            <w:tcW w:w="1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100</w:t>
            </w:r>
          </w:p>
        </w:tc>
        <w:tc>
          <w:tcPr>
            <w:tcW w:w="2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2,816</w:t>
            </w:r>
          </w:p>
        </w:tc>
        <w:tc>
          <w:tcPr>
            <w:tcW w:w="0" w:type="dxa"/>
            <w:vAlign w:val="bottom"/>
          </w:tcPr>
          <w:p>
            <w:pPr>
              <w:spacing w:after="0"/>
              <w:rPr>
                <w:sz w:val="1"/>
                <w:szCs w:val="1"/>
                <w:color w:val="auto"/>
              </w:rPr>
            </w:pPr>
          </w:p>
        </w:tc>
      </w:tr>
      <w:tr>
        <w:trPr>
          <w:trHeight w:val="149"/>
        </w:trPr>
        <w:tc>
          <w:tcPr>
            <w:tcW w:w="62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TOTAL CURRENT LIABILITIES</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463,749</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354,042</w:t>
            </w:r>
          </w:p>
        </w:tc>
        <w:tc>
          <w:tcPr>
            <w:tcW w:w="0" w:type="dxa"/>
            <w:vAlign w:val="bottom"/>
          </w:tcPr>
          <w:p>
            <w:pPr>
              <w:spacing w:after="0"/>
              <w:rPr>
                <w:sz w:val="1"/>
                <w:szCs w:val="1"/>
                <w:color w:val="auto"/>
              </w:rPr>
            </w:pPr>
          </w:p>
        </w:tc>
      </w:tr>
      <w:tr>
        <w:trPr>
          <w:trHeight w:val="148"/>
        </w:trPr>
        <w:tc>
          <w:tcPr>
            <w:tcW w:w="6280" w:type="dxa"/>
            <w:vAlign w:val="bottom"/>
          </w:tcPr>
          <w:p>
            <w:pPr>
              <w:spacing w:after="0" w:line="149" w:lineRule="exact"/>
              <w:rPr>
                <w:sz w:val="20"/>
                <w:szCs w:val="20"/>
                <w:color w:val="auto"/>
              </w:rPr>
            </w:pPr>
            <w:r>
              <w:rPr>
                <w:rFonts w:ascii="Arial" w:cs="Arial" w:eastAsia="Arial" w:hAnsi="Arial"/>
                <w:sz w:val="14"/>
                <w:szCs w:val="14"/>
                <w:color w:val="auto"/>
              </w:rPr>
              <w:t>LONG-TERM DEBT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311,607</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160,867</w:t>
            </w:r>
          </w:p>
        </w:tc>
        <w:tc>
          <w:tcPr>
            <w:tcW w:w="0" w:type="dxa"/>
            <w:vAlign w:val="bottom"/>
          </w:tcPr>
          <w:p>
            <w:pPr>
              <w:spacing w:after="0"/>
              <w:rPr>
                <w:sz w:val="1"/>
                <w:szCs w:val="1"/>
                <w:color w:val="auto"/>
              </w:rPr>
            </w:pPr>
          </w:p>
        </w:tc>
      </w:tr>
      <w:tr>
        <w:trPr>
          <w:trHeight w:val="148"/>
        </w:trPr>
        <w:tc>
          <w:tcPr>
            <w:tcW w:w="6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LEASE LIABILITY</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61,509</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64,884</w:t>
            </w:r>
          </w:p>
        </w:tc>
        <w:tc>
          <w:tcPr>
            <w:tcW w:w="0" w:type="dxa"/>
            <w:vAlign w:val="bottom"/>
          </w:tcPr>
          <w:p>
            <w:pPr>
              <w:spacing w:after="0"/>
              <w:rPr>
                <w:sz w:val="1"/>
                <w:szCs w:val="1"/>
                <w:color w:val="auto"/>
              </w:rPr>
            </w:pPr>
          </w:p>
        </w:tc>
      </w:tr>
      <w:tr>
        <w:trPr>
          <w:trHeight w:val="149"/>
        </w:trPr>
        <w:tc>
          <w:tcPr>
            <w:tcW w:w="6280" w:type="dxa"/>
            <w:vAlign w:val="bottom"/>
          </w:tcPr>
          <w:p>
            <w:pPr>
              <w:spacing w:after="0" w:line="149" w:lineRule="exact"/>
              <w:rPr>
                <w:sz w:val="20"/>
                <w:szCs w:val="20"/>
                <w:color w:val="auto"/>
              </w:rPr>
            </w:pPr>
            <w:r>
              <w:rPr>
                <w:rFonts w:ascii="Arial" w:cs="Arial" w:eastAsia="Arial" w:hAnsi="Arial"/>
                <w:sz w:val="14"/>
                <w:szCs w:val="14"/>
                <w:color w:val="auto"/>
              </w:rPr>
              <w:t>DEFERRED INCOME TAXES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25,266</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22,880</w:t>
            </w:r>
          </w:p>
        </w:tc>
        <w:tc>
          <w:tcPr>
            <w:tcW w:w="0" w:type="dxa"/>
            <w:vAlign w:val="bottom"/>
          </w:tcPr>
          <w:p>
            <w:pPr>
              <w:spacing w:after="0"/>
              <w:rPr>
                <w:sz w:val="1"/>
                <w:szCs w:val="1"/>
                <w:color w:val="auto"/>
              </w:rPr>
            </w:pPr>
          </w:p>
        </w:tc>
      </w:tr>
      <w:tr>
        <w:trPr>
          <w:trHeight w:val="168"/>
        </w:trPr>
        <w:tc>
          <w:tcPr>
            <w:tcW w:w="6280" w:type="dxa"/>
            <w:vAlign w:val="bottom"/>
            <w:tcBorders>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OTHER LIABILITIES</w:t>
            </w:r>
          </w:p>
        </w:tc>
        <w:tc>
          <w:tcPr>
            <w:tcW w:w="1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59,608</w:t>
            </w:r>
          </w:p>
        </w:tc>
        <w:tc>
          <w:tcPr>
            <w:tcW w:w="2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29,071</w:t>
            </w:r>
          </w:p>
        </w:tc>
        <w:tc>
          <w:tcPr>
            <w:tcW w:w="0" w:type="dxa"/>
            <w:vAlign w:val="bottom"/>
          </w:tcPr>
          <w:p>
            <w:pPr>
              <w:spacing w:after="0"/>
              <w:rPr>
                <w:sz w:val="1"/>
                <w:szCs w:val="1"/>
                <w:color w:val="auto"/>
              </w:rPr>
            </w:pPr>
          </w:p>
        </w:tc>
      </w:tr>
      <w:tr>
        <w:trPr>
          <w:trHeight w:val="135"/>
        </w:trPr>
        <w:tc>
          <w:tcPr>
            <w:tcW w:w="6280" w:type="dxa"/>
            <w:vAlign w:val="bottom"/>
          </w:tcPr>
          <w:p>
            <w:pPr>
              <w:ind w:left="440"/>
              <w:spacing w:after="0" w:line="135" w:lineRule="exact"/>
              <w:rPr>
                <w:sz w:val="20"/>
                <w:szCs w:val="20"/>
                <w:color w:val="auto"/>
              </w:rPr>
            </w:pPr>
            <w:r>
              <w:rPr>
                <w:rFonts w:ascii="Arial" w:cs="Arial" w:eastAsia="Arial" w:hAnsi="Arial"/>
                <w:sz w:val="14"/>
                <w:szCs w:val="14"/>
                <w:color w:val="auto"/>
              </w:rPr>
              <w:t>TOTAL LIABILITIES</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Arial" w:cs="Arial" w:eastAsia="Arial" w:hAnsi="Arial"/>
                <w:sz w:val="14"/>
                <w:szCs w:val="14"/>
                <w:color w:val="auto"/>
              </w:rPr>
              <w:t>921,739</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jc w:val="right"/>
              <w:spacing w:after="0" w:line="135" w:lineRule="exact"/>
              <w:rPr>
                <w:sz w:val="20"/>
                <w:szCs w:val="20"/>
                <w:color w:val="auto"/>
              </w:rPr>
            </w:pPr>
            <w:r>
              <w:rPr>
                <w:rFonts w:ascii="Arial" w:cs="Arial" w:eastAsia="Arial" w:hAnsi="Arial"/>
                <w:sz w:val="14"/>
                <w:szCs w:val="14"/>
                <w:color w:val="auto"/>
              </w:rPr>
              <w:t>631,744</w:t>
            </w:r>
          </w:p>
        </w:tc>
        <w:tc>
          <w:tcPr>
            <w:tcW w:w="0" w:type="dxa"/>
            <w:vAlign w:val="bottom"/>
          </w:tcPr>
          <w:p>
            <w:pPr>
              <w:spacing w:after="0"/>
              <w:rPr>
                <w:sz w:val="1"/>
                <w:szCs w:val="1"/>
                <w:color w:val="auto"/>
              </w:rPr>
            </w:pPr>
          </w:p>
        </w:tc>
      </w:tr>
      <w:tr>
        <w:trPr>
          <w:trHeight w:val="149"/>
        </w:trPr>
        <w:tc>
          <w:tcPr>
            <w:tcW w:w="6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SHAREHOLDERS’ EQUITY:</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80" w:type="dxa"/>
            <w:vAlign w:val="bottom"/>
          </w:tcPr>
          <w:p>
            <w:pPr>
              <w:ind w:left="120"/>
              <w:spacing w:after="0" w:line="149" w:lineRule="exact"/>
              <w:rPr>
                <w:sz w:val="20"/>
                <w:szCs w:val="20"/>
                <w:color w:val="auto"/>
              </w:rPr>
            </w:pPr>
            <w:r>
              <w:rPr>
                <w:rFonts w:ascii="Arial" w:cs="Arial" w:eastAsia="Arial" w:hAnsi="Arial"/>
                <w:sz w:val="14"/>
                <w:szCs w:val="14"/>
                <w:color w:val="auto"/>
              </w:rPr>
              <w:t>Controlling interest shareholders’ equity:</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8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Preferred stock, no par value; shares authorized 1,000,000; issued and outstanding, none</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6280" w:type="dxa"/>
            <w:vAlign w:val="bottom"/>
          </w:tcPr>
          <w:p>
            <w:pPr>
              <w:ind w:left="320"/>
              <w:spacing w:after="0" w:line="130" w:lineRule="exact"/>
              <w:rPr>
                <w:sz w:val="20"/>
                <w:szCs w:val="20"/>
                <w:color w:val="auto"/>
              </w:rPr>
            </w:pPr>
            <w:r>
              <w:rPr>
                <w:rFonts w:ascii="Arial" w:cs="Arial" w:eastAsia="Arial" w:hAnsi="Arial"/>
                <w:sz w:val="14"/>
                <w:szCs w:val="14"/>
                <w:color w:val="auto"/>
                <w:w w:val="94"/>
              </w:rPr>
              <w:t>Common stock, $1 par value; shares authorized 80,000,000; issued and outstanding, 61,205,780 and</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6280" w:type="dxa"/>
            <w:vAlign w:val="bottom"/>
          </w:tcPr>
          <w:p>
            <w:pPr>
              <w:ind w:left="320"/>
              <w:spacing w:after="0"/>
              <w:rPr>
                <w:sz w:val="20"/>
                <w:szCs w:val="20"/>
                <w:color w:val="auto"/>
              </w:rPr>
            </w:pPr>
            <w:r>
              <w:rPr>
                <w:rFonts w:ascii="Arial" w:cs="Arial" w:eastAsia="Arial" w:hAnsi="Arial"/>
                <w:sz w:val="14"/>
                <w:szCs w:val="14"/>
                <w:color w:val="auto"/>
              </w:rPr>
              <w:t>61,408,589</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61,206</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61,409</w:t>
            </w:r>
          </w:p>
        </w:tc>
        <w:tc>
          <w:tcPr>
            <w:tcW w:w="0" w:type="dxa"/>
            <w:vAlign w:val="bottom"/>
          </w:tcPr>
          <w:p>
            <w:pPr>
              <w:spacing w:after="0"/>
              <w:rPr>
                <w:sz w:val="1"/>
                <w:szCs w:val="1"/>
                <w:color w:val="auto"/>
              </w:rPr>
            </w:pPr>
          </w:p>
        </w:tc>
      </w:tr>
      <w:tr>
        <w:trPr>
          <w:trHeight w:val="149"/>
        </w:trPr>
        <w:tc>
          <w:tcPr>
            <w:tcW w:w="628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Additional paid-in capital</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218,224</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192,173</w:t>
            </w:r>
          </w:p>
        </w:tc>
        <w:tc>
          <w:tcPr>
            <w:tcW w:w="0" w:type="dxa"/>
            <w:vAlign w:val="bottom"/>
          </w:tcPr>
          <w:p>
            <w:pPr>
              <w:spacing w:after="0"/>
              <w:rPr>
                <w:sz w:val="1"/>
                <w:szCs w:val="1"/>
                <w:color w:val="auto"/>
              </w:rPr>
            </w:pPr>
          </w:p>
        </w:tc>
      </w:tr>
      <w:tr>
        <w:trPr>
          <w:trHeight w:val="148"/>
        </w:trPr>
        <w:tc>
          <w:tcPr>
            <w:tcW w:w="6280" w:type="dxa"/>
            <w:vAlign w:val="bottom"/>
          </w:tcPr>
          <w:p>
            <w:pPr>
              <w:ind w:left="320"/>
              <w:spacing w:after="0" w:line="149" w:lineRule="exact"/>
              <w:rPr>
                <w:sz w:val="20"/>
                <w:szCs w:val="20"/>
                <w:color w:val="auto"/>
              </w:rPr>
            </w:pPr>
            <w:r>
              <w:rPr>
                <w:rFonts w:ascii="Arial" w:cs="Arial" w:eastAsia="Arial" w:hAnsi="Arial"/>
                <w:sz w:val="14"/>
                <w:szCs w:val="14"/>
                <w:color w:val="auto"/>
              </w:rPr>
              <w:t>Retained earnings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1,182,680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995,022</w:t>
            </w:r>
          </w:p>
        </w:tc>
        <w:tc>
          <w:tcPr>
            <w:tcW w:w="0" w:type="dxa"/>
            <w:vAlign w:val="bottom"/>
          </w:tcPr>
          <w:p>
            <w:pPr>
              <w:spacing w:after="0"/>
              <w:rPr>
                <w:sz w:val="1"/>
                <w:szCs w:val="1"/>
                <w:color w:val="auto"/>
              </w:rPr>
            </w:pPr>
          </w:p>
        </w:tc>
      </w:tr>
      <w:tr>
        <w:trPr>
          <w:trHeight w:val="168"/>
        </w:trPr>
        <w:tc>
          <w:tcPr>
            <w:tcW w:w="628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Accumulated other comprehensive loss</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(1,794)</w:t>
            </w: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(4,889)</w:t>
            </w:r>
          </w:p>
        </w:tc>
        <w:tc>
          <w:tcPr>
            <w:tcW w:w="0" w:type="dxa"/>
            <w:vAlign w:val="bottom"/>
          </w:tcPr>
          <w:p>
            <w:pPr>
              <w:spacing w:after="0"/>
              <w:rPr>
                <w:sz w:val="1"/>
                <w:szCs w:val="1"/>
                <w:color w:val="auto"/>
              </w:rPr>
            </w:pPr>
          </w:p>
        </w:tc>
      </w:tr>
      <w:tr>
        <w:trPr>
          <w:trHeight w:val="135"/>
        </w:trPr>
        <w:tc>
          <w:tcPr>
            <w:tcW w:w="6280" w:type="dxa"/>
            <w:vAlign w:val="bottom"/>
            <w:tcBorders>
              <w:top w:val="single" w:sz="8" w:color="CCEEFF"/>
            </w:tcBorders>
          </w:tcPr>
          <w:p>
            <w:pPr>
              <w:ind w:left="440"/>
              <w:spacing w:after="0" w:line="135" w:lineRule="exact"/>
              <w:rPr>
                <w:sz w:val="20"/>
                <w:szCs w:val="20"/>
                <w:color w:val="auto"/>
              </w:rPr>
            </w:pPr>
            <w:r>
              <w:rPr>
                <w:rFonts w:ascii="Arial" w:cs="Arial" w:eastAsia="Arial" w:hAnsi="Arial"/>
                <w:sz w:val="14"/>
                <w:szCs w:val="14"/>
                <w:color w:val="auto"/>
              </w:rPr>
              <w:t>Total controlling interest shareholders’ equity</w:t>
            </w:r>
          </w:p>
        </w:tc>
        <w:tc>
          <w:tcPr>
            <w:tcW w:w="180" w:type="dxa"/>
            <w:vAlign w:val="bottom"/>
            <w:tcBorders>
              <w:top w:val="single" w:sz="8" w:color="CCEE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4"/>
                <w:szCs w:val="14"/>
                <w:color w:val="auto"/>
              </w:rPr>
              <w:t>1,460,316</w:t>
            </w:r>
          </w:p>
        </w:tc>
        <w:tc>
          <w:tcPr>
            <w:tcW w:w="220" w:type="dxa"/>
            <w:vAlign w:val="bottom"/>
            <w:tcBorders>
              <w:top w:val="single" w:sz="8" w:color="CCEEFF"/>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4"/>
                <w:szCs w:val="14"/>
                <w:color w:val="auto"/>
              </w:rPr>
              <w:t>1,243,715</w:t>
            </w:r>
          </w:p>
        </w:tc>
        <w:tc>
          <w:tcPr>
            <w:tcW w:w="0" w:type="dxa"/>
            <w:vAlign w:val="bottom"/>
          </w:tcPr>
          <w:p>
            <w:pPr>
              <w:spacing w:after="0"/>
              <w:rPr>
                <w:sz w:val="1"/>
                <w:szCs w:val="1"/>
                <w:color w:val="auto"/>
              </w:rPr>
            </w:pPr>
          </w:p>
        </w:tc>
      </w:tr>
      <w:tr>
        <w:trPr>
          <w:trHeight w:val="169"/>
        </w:trPr>
        <w:tc>
          <w:tcPr>
            <w:tcW w:w="6280" w:type="dxa"/>
            <w:vAlign w:val="bottom"/>
            <w:tcBorders>
              <w:bottom w:val="single" w:sz="8" w:color="CCEEFF"/>
            </w:tcBorders>
            <w:shd w:val="clear" w:color="auto" w:fill="CCEEFF"/>
          </w:tcPr>
          <w:p>
            <w:pPr>
              <w:ind w:left="120"/>
              <w:spacing w:after="0" w:line="149" w:lineRule="exact"/>
              <w:rPr>
                <w:sz w:val="20"/>
                <w:szCs w:val="20"/>
                <w:color w:val="auto"/>
              </w:rPr>
            </w:pPr>
            <w:r>
              <w:rPr>
                <w:rFonts w:ascii="Arial" w:cs="Arial" w:eastAsia="Arial" w:hAnsi="Arial"/>
                <w:sz w:val="14"/>
                <w:szCs w:val="14"/>
                <w:color w:val="auto"/>
              </w:rPr>
              <w:t>Noncontrolling interest</w:t>
            </w:r>
          </w:p>
        </w:tc>
        <w:tc>
          <w:tcPr>
            <w:tcW w:w="1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22,836</w:t>
            </w:r>
          </w:p>
        </w:tc>
        <w:tc>
          <w:tcPr>
            <w:tcW w:w="2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14,018</w:t>
            </w:r>
          </w:p>
        </w:tc>
        <w:tc>
          <w:tcPr>
            <w:tcW w:w="0" w:type="dxa"/>
            <w:vAlign w:val="bottom"/>
          </w:tcPr>
          <w:p>
            <w:pPr>
              <w:spacing w:after="0"/>
              <w:rPr>
                <w:sz w:val="1"/>
                <w:szCs w:val="1"/>
                <w:color w:val="auto"/>
              </w:rPr>
            </w:pPr>
          </w:p>
        </w:tc>
      </w:tr>
      <w:tr>
        <w:trPr>
          <w:trHeight w:val="143"/>
        </w:trPr>
        <w:tc>
          <w:tcPr>
            <w:tcW w:w="6280" w:type="dxa"/>
            <w:vAlign w:val="bottom"/>
            <w:tcBorders>
              <w:bottom w:val="single" w:sz="8" w:color="CCEEFF"/>
            </w:tcBorders>
          </w:tcPr>
          <w:p>
            <w:pPr>
              <w:ind w:left="440"/>
              <w:spacing w:after="0" w:line="135" w:lineRule="exact"/>
              <w:rPr>
                <w:sz w:val="20"/>
                <w:szCs w:val="20"/>
                <w:color w:val="auto"/>
              </w:rPr>
            </w:pPr>
            <w:r>
              <w:rPr>
                <w:rFonts w:ascii="Arial" w:cs="Arial" w:eastAsia="Arial" w:hAnsi="Arial"/>
                <w:sz w:val="14"/>
                <w:szCs w:val="14"/>
                <w:color w:val="auto"/>
              </w:rPr>
              <w:t>TOTAL SHAREHOLDERS’ EQUITY</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1,483,152</w:t>
            </w:r>
          </w:p>
        </w:tc>
        <w:tc>
          <w:tcPr>
            <w:tcW w:w="2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1,257,733</w:t>
            </w:r>
          </w:p>
        </w:tc>
        <w:tc>
          <w:tcPr>
            <w:tcW w:w="0" w:type="dxa"/>
            <w:vAlign w:val="bottom"/>
          </w:tcPr>
          <w:p>
            <w:pPr>
              <w:spacing w:after="0"/>
              <w:rPr>
                <w:sz w:val="1"/>
                <w:szCs w:val="1"/>
                <w:color w:val="auto"/>
              </w:rPr>
            </w:pPr>
          </w:p>
        </w:tc>
      </w:tr>
      <w:tr>
        <w:trPr>
          <w:trHeight w:val="148"/>
        </w:trPr>
        <w:tc>
          <w:tcPr>
            <w:tcW w:w="6280" w:type="dxa"/>
            <w:vAlign w:val="bottom"/>
            <w:tcBorders>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TOTAL LIABILITIES AND SHAREHOLDERS’ EQUITY</w:t>
            </w:r>
          </w:p>
        </w:tc>
        <w:tc>
          <w:tcPr>
            <w:tcW w:w="1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2,404,891</w:t>
            </w:r>
          </w:p>
        </w:tc>
        <w:tc>
          <w:tcPr>
            <w:tcW w:w="2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1,889,477</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8" w:name="page99"/>
    <w:bookmarkEnd w:id="9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UFP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EARNINGS AND COMPREHENSIVE INCOME</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(in thousands, except per share data)</w:t>
      </w:r>
    </w:p>
    <w:tbl>
      <w:tblPr>
        <w:tblLayout w:type="fixed"/>
        <w:tblInd w:w="60" w:type="dxa"/>
        <w:tblCellMar>
          <w:top w:w="0" w:type="dxa"/>
          <w:left w:w="0" w:type="dxa"/>
          <w:bottom w:w="0" w:type="dxa"/>
          <w:right w:w="0" w:type="dxa"/>
        </w:tblCellMar>
      </w:tblPr>
      <w:tr>
        <w:trPr>
          <w:trHeight w:val="166"/>
        </w:trPr>
        <w:tc>
          <w:tcPr>
            <w:tcW w:w="5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b w:val="1"/>
                <w:bCs w:val="1"/>
                <w:color w:val="auto"/>
                <w:w w:val="93"/>
              </w:rPr>
              <w:t>Year Ended</w:t>
            </w: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5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80" w:type="dxa"/>
            <w:vAlign w:val="bottom"/>
            <w:gridSpan w:val="2"/>
          </w:tcPr>
          <w:p>
            <w:pPr>
              <w:jc w:val="right"/>
              <w:spacing w:after="0" w:line="126" w:lineRule="exact"/>
              <w:rPr>
                <w:sz w:val="20"/>
                <w:szCs w:val="20"/>
                <w:color w:val="auto"/>
              </w:rPr>
            </w:pPr>
            <w:r>
              <w:rPr>
                <w:rFonts w:ascii="Arial" w:cs="Arial" w:eastAsia="Arial" w:hAnsi="Arial"/>
                <w:sz w:val="14"/>
                <w:szCs w:val="14"/>
                <w:b w:val="1"/>
                <w:bCs w:val="1"/>
                <w:color w:val="auto"/>
                <w:w w:val="96"/>
              </w:rPr>
              <w:t>December 26,</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jc w:val="center"/>
              <w:ind w:right="12"/>
              <w:spacing w:after="0" w:line="126" w:lineRule="exact"/>
              <w:rPr>
                <w:sz w:val="20"/>
                <w:szCs w:val="20"/>
                <w:color w:val="auto"/>
              </w:rPr>
            </w:pPr>
            <w:r>
              <w:rPr>
                <w:rFonts w:ascii="Arial" w:cs="Arial" w:eastAsia="Arial" w:hAnsi="Arial"/>
                <w:sz w:val="14"/>
                <w:szCs w:val="14"/>
                <w:b w:val="1"/>
                <w:bCs w:val="1"/>
                <w:color w:val="auto"/>
                <w:w w:val="90"/>
              </w:rPr>
              <w:t>December 28,</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jc w:val="right"/>
              <w:ind w:right="12"/>
              <w:spacing w:after="0" w:line="126" w:lineRule="exact"/>
              <w:rPr>
                <w:sz w:val="20"/>
                <w:szCs w:val="20"/>
                <w:color w:val="auto"/>
              </w:rPr>
            </w:pPr>
            <w:r>
              <w:rPr>
                <w:rFonts w:ascii="Arial" w:cs="Arial" w:eastAsia="Arial" w:hAnsi="Arial"/>
                <w:sz w:val="14"/>
                <w:szCs w:val="14"/>
                <w:b w:val="1"/>
                <w:bCs w:val="1"/>
                <w:color w:val="auto"/>
                <w:w w:val="90"/>
              </w:rPr>
              <w:t>December 29,</w:t>
            </w:r>
          </w:p>
        </w:tc>
        <w:tc>
          <w:tcPr>
            <w:tcW w:w="0" w:type="dxa"/>
            <w:vAlign w:val="bottom"/>
          </w:tcPr>
          <w:p>
            <w:pPr>
              <w:spacing w:after="0"/>
              <w:rPr>
                <w:sz w:val="1"/>
                <w:szCs w:val="1"/>
                <w:color w:val="auto"/>
              </w:rPr>
            </w:pPr>
          </w:p>
        </w:tc>
      </w:tr>
      <w:tr>
        <w:trPr>
          <w:trHeight w:val="178"/>
        </w:trPr>
        <w:tc>
          <w:tcPr>
            <w:tcW w:w="5120" w:type="dxa"/>
            <w:vAlign w:val="bottom"/>
            <w:tcBorders>
              <w:bottom w:val="single" w:sz="8" w:color="CCEEFF"/>
            </w:tcBorders>
          </w:tcPr>
          <w:p>
            <w:pPr>
              <w:spacing w:after="0"/>
              <w:rPr>
                <w:sz w:val="15"/>
                <w:szCs w:val="15"/>
                <w:color w:val="auto"/>
              </w:rPr>
            </w:pPr>
          </w:p>
        </w:tc>
        <w:tc>
          <w:tcPr>
            <w:tcW w:w="4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96"/>
              </w:rPr>
              <w:t>2019</w:t>
            </w: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6"/>
                <w:szCs w:val="16"/>
                <w:color w:val="auto"/>
              </w:rPr>
              <w:t>NET SALES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5,153,998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4,416,009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4,489,180</w:t>
            </w:r>
          </w:p>
        </w:tc>
        <w:tc>
          <w:tcPr>
            <w:tcW w:w="0" w:type="dxa"/>
            <w:vAlign w:val="bottom"/>
          </w:tcPr>
          <w:p>
            <w:pPr>
              <w:spacing w:after="0"/>
              <w:rPr>
                <w:sz w:val="1"/>
                <w:szCs w:val="1"/>
                <w:color w:val="auto"/>
              </w:rPr>
            </w:pPr>
          </w:p>
        </w:tc>
      </w:tr>
      <w:tr>
        <w:trPr>
          <w:trHeight w:val="223"/>
        </w:trPr>
        <w:tc>
          <w:tcPr>
            <w:tcW w:w="51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COST OF GOODS SOLD</w:t>
            </w:r>
          </w:p>
        </w:tc>
        <w:tc>
          <w:tcPr>
            <w:tcW w:w="4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4,353,702</w:t>
            </w:r>
          </w:p>
        </w:tc>
        <w:tc>
          <w:tcPr>
            <w:tcW w:w="18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3,730,491</w:t>
            </w:r>
          </w:p>
        </w:tc>
        <w:tc>
          <w:tcPr>
            <w:tcW w:w="16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3,896,286</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6"/>
                <w:szCs w:val="16"/>
                <w:color w:val="auto"/>
              </w:rPr>
              <w:t>GROSS PROFIT</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800,296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685,518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592,894</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6"/>
                <w:szCs w:val="16"/>
                <w:color w:val="auto"/>
              </w:rPr>
              <w:t>SELLING, GENERAL AND ADMINISTRATIVE EXPENSES</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444,596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439,047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392,235</w:t>
            </w:r>
          </w:p>
        </w:tc>
        <w:tc>
          <w:tcPr>
            <w:tcW w:w="0" w:type="dxa"/>
            <w:vAlign w:val="bottom"/>
          </w:tcPr>
          <w:p>
            <w:pPr>
              <w:spacing w:after="0"/>
              <w:rPr>
                <w:sz w:val="1"/>
                <w:szCs w:val="1"/>
                <w:color w:val="auto"/>
              </w:rPr>
            </w:pPr>
          </w:p>
        </w:tc>
      </w:tr>
      <w:tr>
        <w:trPr>
          <w:trHeight w:val="236"/>
        </w:trPr>
        <w:tc>
          <w:tcPr>
            <w:tcW w:w="5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ASSET IMPAIRMENT CHARGES AND OTHER COSTS, NET</w:t>
            </w:r>
          </w:p>
        </w:tc>
        <w:tc>
          <w:tcPr>
            <w:tcW w:w="4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9,874</w:t>
            </w:r>
          </w:p>
        </w:tc>
        <w:tc>
          <w:tcPr>
            <w:tcW w:w="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1,565</w:t>
            </w:r>
          </w:p>
        </w:tc>
        <w:tc>
          <w:tcPr>
            <w:tcW w:w="1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(6,604)</w:t>
            </w:r>
          </w:p>
        </w:tc>
        <w:tc>
          <w:tcPr>
            <w:tcW w:w="0" w:type="dxa"/>
            <w:vAlign w:val="bottom"/>
          </w:tcPr>
          <w:p>
            <w:pPr>
              <w:spacing w:after="0"/>
              <w:rPr>
                <w:sz w:val="1"/>
                <w:szCs w:val="1"/>
                <w:color w:val="auto"/>
              </w:rPr>
            </w:pPr>
          </w:p>
        </w:tc>
      </w:tr>
      <w:tr>
        <w:trPr>
          <w:trHeight w:val="203"/>
        </w:trPr>
        <w:tc>
          <w:tcPr>
            <w:tcW w:w="5120" w:type="dxa"/>
            <w:vAlign w:val="bottom"/>
          </w:tcPr>
          <w:p>
            <w:pPr>
              <w:spacing w:after="0"/>
              <w:rPr>
                <w:sz w:val="20"/>
                <w:szCs w:val="20"/>
                <w:color w:val="auto"/>
              </w:rPr>
            </w:pPr>
            <w:r>
              <w:rPr>
                <w:rFonts w:ascii="Arial" w:cs="Arial" w:eastAsia="Arial" w:hAnsi="Arial"/>
                <w:sz w:val="16"/>
                <w:szCs w:val="16"/>
                <w:color w:val="auto"/>
              </w:rPr>
              <w:t>EARNINGS FROM OPERATIONS</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345,826</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244,906</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Arial" w:cs="Arial" w:eastAsia="Arial" w:hAnsi="Arial"/>
                <w:sz w:val="18"/>
                <w:szCs w:val="18"/>
                <w:color w:val="auto"/>
              </w:rPr>
              <w:t>207,263</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6"/>
                <w:szCs w:val="16"/>
                <w:color w:val="auto"/>
              </w:rPr>
              <w:t>INTEREST EXPENSE</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8,893</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6"/>
                <w:szCs w:val="16"/>
                <w:color w:val="auto"/>
              </w:rPr>
              <w:t>INTEREST INCOME</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(2,392)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(1,945)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(1,371)</w:t>
            </w:r>
          </w:p>
        </w:tc>
        <w:tc>
          <w:tcPr>
            <w:tcW w:w="0" w:type="dxa"/>
            <w:vAlign w:val="bottom"/>
          </w:tcPr>
          <w:p>
            <w:pPr>
              <w:spacing w:after="0"/>
              <w:rPr>
                <w:sz w:val="1"/>
                <w:szCs w:val="1"/>
                <w:color w:val="auto"/>
              </w:rPr>
            </w:pPr>
          </w:p>
        </w:tc>
      </w:tr>
      <w:tr>
        <w:trPr>
          <w:trHeight w:val="223"/>
        </w:trPr>
        <w:tc>
          <w:tcPr>
            <w:tcW w:w="5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UNREALIZED (GAIN) LOSS ON INVESTMENTS AND OTHER</w:t>
            </w:r>
          </w:p>
        </w:tc>
        <w:tc>
          <w:tcPr>
            <w:tcW w:w="4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(2,076)</w:t>
            </w:r>
          </w:p>
        </w:tc>
        <w:tc>
          <w:tcPr>
            <w:tcW w:w="1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(2,523)</w:t>
            </w:r>
          </w:p>
        </w:tc>
        <w:tc>
          <w:tcPr>
            <w:tcW w:w="1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1,888</w:t>
            </w:r>
          </w:p>
        </w:tc>
        <w:tc>
          <w:tcPr>
            <w:tcW w:w="0" w:type="dxa"/>
            <w:vAlign w:val="bottom"/>
          </w:tcPr>
          <w:p>
            <w:pPr>
              <w:spacing w:after="0"/>
              <w:rPr>
                <w:sz w:val="1"/>
                <w:szCs w:val="1"/>
                <w:color w:val="auto"/>
              </w:rPr>
            </w:pPr>
          </w:p>
        </w:tc>
      </w:tr>
      <w:tr>
        <w:trPr>
          <w:trHeight w:val="223"/>
        </w:trPr>
        <w:tc>
          <w:tcPr>
            <w:tcW w:w="512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4,843</w:t>
            </w:r>
          </w:p>
        </w:tc>
        <w:tc>
          <w:tcPr>
            <w:tcW w:w="18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4,232</w:t>
            </w:r>
          </w:p>
        </w:tc>
        <w:tc>
          <w:tcPr>
            <w:tcW w:w="16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9,410</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6"/>
                <w:szCs w:val="16"/>
                <w:color w:val="auto"/>
              </w:rPr>
              <w:t>EARNINGS BEFORE INCOME TAXES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340,983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240,674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197,853</w:t>
            </w:r>
          </w:p>
        </w:tc>
        <w:tc>
          <w:tcPr>
            <w:tcW w:w="0" w:type="dxa"/>
            <w:vAlign w:val="bottom"/>
          </w:tcPr>
          <w:p>
            <w:pPr>
              <w:spacing w:after="0"/>
              <w:rPr>
                <w:sz w:val="1"/>
                <w:szCs w:val="1"/>
                <w:color w:val="auto"/>
              </w:rPr>
            </w:pPr>
          </w:p>
        </w:tc>
      </w:tr>
      <w:tr>
        <w:trPr>
          <w:trHeight w:val="223"/>
        </w:trPr>
        <w:tc>
          <w:tcPr>
            <w:tcW w:w="51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INCOME TAXES</w:t>
            </w:r>
          </w:p>
        </w:tc>
        <w:tc>
          <w:tcPr>
            <w:tcW w:w="4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87,101</w:t>
            </w:r>
          </w:p>
        </w:tc>
        <w:tc>
          <w:tcPr>
            <w:tcW w:w="18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58,270</w:t>
            </w:r>
          </w:p>
        </w:tc>
        <w:tc>
          <w:tcPr>
            <w:tcW w:w="16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45,441</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6"/>
                <w:szCs w:val="16"/>
                <w:color w:val="auto"/>
              </w:rPr>
              <w:t>NET EARNINGS</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253,882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182,404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152,412</w:t>
            </w:r>
          </w:p>
        </w:tc>
        <w:tc>
          <w:tcPr>
            <w:tcW w:w="0" w:type="dxa"/>
            <w:vAlign w:val="bottom"/>
          </w:tcPr>
          <w:p>
            <w:pPr>
              <w:spacing w:after="0"/>
              <w:rPr>
                <w:sz w:val="1"/>
                <w:szCs w:val="1"/>
                <w:color w:val="auto"/>
              </w:rPr>
            </w:pPr>
          </w:p>
        </w:tc>
      </w:tr>
      <w:tr>
        <w:trPr>
          <w:trHeight w:val="193"/>
        </w:trPr>
        <w:tc>
          <w:tcPr>
            <w:tcW w:w="5120" w:type="dxa"/>
            <w:vAlign w:val="bottom"/>
          </w:tcPr>
          <w:p>
            <w:pPr>
              <w:spacing w:after="0"/>
              <w:rPr>
                <w:sz w:val="20"/>
                <w:szCs w:val="20"/>
                <w:color w:val="auto"/>
              </w:rPr>
            </w:pPr>
            <w:r>
              <w:rPr>
                <w:rFonts w:ascii="Arial" w:cs="Arial" w:eastAsia="Arial" w:hAnsi="Arial"/>
                <w:sz w:val="16"/>
                <w:szCs w:val="16"/>
                <w:color w:val="auto"/>
              </w:rPr>
              <w:t>LESS NET EARNINGS ATTRIBUTABLE TO NONCONTROLLING</w:t>
            </w: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(7,104)</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(2,754)</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(3,814)</w:t>
            </w:r>
          </w:p>
        </w:tc>
        <w:tc>
          <w:tcPr>
            <w:tcW w:w="0" w:type="dxa"/>
            <w:vAlign w:val="bottom"/>
          </w:tcPr>
          <w:p>
            <w:pPr>
              <w:spacing w:after="0"/>
              <w:rPr>
                <w:sz w:val="1"/>
                <w:szCs w:val="1"/>
                <w:color w:val="auto"/>
              </w:rPr>
            </w:pPr>
          </w:p>
        </w:tc>
      </w:tr>
      <w:tr>
        <w:trPr>
          <w:trHeight w:val="206"/>
        </w:trPr>
        <w:tc>
          <w:tcPr>
            <w:tcW w:w="51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INTEREST</w:t>
            </w:r>
          </w:p>
        </w:tc>
        <w:tc>
          <w:tcPr>
            <w:tcW w:w="4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EARNINGS ATTRIBUTABLE TO CONTROLLING INTEREST</w:t>
            </w:r>
          </w:p>
        </w:tc>
        <w:tc>
          <w:tcPr>
            <w:tcW w:w="4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246,778</w:t>
            </w: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179,650</w:t>
            </w: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148,598</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6"/>
                <w:szCs w:val="16"/>
                <w:color w:val="auto"/>
              </w:rPr>
              <w:t>EARNINGS PER SHARE – BASIC</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6"/>
                <w:szCs w:val="16"/>
                <w:color w:val="auto"/>
              </w:rPr>
              <w:t>EARNINGS PER SHARE – DILUTED</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2.91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120" w:type="dxa"/>
            <w:vAlign w:val="bottom"/>
          </w:tcPr>
          <w:p>
            <w:pPr>
              <w:spacing w:after="0"/>
              <w:rPr>
                <w:sz w:val="20"/>
                <w:szCs w:val="20"/>
                <w:color w:val="auto"/>
              </w:rPr>
            </w:pPr>
            <w:r>
              <w:rPr>
                <w:rFonts w:ascii="Arial" w:cs="Arial" w:eastAsia="Arial" w:hAnsi="Arial"/>
                <w:sz w:val="16"/>
                <w:szCs w:val="16"/>
                <w:color w:val="auto"/>
              </w:rPr>
              <w:t>OTHER COMPREHENSIVE INCOME:</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20" w:type="dxa"/>
            <w:vAlign w:val="bottom"/>
            <w:shd w:val="clear" w:color="auto" w:fill="CCEEFF"/>
          </w:tcPr>
          <w:p>
            <w:pPr>
              <w:spacing w:after="0"/>
              <w:rPr>
                <w:sz w:val="20"/>
                <w:szCs w:val="20"/>
                <w:color w:val="auto"/>
              </w:rPr>
            </w:pPr>
            <w:r>
              <w:rPr>
                <w:rFonts w:ascii="Arial" w:cs="Arial" w:eastAsia="Arial" w:hAnsi="Arial"/>
                <w:sz w:val="16"/>
                <w:szCs w:val="16"/>
                <w:color w:val="auto"/>
              </w:rPr>
              <w:t>NET EARNINGS</w:t>
            </w: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253,882</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182,404</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152,412</w:t>
            </w:r>
          </w:p>
        </w:tc>
        <w:tc>
          <w:tcPr>
            <w:tcW w:w="0" w:type="dxa"/>
            <w:vAlign w:val="bottom"/>
          </w:tcPr>
          <w:p>
            <w:pPr>
              <w:spacing w:after="0"/>
              <w:rPr>
                <w:sz w:val="1"/>
                <w:szCs w:val="1"/>
                <w:color w:val="auto"/>
              </w:rPr>
            </w:pPr>
          </w:p>
        </w:tc>
      </w:tr>
      <w:tr>
        <w:trPr>
          <w:trHeight w:val="223"/>
        </w:trPr>
        <w:tc>
          <w:tcPr>
            <w:tcW w:w="51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 COMPREHENSIVE GAIN (LOSS)</w:t>
            </w:r>
          </w:p>
        </w:tc>
        <w:tc>
          <w:tcPr>
            <w:tcW w:w="4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5,967</w:t>
            </w:r>
          </w:p>
        </w:tc>
        <w:tc>
          <w:tcPr>
            <w:tcW w:w="18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1,513</w:t>
            </w:r>
          </w:p>
        </w:tc>
        <w:tc>
          <w:tcPr>
            <w:tcW w:w="16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(5,076)</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6"/>
                <w:szCs w:val="16"/>
                <w:color w:val="auto"/>
              </w:rPr>
              <w:t>COMPREHENSIVE INCOME</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259,849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183,917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147,336</w:t>
            </w:r>
          </w:p>
        </w:tc>
        <w:tc>
          <w:tcPr>
            <w:tcW w:w="0" w:type="dxa"/>
            <w:vAlign w:val="bottom"/>
          </w:tcPr>
          <w:p>
            <w:pPr>
              <w:spacing w:after="0"/>
              <w:rPr>
                <w:sz w:val="1"/>
                <w:szCs w:val="1"/>
                <w:color w:val="auto"/>
              </w:rPr>
            </w:pPr>
          </w:p>
        </w:tc>
      </w:tr>
      <w:tr>
        <w:trPr>
          <w:trHeight w:val="193"/>
        </w:trPr>
        <w:tc>
          <w:tcPr>
            <w:tcW w:w="5120" w:type="dxa"/>
            <w:vAlign w:val="bottom"/>
          </w:tcPr>
          <w:p>
            <w:pPr>
              <w:spacing w:after="0"/>
              <w:rPr>
                <w:sz w:val="20"/>
                <w:szCs w:val="20"/>
                <w:color w:val="auto"/>
              </w:rPr>
            </w:pPr>
            <w:r>
              <w:rPr>
                <w:rFonts w:ascii="Arial" w:cs="Arial" w:eastAsia="Arial" w:hAnsi="Arial"/>
                <w:sz w:val="16"/>
                <w:szCs w:val="16"/>
                <w:color w:val="auto"/>
              </w:rPr>
              <w:t>LESS COMPREHENSIVE INCOME ATTRIBUTABLE TO</w:t>
            </w: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(9,976)</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(3,218)</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(3,873)</w:t>
            </w:r>
          </w:p>
        </w:tc>
        <w:tc>
          <w:tcPr>
            <w:tcW w:w="0" w:type="dxa"/>
            <w:vAlign w:val="bottom"/>
          </w:tcPr>
          <w:p>
            <w:pPr>
              <w:spacing w:after="0"/>
              <w:rPr>
                <w:sz w:val="1"/>
                <w:szCs w:val="1"/>
                <w:color w:val="auto"/>
              </w:rPr>
            </w:pPr>
          </w:p>
        </w:tc>
      </w:tr>
      <w:tr>
        <w:trPr>
          <w:trHeight w:val="206"/>
        </w:trPr>
        <w:tc>
          <w:tcPr>
            <w:tcW w:w="51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NONCONTROLLING INTEREST</w:t>
            </w:r>
          </w:p>
        </w:tc>
        <w:tc>
          <w:tcPr>
            <w:tcW w:w="4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5120" w:type="dxa"/>
            <w:vAlign w:val="bottom"/>
            <w:shd w:val="clear" w:color="auto" w:fill="CCEEFF"/>
          </w:tcPr>
          <w:p>
            <w:pPr>
              <w:spacing w:after="0" w:line="179" w:lineRule="exact"/>
              <w:rPr>
                <w:sz w:val="20"/>
                <w:szCs w:val="20"/>
                <w:color w:val="auto"/>
              </w:rPr>
            </w:pPr>
            <w:r>
              <w:rPr>
                <w:rFonts w:ascii="Arial" w:cs="Arial" w:eastAsia="Arial" w:hAnsi="Arial"/>
                <w:sz w:val="16"/>
                <w:szCs w:val="16"/>
                <w:color w:val="auto"/>
              </w:rPr>
              <w:t>COMPREHENSIVE INCOME ATTRIBUTABLE TO CONTROLLING</w:t>
            </w:r>
          </w:p>
        </w:tc>
        <w:tc>
          <w:tcPr>
            <w:tcW w:w="5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249,873</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180,699</w:t>
            </w: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143,463</w:t>
            </w:r>
          </w:p>
        </w:tc>
        <w:tc>
          <w:tcPr>
            <w:tcW w:w="0" w:type="dxa"/>
            <w:vAlign w:val="bottom"/>
          </w:tcPr>
          <w:p>
            <w:pPr>
              <w:spacing w:after="0"/>
              <w:rPr>
                <w:sz w:val="1"/>
                <w:szCs w:val="1"/>
                <w:color w:val="auto"/>
              </w:rPr>
            </w:pPr>
          </w:p>
        </w:tc>
      </w:tr>
      <w:tr>
        <w:trPr>
          <w:trHeight w:val="199"/>
        </w:trPr>
        <w:tc>
          <w:tcPr>
            <w:tcW w:w="5120" w:type="dxa"/>
            <w:vAlign w:val="bottom"/>
            <w:shd w:val="clear" w:color="auto" w:fill="CCEEFF"/>
          </w:tcPr>
          <w:p>
            <w:pPr>
              <w:spacing w:after="0"/>
              <w:rPr>
                <w:sz w:val="20"/>
                <w:szCs w:val="20"/>
                <w:color w:val="auto"/>
              </w:rPr>
            </w:pPr>
            <w:r>
              <w:rPr>
                <w:rFonts w:ascii="Arial" w:cs="Arial" w:eastAsia="Arial" w:hAnsi="Arial"/>
                <w:sz w:val="16"/>
                <w:szCs w:val="16"/>
                <w:color w:val="auto"/>
              </w:rPr>
              <w:t>INTEREST</w:t>
            </w:r>
          </w:p>
        </w:tc>
        <w:tc>
          <w:tcPr>
            <w:tcW w:w="580" w:type="dxa"/>
            <w:vAlign w:val="bottom"/>
            <w:gridSpan w:val="2"/>
            <w:vMerge w:val="continue"/>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260" w:type="dxa"/>
            <w:vAlign w:val="bottom"/>
            <w:gridSpan w:val="2"/>
            <w:vMerge w:val="continue"/>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240" w:type="dxa"/>
            <w:vAlign w:val="bottom"/>
            <w:gridSpan w:val="2"/>
            <w:vMerge w:val="continue"/>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9" w:name="page100"/>
    <w:bookmarkEnd w:id="9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UFP INDUSTRIES,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283"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(in thousands, except share and per share data)</w:t>
      </w:r>
    </w:p>
    <w:tbl>
      <w:tblPr>
        <w:tblLayout w:type="fixed"/>
        <w:tblInd w:w="40" w:type="dxa"/>
        <w:tblCellMar>
          <w:top w:w="0" w:type="dxa"/>
          <w:left w:w="0" w:type="dxa"/>
          <w:bottom w:w="0" w:type="dxa"/>
          <w:right w:w="0" w:type="dxa"/>
        </w:tblCellMar>
      </w:tblPr>
      <w:tr>
        <w:trPr>
          <w:trHeight w:val="166"/>
        </w:trPr>
        <w:tc>
          <w:tcPr>
            <w:tcW w:w="3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240" w:type="dxa"/>
            <w:vAlign w:val="bottom"/>
            <w:tcBorders>
              <w:bottom w:val="single" w:sz="8" w:color="auto"/>
            </w:tcBorders>
            <w:gridSpan w:val="10"/>
          </w:tcPr>
          <w:p>
            <w:pPr>
              <w:ind w:left="20"/>
              <w:spacing w:after="0" w:line="159" w:lineRule="exact"/>
              <w:rPr>
                <w:sz w:val="20"/>
                <w:szCs w:val="20"/>
                <w:color w:val="auto"/>
              </w:rPr>
            </w:pPr>
            <w:r>
              <w:rPr>
                <w:rFonts w:ascii="Arial" w:cs="Arial" w:eastAsia="Arial" w:hAnsi="Arial"/>
                <w:sz w:val="14"/>
                <w:szCs w:val="14"/>
                <w:b w:val="1"/>
                <w:bCs w:val="1"/>
                <w:color w:val="auto"/>
              </w:rPr>
              <w:t>Controlling Interest Shareholders’ Equity</w:t>
            </w: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3"/>
              </w:rPr>
              <w:t>Additional</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tcPr>
          <w:p>
            <w:pPr>
              <w:jc w:val="center"/>
              <w:ind w:right="220"/>
              <w:spacing w:after="0" w:line="126" w:lineRule="exact"/>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360" w:type="dxa"/>
            <w:vAlign w:val="bottom"/>
          </w:tcPr>
          <w:p>
            <w:pPr>
              <w:spacing w:after="0"/>
              <w:rPr>
                <w:sz w:val="12"/>
                <w:szCs w:val="12"/>
                <w:color w:val="auto"/>
              </w:rPr>
            </w:pPr>
          </w:p>
        </w:tc>
        <w:tc>
          <w:tcPr>
            <w:tcW w:w="80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w w:val="98"/>
              </w:rPr>
              <w:t>Common</w:t>
            </w:r>
          </w:p>
        </w:tc>
        <w:tc>
          <w:tcPr>
            <w:tcW w:w="6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Retained</w:t>
            </w:r>
          </w:p>
        </w:tc>
        <w:tc>
          <w:tcPr>
            <w:tcW w:w="8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Other</w:t>
            </w:r>
          </w:p>
        </w:tc>
        <w:tc>
          <w:tcPr>
            <w:tcW w:w="1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Noncontrolling</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6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98"/>
              </w:rPr>
              <w:t>Paid-In</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1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Comprehensive</w:t>
            </w:r>
          </w:p>
        </w:tc>
        <w:tc>
          <w:tcPr>
            <w:tcW w:w="10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3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4"/>
              </w:rPr>
              <w:t>Stock</w:t>
            </w:r>
          </w:p>
        </w:tc>
        <w:tc>
          <w:tcPr>
            <w:tcW w:w="100" w:type="dxa"/>
            <w:vAlign w:val="bottom"/>
          </w:tcPr>
          <w:p>
            <w:pPr>
              <w:spacing w:after="0"/>
              <w:rPr>
                <w:sz w:val="15"/>
                <w:szCs w:val="15"/>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4"/>
              </w:rPr>
              <w:t>Capital</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80" w:type="dxa"/>
            <w:vAlign w:val="bottom"/>
          </w:tcPr>
          <w:p>
            <w:pPr>
              <w:spacing w:after="0"/>
              <w:rPr>
                <w:sz w:val="15"/>
                <w:szCs w:val="15"/>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Earnings</w:t>
            </w:r>
          </w:p>
        </w:tc>
        <w:tc>
          <w:tcPr>
            <w:tcW w:w="160" w:type="dxa"/>
            <w:vAlign w:val="bottom"/>
          </w:tcPr>
          <w:p>
            <w:pPr>
              <w:spacing w:after="0"/>
              <w:rPr>
                <w:sz w:val="15"/>
                <w:szCs w:val="15"/>
                <w:color w:val="auto"/>
              </w:rPr>
            </w:pPr>
          </w:p>
        </w:tc>
        <w:tc>
          <w:tcPr>
            <w:tcW w:w="920" w:type="dxa"/>
            <w:vAlign w:val="bottom"/>
            <w:gridSpan w:val="2"/>
          </w:tcPr>
          <w:p>
            <w:pPr>
              <w:ind w:left="80"/>
              <w:spacing w:after="0"/>
              <w:rPr>
                <w:sz w:val="20"/>
                <w:szCs w:val="20"/>
                <w:color w:val="auto"/>
              </w:rPr>
            </w:pPr>
            <w:r>
              <w:rPr>
                <w:rFonts w:ascii="Arial" w:cs="Arial" w:eastAsia="Arial" w:hAnsi="Arial"/>
                <w:sz w:val="14"/>
                <w:szCs w:val="14"/>
                <w:b w:val="1"/>
                <w:bCs w:val="1"/>
                <w:color w:val="auto"/>
              </w:rPr>
              <w:t>Interest</w:t>
            </w:r>
          </w:p>
        </w:tc>
        <w:tc>
          <w:tcPr>
            <w:tcW w:w="14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360" w:type="dxa"/>
            <w:vAlign w:val="bottom"/>
            <w:tcBorders>
              <w:top w:val="single" w:sz="8" w:color="CCEEFF"/>
            </w:tcBorders>
            <w:shd w:val="clear" w:color="auto" w:fill="CCEEFF"/>
          </w:tcPr>
          <w:p>
            <w:pPr>
              <w:ind w:left="20"/>
              <w:spacing w:after="0" w:line="149" w:lineRule="exact"/>
              <w:rPr>
                <w:sz w:val="20"/>
                <w:szCs w:val="20"/>
                <w:color w:val="auto"/>
              </w:rPr>
            </w:pPr>
            <w:r>
              <w:rPr>
                <w:rFonts w:ascii="Arial" w:cs="Arial" w:eastAsia="Arial" w:hAnsi="Arial"/>
                <w:sz w:val="14"/>
                <w:szCs w:val="14"/>
                <w:b w:val="1"/>
                <w:bCs w:val="1"/>
                <w:color w:val="auto"/>
              </w:rPr>
              <w:t>Balance at December 30, 2017</w:t>
            </w:r>
          </w:p>
        </w:tc>
        <w:tc>
          <w:tcPr>
            <w:tcW w:w="1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5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61,192</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5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8"/>
              </w:rPr>
              <w:t>161,928</w:t>
            </w: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6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736,212</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76"/>
              </w:rPr>
              <w:t>$</w:t>
            </w:r>
          </w:p>
        </w:tc>
        <w:tc>
          <w:tcPr>
            <w:tcW w:w="9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144</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14,547</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6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974,023</w:t>
            </w:r>
          </w:p>
        </w:tc>
        <w:tc>
          <w:tcPr>
            <w:tcW w:w="0" w:type="dxa"/>
            <w:vAlign w:val="bottom"/>
          </w:tcPr>
          <w:p>
            <w:pPr>
              <w:spacing w:after="0"/>
              <w:rPr>
                <w:sz w:val="1"/>
                <w:szCs w:val="1"/>
                <w:color w:val="auto"/>
              </w:rPr>
            </w:pPr>
          </w:p>
        </w:tc>
      </w:tr>
      <w:tr>
        <w:trPr>
          <w:trHeight w:val="148"/>
        </w:trPr>
        <w:tc>
          <w:tcPr>
            <w:tcW w:w="3360" w:type="dxa"/>
            <w:vAlign w:val="bottom"/>
          </w:tcPr>
          <w:p>
            <w:pPr>
              <w:ind w:left="20"/>
              <w:spacing w:after="0" w:line="149" w:lineRule="exact"/>
              <w:rPr>
                <w:sz w:val="20"/>
                <w:szCs w:val="20"/>
                <w:color w:val="auto"/>
              </w:rPr>
            </w:pPr>
            <w:r>
              <w:rPr>
                <w:rFonts w:ascii="Arial" w:cs="Arial" w:eastAsia="Arial" w:hAnsi="Arial"/>
                <w:sz w:val="14"/>
                <w:szCs w:val="14"/>
                <w:color w:val="auto"/>
              </w:rPr>
              <w:t>Net earnings</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148,598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3,814</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152,412</w:t>
            </w:r>
          </w:p>
        </w:tc>
        <w:tc>
          <w:tcPr>
            <w:tcW w:w="0" w:type="dxa"/>
            <w:vAlign w:val="bottom"/>
          </w:tcPr>
          <w:p>
            <w:pPr>
              <w:spacing w:after="0"/>
              <w:rPr>
                <w:sz w:val="1"/>
                <w:szCs w:val="1"/>
                <w:color w:val="auto"/>
              </w:rPr>
            </w:pPr>
          </w:p>
        </w:tc>
      </w:tr>
      <w:tr>
        <w:trPr>
          <w:trHeight w:val="148"/>
        </w:trPr>
        <w:tc>
          <w:tcPr>
            <w:tcW w:w="33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Foreign currency translation adjustment</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(4,973)</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(4,914)</w:t>
            </w:r>
          </w:p>
        </w:tc>
        <w:tc>
          <w:tcPr>
            <w:tcW w:w="0" w:type="dxa"/>
            <w:vAlign w:val="bottom"/>
          </w:tcPr>
          <w:p>
            <w:pPr>
              <w:spacing w:after="0"/>
              <w:rPr>
                <w:sz w:val="1"/>
                <w:szCs w:val="1"/>
                <w:color w:val="auto"/>
              </w:rPr>
            </w:pPr>
          </w:p>
        </w:tc>
      </w:tr>
      <w:tr>
        <w:trPr>
          <w:trHeight w:val="130"/>
        </w:trPr>
        <w:tc>
          <w:tcPr>
            <w:tcW w:w="3360" w:type="dxa"/>
            <w:vAlign w:val="bottom"/>
          </w:tcPr>
          <w:p>
            <w:pPr>
              <w:ind w:left="20"/>
              <w:spacing w:after="0" w:line="130" w:lineRule="exact"/>
              <w:rPr>
                <w:sz w:val="20"/>
                <w:szCs w:val="20"/>
                <w:color w:val="auto"/>
              </w:rPr>
            </w:pPr>
            <w:r>
              <w:rPr>
                <w:rFonts w:ascii="Arial" w:cs="Arial" w:eastAsia="Arial" w:hAnsi="Arial"/>
                <w:sz w:val="14"/>
                <w:szCs w:val="14"/>
                <w:color w:val="auto"/>
              </w:rPr>
              <w:t>Unrealized gain (loss) on investment &amp; foreign</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360" w:type="dxa"/>
            <w:vAlign w:val="bottom"/>
          </w:tcPr>
          <w:p>
            <w:pPr>
              <w:ind w:left="20"/>
              <w:spacing w:after="0"/>
              <w:rPr>
                <w:sz w:val="20"/>
                <w:szCs w:val="20"/>
                <w:color w:val="auto"/>
              </w:rPr>
            </w:pPr>
            <w:r>
              <w:rPr>
                <w:rFonts w:ascii="Arial" w:cs="Arial" w:eastAsia="Arial" w:hAnsi="Arial"/>
                <w:sz w:val="14"/>
                <w:szCs w:val="14"/>
                <w:color w:val="auto"/>
              </w:rPr>
              <w:t>currency</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947</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(1,109)</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(162)</w:t>
            </w:r>
          </w:p>
        </w:tc>
        <w:tc>
          <w:tcPr>
            <w:tcW w:w="0" w:type="dxa"/>
            <w:vAlign w:val="bottom"/>
          </w:tcPr>
          <w:p>
            <w:pPr>
              <w:spacing w:after="0"/>
              <w:rPr>
                <w:sz w:val="1"/>
                <w:szCs w:val="1"/>
                <w:color w:val="auto"/>
              </w:rPr>
            </w:pPr>
          </w:p>
        </w:tc>
      </w:tr>
      <w:tr>
        <w:trPr>
          <w:trHeight w:val="149"/>
        </w:trPr>
        <w:tc>
          <w:tcPr>
            <w:tcW w:w="33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Distributions to noncontrolling interest</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(3,139)</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(3,139)</w:t>
            </w:r>
          </w:p>
        </w:tc>
        <w:tc>
          <w:tcPr>
            <w:tcW w:w="0" w:type="dxa"/>
            <w:vAlign w:val="bottom"/>
          </w:tcPr>
          <w:p>
            <w:pPr>
              <w:spacing w:after="0"/>
              <w:rPr>
                <w:sz w:val="1"/>
                <w:szCs w:val="1"/>
                <w:color w:val="auto"/>
              </w:rPr>
            </w:pPr>
          </w:p>
        </w:tc>
      </w:tr>
      <w:tr>
        <w:trPr>
          <w:trHeight w:val="148"/>
        </w:trPr>
        <w:tc>
          <w:tcPr>
            <w:tcW w:w="3360" w:type="dxa"/>
            <w:vAlign w:val="bottom"/>
          </w:tcPr>
          <w:p>
            <w:pPr>
              <w:ind w:left="20"/>
              <w:spacing w:after="0" w:line="149" w:lineRule="exact"/>
              <w:rPr>
                <w:sz w:val="20"/>
                <w:szCs w:val="20"/>
                <w:color w:val="auto"/>
              </w:rPr>
            </w:pPr>
            <w:r>
              <w:rPr>
                <w:rFonts w:ascii="Arial" w:cs="Arial" w:eastAsia="Arial" w:hAnsi="Arial"/>
                <w:sz w:val="14"/>
                <w:szCs w:val="14"/>
                <w:color w:val="auto"/>
              </w:rPr>
              <w:t>Cash dividends - $0.180 per share – semiannually</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(22,072)</w:t>
            </w: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(22,072)</w:t>
            </w:r>
          </w:p>
        </w:tc>
        <w:tc>
          <w:tcPr>
            <w:tcW w:w="0" w:type="dxa"/>
            <w:vAlign w:val="bottom"/>
          </w:tcPr>
          <w:p>
            <w:pPr>
              <w:spacing w:after="0"/>
              <w:rPr>
                <w:sz w:val="1"/>
                <w:szCs w:val="1"/>
                <w:color w:val="auto"/>
              </w:rPr>
            </w:pPr>
          </w:p>
        </w:tc>
      </w:tr>
      <w:tr>
        <w:trPr>
          <w:trHeight w:val="148"/>
        </w:trPr>
        <w:tc>
          <w:tcPr>
            <w:tcW w:w="33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w w:val="96"/>
              </w:rPr>
              <w:t>Issuance of 37,794 shares under employee stock plans</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988</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1,026</w:t>
            </w:r>
          </w:p>
        </w:tc>
        <w:tc>
          <w:tcPr>
            <w:tcW w:w="0" w:type="dxa"/>
            <w:vAlign w:val="bottom"/>
          </w:tcPr>
          <w:p>
            <w:pPr>
              <w:spacing w:after="0"/>
              <w:rPr>
                <w:sz w:val="1"/>
                <w:szCs w:val="1"/>
                <w:color w:val="auto"/>
              </w:rPr>
            </w:pPr>
          </w:p>
        </w:tc>
      </w:tr>
      <w:tr>
        <w:trPr>
          <w:trHeight w:val="148"/>
        </w:trPr>
        <w:tc>
          <w:tcPr>
            <w:tcW w:w="3360" w:type="dxa"/>
            <w:vAlign w:val="bottom"/>
          </w:tcPr>
          <w:p>
            <w:pPr>
              <w:ind w:left="20"/>
              <w:spacing w:after="0" w:line="149" w:lineRule="exact"/>
              <w:rPr>
                <w:sz w:val="20"/>
                <w:szCs w:val="20"/>
                <w:color w:val="auto"/>
              </w:rPr>
            </w:pPr>
            <w:r>
              <w:rPr>
                <w:rFonts w:ascii="Arial" w:cs="Arial" w:eastAsia="Arial" w:hAnsi="Arial"/>
                <w:sz w:val="14"/>
                <w:szCs w:val="14"/>
                <w:color w:val="auto"/>
                <w:w w:val="95"/>
              </w:rPr>
              <w:t>Issuance of 348,208 shares under stock grant programs</w:t>
            </w: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348</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4,827</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5,175</w:t>
            </w:r>
          </w:p>
        </w:tc>
        <w:tc>
          <w:tcPr>
            <w:tcW w:w="0" w:type="dxa"/>
            <w:vAlign w:val="bottom"/>
          </w:tcPr>
          <w:p>
            <w:pPr>
              <w:spacing w:after="0"/>
              <w:rPr>
                <w:sz w:val="1"/>
                <w:szCs w:val="1"/>
                <w:color w:val="auto"/>
              </w:rPr>
            </w:pPr>
          </w:p>
        </w:tc>
      </w:tr>
      <w:tr>
        <w:trPr>
          <w:trHeight w:val="130"/>
        </w:trPr>
        <w:tc>
          <w:tcPr>
            <w:tcW w:w="336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Issuance of 166,528 shares under deferred</w:t>
            </w: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compensation plans</w:t>
            </w: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(167)</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360" w:type="dxa"/>
            <w:vAlign w:val="bottom"/>
          </w:tcPr>
          <w:p>
            <w:pPr>
              <w:ind w:left="20"/>
              <w:spacing w:after="0" w:line="149" w:lineRule="exact"/>
              <w:rPr>
                <w:sz w:val="20"/>
                <w:szCs w:val="20"/>
                <w:color w:val="auto"/>
              </w:rPr>
            </w:pPr>
            <w:r>
              <w:rPr>
                <w:rFonts w:ascii="Arial" w:cs="Arial" w:eastAsia="Arial" w:hAnsi="Arial"/>
                <w:sz w:val="14"/>
                <w:szCs w:val="14"/>
                <w:color w:val="auto"/>
              </w:rPr>
              <w:t>Repurchase of 860,669 shares</w:t>
            </w:r>
          </w:p>
        </w:tc>
        <w:tc>
          <w:tcPr>
            <w:tcW w:w="12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(861)</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(23,768)</w:t>
            </w: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(24,629)</w:t>
            </w:r>
          </w:p>
        </w:tc>
        <w:tc>
          <w:tcPr>
            <w:tcW w:w="0" w:type="dxa"/>
            <w:vAlign w:val="bottom"/>
          </w:tcPr>
          <w:p>
            <w:pPr>
              <w:spacing w:after="0"/>
              <w:rPr>
                <w:sz w:val="1"/>
                <w:szCs w:val="1"/>
                <w:color w:val="auto"/>
              </w:rPr>
            </w:pPr>
          </w:p>
        </w:tc>
      </w:tr>
      <w:tr>
        <w:trPr>
          <w:trHeight w:val="130"/>
        </w:trPr>
        <w:tc>
          <w:tcPr>
            <w:tcW w:w="336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Expense associated with share-based compensation</w:t>
            </w: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arrangements</w:t>
            </w: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3,379</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3,379</w:t>
            </w:r>
          </w:p>
        </w:tc>
        <w:tc>
          <w:tcPr>
            <w:tcW w:w="0" w:type="dxa"/>
            <w:vAlign w:val="bottom"/>
          </w:tcPr>
          <w:p>
            <w:pPr>
              <w:spacing w:after="0"/>
              <w:rPr>
                <w:sz w:val="1"/>
                <w:szCs w:val="1"/>
                <w:color w:val="auto"/>
              </w:rPr>
            </w:pPr>
          </w:p>
        </w:tc>
      </w:tr>
      <w:tr>
        <w:trPr>
          <w:trHeight w:val="156"/>
        </w:trPr>
        <w:tc>
          <w:tcPr>
            <w:tcW w:w="3360" w:type="dxa"/>
            <w:vAlign w:val="bottom"/>
            <w:tcBorders>
              <w:bottom w:val="single" w:sz="8" w:color="CCEEFF"/>
            </w:tcBorders>
          </w:tcPr>
          <w:p>
            <w:pPr>
              <w:ind w:left="20"/>
              <w:spacing w:after="0" w:line="149" w:lineRule="exact"/>
              <w:rPr>
                <w:sz w:val="20"/>
                <w:szCs w:val="20"/>
                <w:color w:val="auto"/>
              </w:rPr>
            </w:pPr>
            <w:r>
              <w:rPr>
                <w:rFonts w:ascii="Arial" w:cs="Arial" w:eastAsia="Arial" w:hAnsi="Arial"/>
                <w:sz w:val="14"/>
                <w:szCs w:val="14"/>
                <w:color w:val="auto"/>
                <w:w w:val="99"/>
              </w:rPr>
              <w:t>Accrued expense under deferred compensation plans</w:t>
            </w: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7,585</w:t>
            </w:r>
          </w:p>
        </w:tc>
        <w:tc>
          <w:tcPr>
            <w:tcW w:w="2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7,585</w:t>
            </w:r>
          </w:p>
        </w:tc>
        <w:tc>
          <w:tcPr>
            <w:tcW w:w="0" w:type="dxa"/>
            <w:vAlign w:val="bottom"/>
          </w:tcPr>
          <w:p>
            <w:pPr>
              <w:spacing w:after="0"/>
              <w:rPr>
                <w:sz w:val="1"/>
                <w:szCs w:val="1"/>
                <w:color w:val="auto"/>
              </w:rPr>
            </w:pPr>
          </w:p>
        </w:tc>
      </w:tr>
      <w:tr>
        <w:trPr>
          <w:trHeight w:val="148"/>
        </w:trPr>
        <w:tc>
          <w:tcPr>
            <w:tcW w:w="33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b w:val="1"/>
                <w:bCs w:val="1"/>
                <w:color w:val="auto"/>
              </w:rPr>
              <w:t>Balance at December 29, 2018</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60,884</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8"/>
              </w:rPr>
              <w:t>178,540</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839,917</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76"/>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(5,938)</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15,281</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9"/>
              </w:rPr>
              <w:t>1,088,684</w:t>
            </w:r>
          </w:p>
        </w:tc>
        <w:tc>
          <w:tcPr>
            <w:tcW w:w="0" w:type="dxa"/>
            <w:vAlign w:val="bottom"/>
          </w:tcPr>
          <w:p>
            <w:pPr>
              <w:spacing w:after="0"/>
              <w:rPr>
                <w:sz w:val="1"/>
                <w:szCs w:val="1"/>
                <w:color w:val="auto"/>
              </w:rPr>
            </w:pPr>
          </w:p>
        </w:tc>
      </w:tr>
      <w:tr>
        <w:trPr>
          <w:trHeight w:val="148"/>
        </w:trPr>
        <w:tc>
          <w:tcPr>
            <w:tcW w:w="3360" w:type="dxa"/>
            <w:vAlign w:val="bottom"/>
          </w:tcPr>
          <w:p>
            <w:pPr>
              <w:ind w:left="20"/>
              <w:spacing w:after="0" w:line="149" w:lineRule="exact"/>
              <w:rPr>
                <w:sz w:val="20"/>
                <w:szCs w:val="20"/>
                <w:color w:val="auto"/>
              </w:rPr>
            </w:pPr>
            <w:r>
              <w:rPr>
                <w:rFonts w:ascii="Arial" w:cs="Arial" w:eastAsia="Arial" w:hAnsi="Arial"/>
                <w:sz w:val="14"/>
                <w:szCs w:val="14"/>
                <w:color w:val="auto"/>
              </w:rPr>
              <w:t>Net earnings</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179,650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2,754</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182,404</w:t>
            </w:r>
          </w:p>
        </w:tc>
        <w:tc>
          <w:tcPr>
            <w:tcW w:w="0" w:type="dxa"/>
            <w:vAlign w:val="bottom"/>
          </w:tcPr>
          <w:p>
            <w:pPr>
              <w:spacing w:after="0"/>
              <w:rPr>
                <w:sz w:val="1"/>
                <w:szCs w:val="1"/>
                <w:color w:val="auto"/>
              </w:rPr>
            </w:pPr>
          </w:p>
        </w:tc>
      </w:tr>
      <w:tr>
        <w:trPr>
          <w:trHeight w:val="148"/>
        </w:trPr>
        <w:tc>
          <w:tcPr>
            <w:tcW w:w="33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Foreign currency translation adjustment</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568</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464</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1,032</w:t>
            </w:r>
          </w:p>
        </w:tc>
        <w:tc>
          <w:tcPr>
            <w:tcW w:w="0" w:type="dxa"/>
            <w:vAlign w:val="bottom"/>
          </w:tcPr>
          <w:p>
            <w:pPr>
              <w:spacing w:after="0"/>
              <w:rPr>
                <w:sz w:val="1"/>
                <w:szCs w:val="1"/>
                <w:color w:val="auto"/>
              </w:rPr>
            </w:pPr>
          </w:p>
        </w:tc>
      </w:tr>
      <w:tr>
        <w:trPr>
          <w:trHeight w:val="148"/>
        </w:trPr>
        <w:tc>
          <w:tcPr>
            <w:tcW w:w="3360" w:type="dxa"/>
            <w:vAlign w:val="bottom"/>
          </w:tcPr>
          <w:p>
            <w:pPr>
              <w:ind w:left="20"/>
              <w:spacing w:after="0" w:line="149" w:lineRule="exact"/>
              <w:rPr>
                <w:sz w:val="20"/>
                <w:szCs w:val="20"/>
                <w:color w:val="auto"/>
              </w:rPr>
            </w:pPr>
            <w:r>
              <w:rPr>
                <w:rFonts w:ascii="Arial" w:cs="Arial" w:eastAsia="Arial" w:hAnsi="Arial"/>
                <w:sz w:val="14"/>
                <w:szCs w:val="14"/>
                <w:color w:val="auto"/>
              </w:rPr>
              <w:t>Unrealized gain on debt securities</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481</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481</w:t>
            </w:r>
          </w:p>
        </w:tc>
        <w:tc>
          <w:tcPr>
            <w:tcW w:w="0" w:type="dxa"/>
            <w:vAlign w:val="bottom"/>
          </w:tcPr>
          <w:p>
            <w:pPr>
              <w:spacing w:after="0"/>
              <w:rPr>
                <w:sz w:val="1"/>
                <w:szCs w:val="1"/>
                <w:color w:val="auto"/>
              </w:rPr>
            </w:pPr>
          </w:p>
        </w:tc>
      </w:tr>
      <w:tr>
        <w:trPr>
          <w:trHeight w:val="149"/>
        </w:trPr>
        <w:tc>
          <w:tcPr>
            <w:tcW w:w="33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Distributions to noncontrolling interest</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(2,143)</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(2,143)</w:t>
            </w:r>
          </w:p>
        </w:tc>
        <w:tc>
          <w:tcPr>
            <w:tcW w:w="0" w:type="dxa"/>
            <w:vAlign w:val="bottom"/>
          </w:tcPr>
          <w:p>
            <w:pPr>
              <w:spacing w:after="0"/>
              <w:rPr>
                <w:sz w:val="1"/>
                <w:szCs w:val="1"/>
                <w:color w:val="auto"/>
              </w:rPr>
            </w:pPr>
          </w:p>
        </w:tc>
      </w:tr>
      <w:tr>
        <w:trPr>
          <w:trHeight w:val="148"/>
        </w:trPr>
        <w:tc>
          <w:tcPr>
            <w:tcW w:w="3360" w:type="dxa"/>
            <w:vAlign w:val="bottom"/>
          </w:tcPr>
          <w:p>
            <w:pPr>
              <w:ind w:left="20"/>
              <w:spacing w:after="0" w:line="149" w:lineRule="exact"/>
              <w:rPr>
                <w:sz w:val="20"/>
                <w:szCs w:val="20"/>
                <w:color w:val="auto"/>
              </w:rPr>
            </w:pPr>
            <w:r>
              <w:rPr>
                <w:rFonts w:ascii="Arial" w:cs="Arial" w:eastAsia="Arial" w:hAnsi="Arial"/>
                <w:sz w:val="14"/>
                <w:szCs w:val="14"/>
                <w:color w:val="auto"/>
              </w:rPr>
              <w:t>Additional purchase of noncontrolling interest</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(4,737)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(2,338)</w:t>
            </w: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(7,075)</w:t>
            </w:r>
          </w:p>
        </w:tc>
        <w:tc>
          <w:tcPr>
            <w:tcW w:w="0" w:type="dxa"/>
            <w:vAlign w:val="bottom"/>
          </w:tcPr>
          <w:p>
            <w:pPr>
              <w:spacing w:after="0"/>
              <w:rPr>
                <w:sz w:val="1"/>
                <w:szCs w:val="1"/>
                <w:color w:val="auto"/>
              </w:rPr>
            </w:pPr>
          </w:p>
        </w:tc>
      </w:tr>
      <w:tr>
        <w:trPr>
          <w:trHeight w:val="148"/>
        </w:trPr>
        <w:tc>
          <w:tcPr>
            <w:tcW w:w="33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Cash dividends - $0.200 per share – semiannually</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(24,549)</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(24,549)</w:t>
            </w:r>
          </w:p>
        </w:tc>
        <w:tc>
          <w:tcPr>
            <w:tcW w:w="0" w:type="dxa"/>
            <w:vAlign w:val="bottom"/>
          </w:tcPr>
          <w:p>
            <w:pPr>
              <w:spacing w:after="0"/>
              <w:rPr>
                <w:sz w:val="1"/>
                <w:szCs w:val="1"/>
                <w:color w:val="auto"/>
              </w:rPr>
            </w:pPr>
          </w:p>
        </w:tc>
      </w:tr>
      <w:tr>
        <w:trPr>
          <w:trHeight w:val="148"/>
        </w:trPr>
        <w:tc>
          <w:tcPr>
            <w:tcW w:w="3360" w:type="dxa"/>
            <w:vAlign w:val="bottom"/>
          </w:tcPr>
          <w:p>
            <w:pPr>
              <w:ind w:left="20"/>
              <w:spacing w:after="0" w:line="149" w:lineRule="exact"/>
              <w:rPr>
                <w:sz w:val="20"/>
                <w:szCs w:val="20"/>
                <w:color w:val="auto"/>
              </w:rPr>
            </w:pPr>
            <w:r>
              <w:rPr>
                <w:rFonts w:ascii="Arial" w:cs="Arial" w:eastAsia="Arial" w:hAnsi="Arial"/>
                <w:sz w:val="14"/>
                <w:szCs w:val="14"/>
                <w:color w:val="auto"/>
                <w:w w:val="96"/>
              </w:rPr>
              <w:t>Issuance of 33,647 shares under employee stock plans</w:t>
            </w: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1,059</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1,093</w:t>
            </w:r>
          </w:p>
        </w:tc>
        <w:tc>
          <w:tcPr>
            <w:tcW w:w="0" w:type="dxa"/>
            <w:vAlign w:val="bottom"/>
          </w:tcPr>
          <w:p>
            <w:pPr>
              <w:spacing w:after="0"/>
              <w:rPr>
                <w:sz w:val="1"/>
                <w:szCs w:val="1"/>
                <w:color w:val="auto"/>
              </w:rPr>
            </w:pPr>
          </w:p>
        </w:tc>
      </w:tr>
      <w:tr>
        <w:trPr>
          <w:trHeight w:val="149"/>
        </w:trPr>
        <w:tc>
          <w:tcPr>
            <w:tcW w:w="33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w w:val="95"/>
              </w:rPr>
              <w:t>Issuance of 309,628 shares under stock grant programs</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5,654</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5,968</w:t>
            </w:r>
          </w:p>
        </w:tc>
        <w:tc>
          <w:tcPr>
            <w:tcW w:w="0" w:type="dxa"/>
            <w:vAlign w:val="bottom"/>
          </w:tcPr>
          <w:p>
            <w:pPr>
              <w:spacing w:after="0"/>
              <w:rPr>
                <w:sz w:val="1"/>
                <w:szCs w:val="1"/>
                <w:color w:val="auto"/>
              </w:rPr>
            </w:pPr>
          </w:p>
        </w:tc>
      </w:tr>
      <w:tr>
        <w:trPr>
          <w:trHeight w:val="130"/>
        </w:trPr>
        <w:tc>
          <w:tcPr>
            <w:tcW w:w="3360" w:type="dxa"/>
            <w:vAlign w:val="bottom"/>
          </w:tcPr>
          <w:p>
            <w:pPr>
              <w:ind w:left="20"/>
              <w:spacing w:after="0" w:line="130" w:lineRule="exact"/>
              <w:rPr>
                <w:sz w:val="20"/>
                <w:szCs w:val="20"/>
                <w:color w:val="auto"/>
              </w:rPr>
            </w:pPr>
            <w:r>
              <w:rPr>
                <w:rFonts w:ascii="Arial" w:cs="Arial" w:eastAsia="Arial" w:hAnsi="Arial"/>
                <w:sz w:val="14"/>
                <w:szCs w:val="14"/>
                <w:color w:val="auto"/>
              </w:rPr>
              <w:t>Issuance of 181,565 shares under deferred</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360" w:type="dxa"/>
            <w:vAlign w:val="bottom"/>
          </w:tcPr>
          <w:p>
            <w:pPr>
              <w:ind w:left="20"/>
              <w:spacing w:after="0"/>
              <w:rPr>
                <w:sz w:val="20"/>
                <w:szCs w:val="20"/>
                <w:color w:val="auto"/>
              </w:rPr>
            </w:pPr>
            <w:r>
              <w:rPr>
                <w:rFonts w:ascii="Arial" w:cs="Arial" w:eastAsia="Arial" w:hAnsi="Arial"/>
                <w:sz w:val="14"/>
                <w:szCs w:val="14"/>
                <w:color w:val="auto"/>
              </w:rPr>
              <w:t>compensation plans</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181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(181)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36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Expense associated with share-based compensation</w:t>
            </w: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arrangements</w:t>
            </w: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3,843</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3,843</w:t>
            </w:r>
          </w:p>
        </w:tc>
        <w:tc>
          <w:tcPr>
            <w:tcW w:w="0" w:type="dxa"/>
            <w:vAlign w:val="bottom"/>
          </w:tcPr>
          <w:p>
            <w:pPr>
              <w:spacing w:after="0"/>
              <w:rPr>
                <w:sz w:val="1"/>
                <w:szCs w:val="1"/>
                <w:color w:val="auto"/>
              </w:rPr>
            </w:pPr>
          </w:p>
        </w:tc>
      </w:tr>
      <w:tr>
        <w:trPr>
          <w:trHeight w:val="155"/>
        </w:trPr>
        <w:tc>
          <w:tcPr>
            <w:tcW w:w="3360" w:type="dxa"/>
            <w:vAlign w:val="bottom"/>
            <w:tcBorders>
              <w:bottom w:val="single" w:sz="8" w:color="CCEEFF"/>
            </w:tcBorders>
          </w:tcPr>
          <w:p>
            <w:pPr>
              <w:ind w:left="20"/>
              <w:spacing w:after="0" w:line="149" w:lineRule="exact"/>
              <w:rPr>
                <w:sz w:val="20"/>
                <w:szCs w:val="20"/>
                <w:color w:val="auto"/>
              </w:rPr>
            </w:pPr>
            <w:r>
              <w:rPr>
                <w:rFonts w:ascii="Arial" w:cs="Arial" w:eastAsia="Arial" w:hAnsi="Arial"/>
                <w:sz w:val="14"/>
                <w:szCs w:val="14"/>
                <w:color w:val="auto"/>
                <w:w w:val="99"/>
              </w:rPr>
              <w:t>Accrued expense under deferred compensation plans</w:t>
            </w: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7,995</w:t>
            </w:r>
          </w:p>
        </w:tc>
        <w:tc>
          <w:tcPr>
            <w:tcW w:w="2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7,995</w:t>
            </w:r>
          </w:p>
        </w:tc>
        <w:tc>
          <w:tcPr>
            <w:tcW w:w="0" w:type="dxa"/>
            <w:vAlign w:val="bottom"/>
          </w:tcPr>
          <w:p>
            <w:pPr>
              <w:spacing w:after="0"/>
              <w:rPr>
                <w:sz w:val="1"/>
                <w:szCs w:val="1"/>
                <w:color w:val="auto"/>
              </w:rPr>
            </w:pPr>
          </w:p>
        </w:tc>
      </w:tr>
      <w:tr>
        <w:trPr>
          <w:trHeight w:val="149"/>
        </w:trPr>
        <w:tc>
          <w:tcPr>
            <w:tcW w:w="33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b w:val="1"/>
                <w:bCs w:val="1"/>
                <w:color w:val="auto"/>
              </w:rPr>
              <w:t>Balance at December 28, 2019</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61,409</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8"/>
              </w:rPr>
              <w:t>192,173</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995,022</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76"/>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(4,889)</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14,018</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9"/>
              </w:rPr>
              <w:t>1,257,733</w:t>
            </w:r>
          </w:p>
        </w:tc>
        <w:tc>
          <w:tcPr>
            <w:tcW w:w="0" w:type="dxa"/>
            <w:vAlign w:val="bottom"/>
          </w:tcPr>
          <w:p>
            <w:pPr>
              <w:spacing w:after="0"/>
              <w:rPr>
                <w:sz w:val="1"/>
                <w:szCs w:val="1"/>
                <w:color w:val="auto"/>
              </w:rPr>
            </w:pPr>
          </w:p>
        </w:tc>
      </w:tr>
      <w:tr>
        <w:trPr>
          <w:trHeight w:val="148"/>
        </w:trPr>
        <w:tc>
          <w:tcPr>
            <w:tcW w:w="3360" w:type="dxa"/>
            <w:vAlign w:val="bottom"/>
          </w:tcPr>
          <w:p>
            <w:pPr>
              <w:ind w:left="20"/>
              <w:spacing w:after="0" w:line="149" w:lineRule="exact"/>
              <w:rPr>
                <w:sz w:val="20"/>
                <w:szCs w:val="20"/>
                <w:color w:val="auto"/>
              </w:rPr>
            </w:pPr>
            <w:r>
              <w:rPr>
                <w:rFonts w:ascii="Arial" w:cs="Arial" w:eastAsia="Arial" w:hAnsi="Arial"/>
                <w:sz w:val="14"/>
                <w:szCs w:val="14"/>
                <w:color w:val="auto"/>
              </w:rPr>
              <w:t>Net earnings</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246,778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7,104</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253,882</w:t>
            </w:r>
          </w:p>
        </w:tc>
        <w:tc>
          <w:tcPr>
            <w:tcW w:w="0" w:type="dxa"/>
            <w:vAlign w:val="bottom"/>
          </w:tcPr>
          <w:p>
            <w:pPr>
              <w:spacing w:after="0"/>
              <w:rPr>
                <w:sz w:val="1"/>
                <w:szCs w:val="1"/>
                <w:color w:val="auto"/>
              </w:rPr>
            </w:pPr>
          </w:p>
        </w:tc>
      </w:tr>
      <w:tr>
        <w:trPr>
          <w:trHeight w:val="148"/>
        </w:trPr>
        <w:tc>
          <w:tcPr>
            <w:tcW w:w="33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Foreign currency translation adjustment</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1,373</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2,872</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4,245</w:t>
            </w:r>
          </w:p>
        </w:tc>
        <w:tc>
          <w:tcPr>
            <w:tcW w:w="0" w:type="dxa"/>
            <w:vAlign w:val="bottom"/>
          </w:tcPr>
          <w:p>
            <w:pPr>
              <w:spacing w:after="0"/>
              <w:rPr>
                <w:sz w:val="1"/>
                <w:szCs w:val="1"/>
                <w:color w:val="auto"/>
              </w:rPr>
            </w:pPr>
          </w:p>
        </w:tc>
      </w:tr>
      <w:tr>
        <w:trPr>
          <w:trHeight w:val="149"/>
        </w:trPr>
        <w:tc>
          <w:tcPr>
            <w:tcW w:w="3360" w:type="dxa"/>
            <w:vAlign w:val="bottom"/>
          </w:tcPr>
          <w:p>
            <w:pPr>
              <w:ind w:left="20"/>
              <w:spacing w:after="0" w:line="149" w:lineRule="exact"/>
              <w:rPr>
                <w:sz w:val="20"/>
                <w:szCs w:val="20"/>
                <w:color w:val="auto"/>
              </w:rPr>
            </w:pPr>
            <w:r>
              <w:rPr>
                <w:rFonts w:ascii="Arial" w:cs="Arial" w:eastAsia="Arial" w:hAnsi="Arial"/>
                <w:sz w:val="14"/>
                <w:szCs w:val="14"/>
                <w:color w:val="auto"/>
              </w:rPr>
              <w:t>Unrealized gain on investments and other</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1,722</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1,722</w:t>
            </w:r>
          </w:p>
        </w:tc>
        <w:tc>
          <w:tcPr>
            <w:tcW w:w="0" w:type="dxa"/>
            <w:vAlign w:val="bottom"/>
          </w:tcPr>
          <w:p>
            <w:pPr>
              <w:spacing w:after="0"/>
              <w:rPr>
                <w:sz w:val="1"/>
                <w:szCs w:val="1"/>
                <w:color w:val="auto"/>
              </w:rPr>
            </w:pPr>
          </w:p>
        </w:tc>
      </w:tr>
      <w:tr>
        <w:trPr>
          <w:trHeight w:val="148"/>
        </w:trPr>
        <w:tc>
          <w:tcPr>
            <w:tcW w:w="33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Distributions to noncontrolling interest</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(933)</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(933)</w:t>
            </w:r>
          </w:p>
        </w:tc>
        <w:tc>
          <w:tcPr>
            <w:tcW w:w="0" w:type="dxa"/>
            <w:vAlign w:val="bottom"/>
          </w:tcPr>
          <w:p>
            <w:pPr>
              <w:spacing w:after="0"/>
              <w:rPr>
                <w:sz w:val="1"/>
                <w:szCs w:val="1"/>
                <w:color w:val="auto"/>
              </w:rPr>
            </w:pPr>
          </w:p>
        </w:tc>
      </w:tr>
      <w:tr>
        <w:trPr>
          <w:trHeight w:val="149"/>
        </w:trPr>
        <w:tc>
          <w:tcPr>
            <w:tcW w:w="3360" w:type="dxa"/>
            <w:vAlign w:val="bottom"/>
          </w:tcPr>
          <w:p>
            <w:pPr>
              <w:ind w:left="20"/>
              <w:spacing w:after="0" w:line="149" w:lineRule="exact"/>
              <w:rPr>
                <w:sz w:val="20"/>
                <w:szCs w:val="20"/>
                <w:color w:val="auto"/>
              </w:rPr>
            </w:pPr>
            <w:r>
              <w:rPr>
                <w:rFonts w:ascii="Arial" w:cs="Arial" w:eastAsia="Arial" w:hAnsi="Arial"/>
                <w:sz w:val="14"/>
                <w:szCs w:val="14"/>
                <w:color w:val="auto"/>
              </w:rPr>
              <w:t>Additional purchase of noncontrolling interest</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130</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(225)</w:t>
            </w: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148"/>
        </w:trPr>
        <w:tc>
          <w:tcPr>
            <w:tcW w:w="33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Cash dividends - $0.125 per share – quarterly</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(30,669)</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(30,669)</w:t>
            </w:r>
          </w:p>
        </w:tc>
        <w:tc>
          <w:tcPr>
            <w:tcW w:w="0" w:type="dxa"/>
            <w:vAlign w:val="bottom"/>
          </w:tcPr>
          <w:p>
            <w:pPr>
              <w:spacing w:after="0"/>
              <w:rPr>
                <w:sz w:val="1"/>
                <w:szCs w:val="1"/>
                <w:color w:val="auto"/>
              </w:rPr>
            </w:pPr>
          </w:p>
        </w:tc>
      </w:tr>
      <w:tr>
        <w:trPr>
          <w:trHeight w:val="148"/>
        </w:trPr>
        <w:tc>
          <w:tcPr>
            <w:tcW w:w="3360" w:type="dxa"/>
            <w:vAlign w:val="bottom"/>
          </w:tcPr>
          <w:p>
            <w:pPr>
              <w:ind w:left="20"/>
              <w:spacing w:after="0" w:line="149" w:lineRule="exact"/>
              <w:rPr>
                <w:sz w:val="20"/>
                <w:szCs w:val="20"/>
                <w:color w:val="auto"/>
              </w:rPr>
            </w:pPr>
            <w:r>
              <w:rPr>
                <w:rFonts w:ascii="Arial" w:cs="Arial" w:eastAsia="Arial" w:hAnsi="Arial"/>
                <w:sz w:val="14"/>
                <w:szCs w:val="14"/>
                <w:color w:val="auto"/>
                <w:w w:val="96"/>
              </w:rPr>
              <w:t>Issuance of 35,133 shares under employee stock plans</w:t>
            </w: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1,360</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1,395</w:t>
            </w:r>
          </w:p>
        </w:tc>
        <w:tc>
          <w:tcPr>
            <w:tcW w:w="0" w:type="dxa"/>
            <w:vAlign w:val="bottom"/>
          </w:tcPr>
          <w:p>
            <w:pPr>
              <w:spacing w:after="0"/>
              <w:rPr>
                <w:sz w:val="1"/>
                <w:szCs w:val="1"/>
                <w:color w:val="auto"/>
              </w:rPr>
            </w:pPr>
          </w:p>
        </w:tc>
      </w:tr>
      <w:tr>
        <w:trPr>
          <w:trHeight w:val="149"/>
        </w:trPr>
        <w:tc>
          <w:tcPr>
            <w:tcW w:w="33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w w:val="95"/>
              </w:rPr>
              <w:t>Issuance of 390,720 shares under stock grant programs</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12,140</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12,535</w:t>
            </w:r>
          </w:p>
        </w:tc>
        <w:tc>
          <w:tcPr>
            <w:tcW w:w="0" w:type="dxa"/>
            <w:vAlign w:val="bottom"/>
          </w:tcPr>
          <w:p>
            <w:pPr>
              <w:spacing w:after="0"/>
              <w:rPr>
                <w:sz w:val="1"/>
                <w:szCs w:val="1"/>
                <w:color w:val="auto"/>
              </w:rPr>
            </w:pPr>
          </w:p>
        </w:tc>
      </w:tr>
      <w:tr>
        <w:trPr>
          <w:trHeight w:val="130"/>
        </w:trPr>
        <w:tc>
          <w:tcPr>
            <w:tcW w:w="3360" w:type="dxa"/>
            <w:vAlign w:val="bottom"/>
          </w:tcPr>
          <w:p>
            <w:pPr>
              <w:ind w:left="20"/>
              <w:spacing w:after="0" w:line="130" w:lineRule="exact"/>
              <w:rPr>
                <w:sz w:val="20"/>
                <w:szCs w:val="20"/>
                <w:color w:val="auto"/>
              </w:rPr>
            </w:pPr>
            <w:r>
              <w:rPr>
                <w:rFonts w:ascii="Arial" w:cs="Arial" w:eastAsia="Arial" w:hAnsi="Arial"/>
                <w:sz w:val="14"/>
                <w:szCs w:val="14"/>
                <w:color w:val="auto"/>
              </w:rPr>
              <w:t>Issuance of 127,735 shares under deferred</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360" w:type="dxa"/>
            <w:vAlign w:val="bottom"/>
          </w:tcPr>
          <w:p>
            <w:pPr>
              <w:ind w:left="20"/>
              <w:spacing w:after="0"/>
              <w:rPr>
                <w:sz w:val="20"/>
                <w:szCs w:val="20"/>
                <w:color w:val="auto"/>
              </w:rPr>
            </w:pPr>
            <w:r>
              <w:rPr>
                <w:rFonts w:ascii="Arial" w:cs="Arial" w:eastAsia="Arial" w:hAnsi="Arial"/>
                <w:sz w:val="14"/>
                <w:szCs w:val="14"/>
                <w:color w:val="auto"/>
              </w:rPr>
              <w:t>compensation plans</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128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(128)</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3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Repurchase of 756,397 shares</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(756)</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(28,456)</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(29,212)</w:t>
            </w:r>
          </w:p>
        </w:tc>
        <w:tc>
          <w:tcPr>
            <w:tcW w:w="0" w:type="dxa"/>
            <w:vAlign w:val="bottom"/>
          </w:tcPr>
          <w:p>
            <w:pPr>
              <w:spacing w:after="0"/>
              <w:rPr>
                <w:sz w:val="1"/>
                <w:szCs w:val="1"/>
                <w:color w:val="auto"/>
              </w:rPr>
            </w:pPr>
          </w:p>
        </w:tc>
      </w:tr>
      <w:tr>
        <w:trPr>
          <w:trHeight w:val="130"/>
        </w:trPr>
        <w:tc>
          <w:tcPr>
            <w:tcW w:w="3360" w:type="dxa"/>
            <w:vAlign w:val="bottom"/>
          </w:tcPr>
          <w:p>
            <w:pPr>
              <w:ind w:left="20"/>
              <w:spacing w:after="0" w:line="130" w:lineRule="exact"/>
              <w:rPr>
                <w:sz w:val="20"/>
                <w:szCs w:val="20"/>
                <w:color w:val="auto"/>
              </w:rPr>
            </w:pPr>
            <w:r>
              <w:rPr>
                <w:rFonts w:ascii="Arial" w:cs="Arial" w:eastAsia="Arial" w:hAnsi="Arial"/>
                <w:sz w:val="14"/>
                <w:szCs w:val="14"/>
                <w:color w:val="auto"/>
              </w:rPr>
              <w:t>Expense associated with share-based compensation</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360" w:type="dxa"/>
            <w:vAlign w:val="bottom"/>
          </w:tcPr>
          <w:p>
            <w:pPr>
              <w:ind w:left="20"/>
              <w:spacing w:after="0"/>
              <w:rPr>
                <w:sz w:val="20"/>
                <w:szCs w:val="20"/>
                <w:color w:val="auto"/>
              </w:rPr>
            </w:pPr>
            <w:r>
              <w:rPr>
                <w:rFonts w:ascii="Arial" w:cs="Arial" w:eastAsia="Arial" w:hAnsi="Arial"/>
                <w:sz w:val="14"/>
                <w:szCs w:val="14"/>
                <w:color w:val="auto"/>
              </w:rPr>
              <w:t>arrangements</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3,905</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3,905</w:t>
            </w:r>
          </w:p>
        </w:tc>
        <w:tc>
          <w:tcPr>
            <w:tcW w:w="0" w:type="dxa"/>
            <w:vAlign w:val="bottom"/>
          </w:tcPr>
          <w:p>
            <w:pPr>
              <w:spacing w:after="0"/>
              <w:rPr>
                <w:sz w:val="1"/>
                <w:szCs w:val="1"/>
                <w:color w:val="auto"/>
              </w:rPr>
            </w:pPr>
          </w:p>
        </w:tc>
      </w:tr>
      <w:tr>
        <w:trPr>
          <w:trHeight w:val="168"/>
        </w:trPr>
        <w:tc>
          <w:tcPr>
            <w:tcW w:w="3360" w:type="dxa"/>
            <w:vAlign w:val="bottom"/>
            <w:tcBorders>
              <w:bottom w:val="single" w:sz="8" w:color="CCEEFF"/>
            </w:tcBorders>
            <w:shd w:val="clear" w:color="auto" w:fill="CCEEFF"/>
          </w:tcPr>
          <w:p>
            <w:pPr>
              <w:ind w:left="20"/>
              <w:spacing w:after="0" w:line="149" w:lineRule="exact"/>
              <w:rPr>
                <w:sz w:val="20"/>
                <w:szCs w:val="20"/>
                <w:color w:val="auto"/>
              </w:rPr>
            </w:pPr>
            <w:r>
              <w:rPr>
                <w:rFonts w:ascii="Arial" w:cs="Arial" w:eastAsia="Arial" w:hAnsi="Arial"/>
                <w:sz w:val="14"/>
                <w:szCs w:val="14"/>
                <w:color w:val="auto"/>
                <w:w w:val="99"/>
              </w:rPr>
              <w:t>Accrued expense under deferred compensation plans</w:t>
            </w:r>
          </w:p>
        </w:tc>
        <w:tc>
          <w:tcPr>
            <w:tcW w:w="12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8,644</w:t>
            </w: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8,644</w:t>
            </w:r>
          </w:p>
        </w:tc>
        <w:tc>
          <w:tcPr>
            <w:tcW w:w="0" w:type="dxa"/>
            <w:vAlign w:val="bottom"/>
          </w:tcPr>
          <w:p>
            <w:pPr>
              <w:spacing w:after="0"/>
              <w:rPr>
                <w:sz w:val="1"/>
                <w:szCs w:val="1"/>
                <w:color w:val="auto"/>
              </w:rPr>
            </w:pPr>
          </w:p>
        </w:tc>
      </w:tr>
      <w:tr>
        <w:trPr>
          <w:trHeight w:val="135"/>
        </w:trPr>
        <w:tc>
          <w:tcPr>
            <w:tcW w:w="3360" w:type="dxa"/>
            <w:vAlign w:val="bottom"/>
          </w:tcPr>
          <w:p>
            <w:pPr>
              <w:ind w:left="20"/>
              <w:spacing w:after="0" w:line="135" w:lineRule="exact"/>
              <w:rPr>
                <w:sz w:val="20"/>
                <w:szCs w:val="20"/>
                <w:color w:val="auto"/>
              </w:rPr>
            </w:pPr>
            <w:r>
              <w:rPr>
                <w:rFonts w:ascii="Arial" w:cs="Arial" w:eastAsia="Arial" w:hAnsi="Arial"/>
                <w:sz w:val="14"/>
                <w:szCs w:val="14"/>
                <w:b w:val="1"/>
                <w:bCs w:val="1"/>
                <w:color w:val="auto"/>
              </w:rPr>
              <w:t>Balance at December 26, 2020</w:t>
            </w:r>
          </w:p>
        </w:tc>
        <w:tc>
          <w:tcPr>
            <w:tcW w:w="1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w w:val="76"/>
              </w:rPr>
              <w:t>$</w:t>
            </w:r>
          </w:p>
        </w:tc>
        <w:tc>
          <w:tcPr>
            <w:tcW w:w="5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rPr>
              <w:t>61,206</w:t>
            </w:r>
          </w:p>
        </w:tc>
        <w:tc>
          <w:tcPr>
            <w:tcW w:w="140" w:type="dxa"/>
            <w:vAlign w:val="bottom"/>
          </w:tcPr>
          <w:p>
            <w:pPr>
              <w:spacing w:after="0"/>
              <w:rPr>
                <w:sz w:val="11"/>
                <w:szCs w:val="11"/>
                <w:color w:val="auto"/>
              </w:rPr>
            </w:pPr>
          </w:p>
        </w:tc>
        <w:tc>
          <w:tcPr>
            <w:tcW w:w="100" w:type="dxa"/>
            <w:vAlign w:val="bottom"/>
            <w:tcBorders>
              <w:bottom w:val="single" w:sz="8" w:color="auto"/>
            </w:tcBorders>
          </w:tcPr>
          <w:p>
            <w:pPr>
              <w:spacing w:after="0" w:line="135" w:lineRule="exact"/>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w w:val="98"/>
              </w:rPr>
              <w:t>218,224</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w w:val="76"/>
              </w:rPr>
              <w:t>$</w:t>
            </w:r>
          </w:p>
        </w:tc>
        <w:tc>
          <w:tcPr>
            <w:tcW w:w="6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w w:val="96"/>
              </w:rPr>
              <w:t>1,182,680</w:t>
            </w:r>
          </w:p>
        </w:tc>
        <w:tc>
          <w:tcPr>
            <w:tcW w:w="140" w:type="dxa"/>
            <w:vAlign w:val="bottom"/>
          </w:tcPr>
          <w:p>
            <w:pPr>
              <w:spacing w:after="0"/>
              <w:rPr>
                <w:sz w:val="11"/>
                <w:szCs w:val="11"/>
                <w:color w:val="auto"/>
              </w:rPr>
            </w:pPr>
          </w:p>
        </w:tc>
        <w:tc>
          <w:tcPr>
            <w:tcW w:w="80" w:type="dxa"/>
            <w:vAlign w:val="bottom"/>
            <w:tcBorders>
              <w:bottom w:val="single" w:sz="8" w:color="auto"/>
            </w:tcBorders>
          </w:tcPr>
          <w:p>
            <w:pPr>
              <w:spacing w:after="0" w:line="135" w:lineRule="exact"/>
              <w:rPr>
                <w:sz w:val="20"/>
                <w:szCs w:val="20"/>
                <w:color w:val="auto"/>
              </w:rPr>
            </w:pPr>
            <w:r>
              <w:rPr>
                <w:rFonts w:ascii="Arial" w:cs="Arial" w:eastAsia="Arial" w:hAnsi="Arial"/>
                <w:sz w:val="14"/>
                <w:szCs w:val="14"/>
                <w:b w:val="1"/>
                <w:bCs w:val="1"/>
                <w:color w:val="auto"/>
                <w:w w:val="76"/>
              </w:rPr>
              <w:t>$</w:t>
            </w:r>
          </w:p>
        </w:tc>
        <w:tc>
          <w:tcPr>
            <w:tcW w:w="9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rPr>
              <w:t>(1,794)</w:t>
            </w:r>
          </w:p>
        </w:tc>
        <w:tc>
          <w:tcPr>
            <w:tcW w:w="140" w:type="dxa"/>
            <w:vAlign w:val="bottom"/>
          </w:tcPr>
          <w:p>
            <w:pPr>
              <w:spacing w:after="0"/>
              <w:rPr>
                <w:sz w:val="11"/>
                <w:szCs w:val="11"/>
                <w:color w:val="auto"/>
              </w:rPr>
            </w:pPr>
          </w:p>
        </w:tc>
        <w:tc>
          <w:tcPr>
            <w:tcW w:w="160" w:type="dxa"/>
            <w:vAlign w:val="bottom"/>
            <w:tcBorders>
              <w:bottom w:val="single" w:sz="8" w:color="auto"/>
            </w:tcBorders>
          </w:tcPr>
          <w:p>
            <w:pPr>
              <w:spacing w:after="0" w:line="135" w:lineRule="exact"/>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rPr>
              <w:t>22,836</w:t>
            </w:r>
          </w:p>
        </w:tc>
        <w:tc>
          <w:tcPr>
            <w:tcW w:w="140" w:type="dxa"/>
            <w:vAlign w:val="bottom"/>
          </w:tcPr>
          <w:p>
            <w:pPr>
              <w:spacing w:after="0"/>
              <w:rPr>
                <w:sz w:val="11"/>
                <w:szCs w:val="11"/>
                <w:color w:val="auto"/>
              </w:rPr>
            </w:pPr>
          </w:p>
        </w:tc>
        <w:tc>
          <w:tcPr>
            <w:tcW w:w="1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w w:val="76"/>
              </w:rPr>
              <w:t>$</w:t>
            </w:r>
          </w:p>
        </w:tc>
        <w:tc>
          <w:tcPr>
            <w:tcW w:w="6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w w:val="99"/>
              </w:rPr>
              <w:t>1,483,152</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UFP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0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5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93"/>
              </w:rPr>
              <w:t>Year Ended</w:t>
            </w: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20" w:type="dxa"/>
            <w:vAlign w:val="bottom"/>
            <w:gridSpan w:val="3"/>
          </w:tcPr>
          <w:p>
            <w:pPr>
              <w:jc w:val="right"/>
              <w:ind w:right="140"/>
              <w:spacing w:after="0" w:line="119" w:lineRule="exact"/>
              <w:rPr>
                <w:sz w:val="20"/>
                <w:szCs w:val="20"/>
                <w:color w:val="auto"/>
              </w:rPr>
            </w:pPr>
            <w:r>
              <w:rPr>
                <w:rFonts w:ascii="Arial" w:cs="Arial" w:eastAsia="Arial" w:hAnsi="Arial"/>
                <w:sz w:val="13"/>
                <w:szCs w:val="13"/>
                <w:b w:val="1"/>
                <w:bCs w:val="1"/>
                <w:color w:val="auto"/>
              </w:rPr>
              <w:t>December 26,</w:t>
            </w:r>
          </w:p>
        </w:tc>
        <w:tc>
          <w:tcPr>
            <w:tcW w:w="100" w:type="dxa"/>
            <w:vAlign w:val="bottom"/>
          </w:tcPr>
          <w:p>
            <w:pPr>
              <w:spacing w:after="0"/>
              <w:rPr>
                <w:sz w:val="10"/>
                <w:szCs w:val="10"/>
                <w:color w:val="auto"/>
              </w:rPr>
            </w:pPr>
          </w:p>
        </w:tc>
        <w:tc>
          <w:tcPr>
            <w:tcW w:w="1000" w:type="dxa"/>
            <w:vAlign w:val="bottom"/>
            <w:gridSpan w:val="3"/>
          </w:tcPr>
          <w:p>
            <w:pPr>
              <w:jc w:val="center"/>
              <w:ind w:right="80"/>
              <w:spacing w:after="0" w:line="119" w:lineRule="exact"/>
              <w:rPr>
                <w:sz w:val="20"/>
                <w:szCs w:val="20"/>
                <w:color w:val="auto"/>
              </w:rPr>
            </w:pPr>
            <w:r>
              <w:rPr>
                <w:rFonts w:ascii="Arial" w:cs="Arial" w:eastAsia="Arial" w:hAnsi="Arial"/>
                <w:sz w:val="13"/>
                <w:szCs w:val="13"/>
                <w:b w:val="1"/>
                <w:bCs w:val="1"/>
                <w:color w:val="auto"/>
                <w:w w:val="99"/>
              </w:rPr>
              <w:t>December 28,</w:t>
            </w:r>
          </w:p>
        </w:tc>
        <w:tc>
          <w:tcPr>
            <w:tcW w:w="100" w:type="dxa"/>
            <w:vAlign w:val="bottom"/>
          </w:tcPr>
          <w:p>
            <w:pPr>
              <w:spacing w:after="0"/>
              <w:rPr>
                <w:sz w:val="10"/>
                <w:szCs w:val="10"/>
                <w:color w:val="auto"/>
              </w:rPr>
            </w:pPr>
          </w:p>
        </w:tc>
        <w:tc>
          <w:tcPr>
            <w:tcW w:w="92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December 29,</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180" w:type="dxa"/>
            <w:vAlign w:val="bottom"/>
            <w:tcBorders>
              <w:bottom w:val="single" w:sz="8" w:color="CCEEFF"/>
            </w:tcBorders>
          </w:tcPr>
          <w:p>
            <w:pPr>
              <w:spacing w:after="0"/>
              <w:rPr>
                <w:sz w:val="15"/>
                <w:szCs w:val="15"/>
                <w:color w:val="auto"/>
              </w:rPr>
            </w:pPr>
          </w:p>
        </w:tc>
        <w:tc>
          <w:tcPr>
            <w:tcW w:w="5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6"/>
              </w:rPr>
              <w:t>2019</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OPERATING ACTIVITIES:</w:t>
            </w: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80" w:type="dxa"/>
            <w:vAlign w:val="bottom"/>
          </w:tcPr>
          <w:p>
            <w:pPr>
              <w:spacing w:after="0" w:line="149" w:lineRule="exact"/>
              <w:rPr>
                <w:sz w:val="20"/>
                <w:szCs w:val="20"/>
                <w:color w:val="auto"/>
              </w:rPr>
            </w:pPr>
            <w:r>
              <w:rPr>
                <w:rFonts w:ascii="Arial" w:cs="Arial" w:eastAsia="Arial" w:hAnsi="Arial"/>
                <w:sz w:val="14"/>
                <w:szCs w:val="14"/>
                <w:color w:val="auto"/>
              </w:rPr>
              <w:t>Net earnings</w:t>
            </w:r>
          </w:p>
        </w:tc>
        <w:tc>
          <w:tcPr>
            <w:tcW w:w="780" w:type="dxa"/>
            <w:vAlign w:val="bottom"/>
            <w:gridSpan w:val="2"/>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253,882</w:t>
            </w:r>
          </w:p>
        </w:tc>
        <w:tc>
          <w:tcPr>
            <w:tcW w:w="100" w:type="dxa"/>
            <w:vAlign w:val="bottom"/>
          </w:tcPr>
          <w:p>
            <w:pPr>
              <w:spacing w:after="0"/>
              <w:rPr>
                <w:sz w:val="12"/>
                <w:szCs w:val="12"/>
                <w:color w:val="auto"/>
              </w:rPr>
            </w:pP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182,404</w:t>
            </w:r>
          </w:p>
        </w:tc>
        <w:tc>
          <w:tcPr>
            <w:tcW w:w="80" w:type="dxa"/>
            <w:vAlign w:val="bottom"/>
          </w:tcPr>
          <w:p>
            <w:pPr>
              <w:spacing w:after="0"/>
              <w:rPr>
                <w:sz w:val="12"/>
                <w:szCs w:val="12"/>
                <w:color w:val="auto"/>
              </w:rPr>
            </w:pPr>
          </w:p>
        </w:tc>
        <w:tc>
          <w:tcPr>
            <w:tcW w:w="300" w:type="dxa"/>
            <w:vAlign w:val="bottom"/>
            <w:gridSpan w:val="2"/>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152,412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earnings to net cash from operating activities:</w:t>
            </w: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80" w:type="dxa"/>
            <w:vAlign w:val="bottom"/>
          </w:tcPr>
          <w:p>
            <w:pPr>
              <w:ind w:left="100"/>
              <w:spacing w:after="0" w:line="149" w:lineRule="exact"/>
              <w:rPr>
                <w:sz w:val="20"/>
                <w:szCs w:val="20"/>
                <w:color w:val="auto"/>
              </w:rPr>
            </w:pPr>
            <w:r>
              <w:rPr>
                <w:rFonts w:ascii="Arial" w:cs="Arial" w:eastAsia="Arial" w:hAnsi="Arial"/>
                <w:sz w:val="14"/>
                <w:szCs w:val="14"/>
                <w:color w:val="auto"/>
              </w:rPr>
              <w:t>Depreciation</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63,964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60,494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54,949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Amortization of intangibles</w:t>
            </w: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8,716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6,325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6,393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80" w:type="dxa"/>
            <w:vAlign w:val="bottom"/>
          </w:tcPr>
          <w:p>
            <w:pPr>
              <w:ind w:left="100"/>
              <w:spacing w:after="0" w:line="149" w:lineRule="exact"/>
              <w:rPr>
                <w:sz w:val="20"/>
                <w:szCs w:val="20"/>
                <w:color w:val="auto"/>
              </w:rPr>
            </w:pPr>
            <w:r>
              <w:rPr>
                <w:rFonts w:ascii="Arial" w:cs="Arial" w:eastAsia="Arial" w:hAnsi="Arial"/>
                <w:sz w:val="14"/>
                <w:szCs w:val="14"/>
                <w:color w:val="auto"/>
              </w:rPr>
              <w:t>Expense associated with share-based and grant compensation arrangements</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4,034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4,007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3,574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Deferred income taxes</w:t>
            </w: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1,857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7,176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tcPr>
          <w:p>
            <w:pPr>
              <w:ind w:left="100"/>
              <w:spacing w:after="0" w:line="149" w:lineRule="exact"/>
              <w:rPr>
                <w:sz w:val="20"/>
                <w:szCs w:val="20"/>
                <w:color w:val="auto"/>
              </w:rPr>
            </w:pPr>
            <w:r>
              <w:rPr>
                <w:rFonts w:ascii="Arial" w:cs="Arial" w:eastAsia="Arial" w:hAnsi="Arial"/>
                <w:sz w:val="14"/>
                <w:szCs w:val="14"/>
                <w:color w:val="auto"/>
              </w:rPr>
              <w:t>Unrealized (gain) loss on investments and other</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(2,076)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(2,523)</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1,888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Net loss (gain) on disposition of assets and impairment of assets</w:t>
            </w: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1,470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1,565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80" w:type="dxa"/>
            <w:vAlign w:val="bottom"/>
          </w:tcPr>
          <w:p>
            <w:pPr>
              <w:ind w:left="100"/>
              <w:spacing w:after="0" w:line="149" w:lineRule="exact"/>
              <w:rPr>
                <w:sz w:val="20"/>
                <w:szCs w:val="20"/>
                <w:color w:val="auto"/>
              </w:rPr>
            </w:pPr>
            <w:r>
              <w:rPr>
                <w:rFonts w:ascii="Arial" w:cs="Arial" w:eastAsia="Arial" w:hAnsi="Arial"/>
                <w:sz w:val="14"/>
                <w:szCs w:val="14"/>
                <w:color w:val="auto"/>
              </w:rPr>
              <w:t>Goodwill impairment</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11,485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Gain from reduction of estimated earnout liability</w:t>
            </w: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(4,134)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80" w:type="dxa"/>
            <w:vAlign w:val="bottom"/>
          </w:tcPr>
          <w:p>
            <w:pPr>
              <w:ind w:left="100"/>
              <w:spacing w:after="0" w:line="149" w:lineRule="exact"/>
              <w:rPr>
                <w:sz w:val="20"/>
                <w:szCs w:val="20"/>
                <w:color w:val="auto"/>
              </w:rPr>
            </w:pPr>
            <w:r>
              <w:rPr>
                <w:rFonts w:ascii="Arial" w:cs="Arial" w:eastAsia="Arial" w:hAnsi="Arial"/>
                <w:sz w:val="14"/>
                <w:szCs w:val="14"/>
                <w:color w:val="auto"/>
              </w:rPr>
              <w:t>Changes in:</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8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Accounts receivable</w:t>
            </w: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(87,552)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(16,872)</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(8,512)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tcPr>
          <w:p>
            <w:pPr>
              <w:ind w:left="320"/>
              <w:spacing w:after="0" w:line="149" w:lineRule="exact"/>
              <w:rPr>
                <w:sz w:val="20"/>
                <w:szCs w:val="20"/>
                <w:color w:val="auto"/>
              </w:rPr>
            </w:pPr>
            <w:r>
              <w:rPr>
                <w:rFonts w:ascii="Arial" w:cs="Arial" w:eastAsia="Arial" w:hAnsi="Arial"/>
                <w:sz w:val="14"/>
                <w:szCs w:val="14"/>
                <w:color w:val="auto"/>
              </w:rPr>
              <w:t>Inventories</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(76,022)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73,120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(84,304)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8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Accounts payable and cash overdraft</w:t>
            </w: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62,405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(24,132)</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180" w:type="dxa"/>
            <w:vAlign w:val="bottom"/>
            <w:tcBorders>
              <w:bottom w:val="single" w:sz="8" w:color="CCEEFF"/>
            </w:tcBorders>
          </w:tcPr>
          <w:p>
            <w:pPr>
              <w:ind w:left="320"/>
              <w:spacing w:after="0" w:line="149" w:lineRule="exact"/>
              <w:rPr>
                <w:sz w:val="20"/>
                <w:szCs w:val="20"/>
                <w:color w:val="auto"/>
              </w:rPr>
            </w:pPr>
            <w:r>
              <w:rPr>
                <w:rFonts w:ascii="Arial" w:cs="Arial" w:eastAsia="Arial" w:hAnsi="Arial"/>
                <w:sz w:val="14"/>
                <w:szCs w:val="14"/>
                <w:color w:val="auto"/>
              </w:rPr>
              <w:t>Accrued liabilities and other</w:t>
            </w:r>
          </w:p>
        </w:tc>
        <w:tc>
          <w:tcPr>
            <w:tcW w:w="5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98,448</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57,727</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1,245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NET CASH FROM OPERATING ACTIVITIES</w:t>
            </w: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336,477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349,291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116,685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80" w:type="dxa"/>
            <w:vAlign w:val="bottom"/>
          </w:tcPr>
          <w:p>
            <w:pPr>
              <w:spacing w:after="0" w:line="149" w:lineRule="exact"/>
              <w:rPr>
                <w:sz w:val="20"/>
                <w:szCs w:val="20"/>
                <w:color w:val="auto"/>
              </w:rPr>
            </w:pPr>
            <w:r>
              <w:rPr>
                <w:rFonts w:ascii="Arial" w:cs="Arial" w:eastAsia="Arial" w:hAnsi="Arial"/>
                <w:sz w:val="14"/>
                <w:szCs w:val="14"/>
                <w:color w:val="auto"/>
              </w:rPr>
              <w:t>CASH FLOWS FROM INVESTING ACTIVITIES:</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Purchases of property, plant and equipment</w:t>
            </w: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(89,182)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(84,933)</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(95,862)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80" w:type="dxa"/>
            <w:vAlign w:val="bottom"/>
          </w:tcPr>
          <w:p>
            <w:pPr>
              <w:spacing w:after="0" w:line="149" w:lineRule="exact"/>
              <w:rPr>
                <w:sz w:val="20"/>
                <w:szCs w:val="20"/>
                <w:color w:val="auto"/>
              </w:rPr>
            </w:pPr>
            <w:r>
              <w:rPr>
                <w:rFonts w:ascii="Arial" w:cs="Arial" w:eastAsia="Arial" w:hAnsi="Arial"/>
                <w:sz w:val="14"/>
                <w:szCs w:val="14"/>
                <w:color w:val="auto"/>
              </w:rPr>
              <w:t>Proceeds from sale of property, plant and equipment</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2,922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1,777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38,373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Acquisitions and purchases of non-controlling interest, net of cash received</w:t>
            </w: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(65,255)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(39,122)</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(54,017)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tcPr>
          <w:p>
            <w:pPr>
              <w:spacing w:after="0" w:line="149" w:lineRule="exact"/>
              <w:rPr>
                <w:sz w:val="20"/>
                <w:szCs w:val="20"/>
                <w:color w:val="auto"/>
              </w:rPr>
            </w:pPr>
            <w:r>
              <w:rPr>
                <w:rFonts w:ascii="Arial" w:cs="Arial" w:eastAsia="Arial" w:hAnsi="Arial"/>
                <w:sz w:val="14"/>
                <w:szCs w:val="14"/>
                <w:color w:val="auto"/>
              </w:rPr>
              <w:t>Investment in life insurance contracts</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(15,253)</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Purchases of investments</w:t>
            </w: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(28,054)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(13,352)</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(13,338)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80" w:type="dxa"/>
            <w:vAlign w:val="bottom"/>
          </w:tcPr>
          <w:p>
            <w:pPr>
              <w:spacing w:after="0" w:line="149" w:lineRule="exact"/>
              <w:rPr>
                <w:sz w:val="20"/>
                <w:szCs w:val="20"/>
                <w:color w:val="auto"/>
              </w:rPr>
            </w:pPr>
            <w:r>
              <w:rPr>
                <w:rFonts w:ascii="Arial" w:cs="Arial" w:eastAsia="Arial" w:hAnsi="Arial"/>
                <w:sz w:val="14"/>
                <w:szCs w:val="14"/>
                <w:color w:val="auto"/>
              </w:rPr>
              <w:t>Proceeds from sale of investments</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24,805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9,828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3,678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w:t>
            </w: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(982)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180" w:type="dxa"/>
            <w:vAlign w:val="bottom"/>
            <w:tcBorders>
              <w:top w:val="single" w:sz="8" w:color="CCEEFF"/>
            </w:tcBorders>
          </w:tcPr>
          <w:p>
            <w:pPr>
              <w:ind w:left="100"/>
              <w:spacing w:after="0" w:line="135" w:lineRule="exact"/>
              <w:rPr>
                <w:sz w:val="20"/>
                <w:szCs w:val="20"/>
                <w:color w:val="auto"/>
              </w:rPr>
            </w:pPr>
            <w:r>
              <w:rPr>
                <w:rFonts w:ascii="Arial" w:cs="Arial" w:eastAsia="Arial" w:hAnsi="Arial"/>
                <w:sz w:val="14"/>
                <w:szCs w:val="14"/>
                <w:color w:val="auto"/>
              </w:rPr>
              <w:t>NET CASH USED IN INVESTING ACTIVITIES</w:t>
            </w:r>
          </w:p>
        </w:tc>
        <w:tc>
          <w:tcPr>
            <w:tcW w:w="580" w:type="dxa"/>
            <w:vAlign w:val="bottom"/>
            <w:tcBorders>
              <w:top w:val="single" w:sz="8" w:color="CCEEFF"/>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4"/>
                <w:szCs w:val="14"/>
                <w:color w:val="auto"/>
              </w:rPr>
              <w:t>(154,718)</w:t>
            </w:r>
          </w:p>
        </w:tc>
        <w:tc>
          <w:tcPr>
            <w:tcW w:w="10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4"/>
                <w:szCs w:val="14"/>
                <w:color w:val="auto"/>
              </w:rPr>
              <w:t>(142,037)</w:t>
            </w:r>
          </w:p>
        </w:tc>
        <w:tc>
          <w:tcPr>
            <w:tcW w:w="8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4"/>
                <w:szCs w:val="14"/>
                <w:color w:val="auto"/>
              </w:rPr>
              <w:t>(121,232)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FINANCING ACTIVITIES:</w:t>
            </w: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80" w:type="dxa"/>
            <w:vAlign w:val="bottom"/>
          </w:tcPr>
          <w:p>
            <w:pPr>
              <w:spacing w:after="0" w:line="149" w:lineRule="exact"/>
              <w:rPr>
                <w:sz w:val="20"/>
                <w:szCs w:val="20"/>
                <w:color w:val="auto"/>
              </w:rPr>
            </w:pPr>
            <w:r>
              <w:rPr>
                <w:rFonts w:ascii="Arial" w:cs="Arial" w:eastAsia="Arial" w:hAnsi="Arial"/>
                <w:sz w:val="14"/>
                <w:szCs w:val="14"/>
                <w:color w:val="auto"/>
              </w:rPr>
              <w:t>Borrowings under revolving credit facilities</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6,862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422,057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732,370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Repayments under revolving credit facilities</w:t>
            </w: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(6,498)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(460,537)</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(748,496)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80" w:type="dxa"/>
            <w:vAlign w:val="bottom"/>
          </w:tcPr>
          <w:p>
            <w:pPr>
              <w:spacing w:after="0" w:line="149" w:lineRule="exact"/>
              <w:rPr>
                <w:sz w:val="20"/>
                <w:szCs w:val="20"/>
                <w:color w:val="auto"/>
              </w:rPr>
            </w:pPr>
            <w:r>
              <w:rPr>
                <w:rFonts w:ascii="Arial" w:cs="Arial" w:eastAsia="Arial" w:hAnsi="Arial"/>
                <w:sz w:val="14"/>
                <w:szCs w:val="14"/>
                <w:color w:val="auto"/>
              </w:rPr>
              <w:t>Borrowings of debt</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927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Contingent consideration payment and other</w:t>
            </w: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(5,787)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(3,136)</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(5,540)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80" w:type="dxa"/>
            <w:vAlign w:val="bottom"/>
          </w:tcPr>
          <w:p>
            <w:pPr>
              <w:spacing w:after="0" w:line="149" w:lineRule="exact"/>
              <w:rPr>
                <w:sz w:val="20"/>
                <w:szCs w:val="20"/>
                <w:color w:val="auto"/>
              </w:rPr>
            </w:pPr>
            <w:r>
              <w:rPr>
                <w:rFonts w:ascii="Arial" w:cs="Arial" w:eastAsia="Arial" w:hAnsi="Arial"/>
                <w:sz w:val="14"/>
                <w:szCs w:val="14"/>
                <w:color w:val="auto"/>
              </w:rPr>
              <w:t>Issuance of long-term debt</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150,000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75,000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issuance of common stock</w:t>
            </w: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1,395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80" w:type="dxa"/>
            <w:vAlign w:val="bottom"/>
          </w:tcPr>
          <w:p>
            <w:pPr>
              <w:spacing w:after="0" w:line="149" w:lineRule="exact"/>
              <w:rPr>
                <w:sz w:val="20"/>
                <w:szCs w:val="20"/>
                <w:color w:val="auto"/>
              </w:rPr>
            </w:pPr>
            <w:r>
              <w:rPr>
                <w:rFonts w:ascii="Arial" w:cs="Arial" w:eastAsia="Arial" w:hAnsi="Arial"/>
                <w:sz w:val="14"/>
                <w:szCs w:val="14"/>
                <w:color w:val="auto"/>
              </w:rPr>
              <w:t>Dividends paid to shareholders</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(30,669)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(24,549)</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(22,072)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Distributions to noncontrolling interest</w:t>
            </w: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(932)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(2,216)</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(3,139)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80" w:type="dxa"/>
            <w:vAlign w:val="bottom"/>
          </w:tcPr>
          <w:p>
            <w:pPr>
              <w:spacing w:after="0" w:line="149" w:lineRule="exact"/>
              <w:rPr>
                <w:sz w:val="20"/>
                <w:szCs w:val="20"/>
                <w:color w:val="auto"/>
              </w:rPr>
            </w:pPr>
            <w:r>
              <w:rPr>
                <w:rFonts w:ascii="Arial" w:cs="Arial" w:eastAsia="Arial" w:hAnsi="Arial"/>
                <w:sz w:val="14"/>
                <w:szCs w:val="14"/>
                <w:color w:val="auto"/>
              </w:rPr>
              <w:t>Repurchase of common stock</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(29,212)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(24,629)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180" w:type="dxa"/>
            <w:vAlign w:val="bottom"/>
            <w:tcBorders>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Other</w:t>
            </w:r>
          </w:p>
        </w:tc>
        <w:tc>
          <w:tcPr>
            <w:tcW w:w="5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62</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20</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(1,054)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180" w:type="dxa"/>
            <w:vAlign w:val="bottom"/>
          </w:tcPr>
          <w:p>
            <w:pPr>
              <w:ind w:left="100"/>
              <w:spacing w:after="0" w:line="135" w:lineRule="exact"/>
              <w:rPr>
                <w:sz w:val="20"/>
                <w:szCs w:val="20"/>
                <w:color w:val="auto"/>
              </w:rPr>
            </w:pPr>
            <w:r>
              <w:rPr>
                <w:rFonts w:ascii="Arial" w:cs="Arial" w:eastAsia="Arial" w:hAnsi="Arial"/>
                <w:sz w:val="14"/>
                <w:szCs w:val="14"/>
                <w:color w:val="auto"/>
              </w:rPr>
              <w:t>NET CASH FROM (USED IN) FINANCING ACTIVITIES</w:t>
            </w: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4"/>
                <w:szCs w:val="14"/>
                <w:color w:val="auto"/>
              </w:rPr>
              <w:t>85,221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4"/>
                <w:szCs w:val="14"/>
                <w:color w:val="auto"/>
              </w:rPr>
              <w:t>(67,268)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4"/>
                <w:szCs w:val="14"/>
                <w:color w:val="auto"/>
              </w:rPr>
              <w:t>4,393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180" w:type="dxa"/>
            <w:vAlign w:val="bottom"/>
            <w:tcBorders>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Effect of exchange rate changes on cash</w:t>
            </w:r>
          </w:p>
        </w:tc>
        <w:tc>
          <w:tcPr>
            <w:tcW w:w="5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962</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482</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(464)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80" w:type="dxa"/>
            <w:vAlign w:val="bottom"/>
          </w:tcPr>
          <w:p>
            <w:pPr>
              <w:spacing w:after="0" w:line="135" w:lineRule="exact"/>
              <w:rPr>
                <w:sz w:val="20"/>
                <w:szCs w:val="20"/>
                <w:color w:val="auto"/>
              </w:rPr>
            </w:pPr>
            <w:r>
              <w:rPr>
                <w:rFonts w:ascii="Arial" w:cs="Arial" w:eastAsia="Arial" w:hAnsi="Arial"/>
                <w:sz w:val="14"/>
                <w:szCs w:val="14"/>
                <w:color w:val="auto"/>
              </w:rPr>
              <w:t>NET CHANGE IN CASH AND CASH EQUIVALENTS</w:t>
            </w: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4"/>
                <w:szCs w:val="14"/>
                <w:color w:val="auto"/>
              </w:rPr>
              <w:t>267,942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4"/>
                <w:szCs w:val="14"/>
                <w:color w:val="auto"/>
              </w:rPr>
              <w:t>140,468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4"/>
                <w:szCs w:val="14"/>
                <w:color w:val="auto"/>
              </w:rPr>
              <w:t>(618)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180" w:type="dxa"/>
            <w:vAlign w:val="bottom"/>
            <w:tcBorders>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CASH, CASH EQUIVALENTS, AND RESTRICTED CASH, BEGINNING OF YEAR</w:t>
            </w:r>
          </w:p>
        </w:tc>
        <w:tc>
          <w:tcPr>
            <w:tcW w:w="5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168,666</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28,198</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28,816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200" w:type="dxa"/>
            <w:vAlign w:val="bottom"/>
            <w:gridSpan w:val="2"/>
          </w:tcPr>
          <w:p>
            <w:pPr>
              <w:spacing w:after="0" w:line="135" w:lineRule="exact"/>
              <w:rPr>
                <w:sz w:val="20"/>
                <w:szCs w:val="20"/>
                <w:color w:val="auto"/>
              </w:rPr>
            </w:pPr>
            <w:r>
              <w:rPr>
                <w:rFonts w:ascii="Arial" w:cs="Arial" w:eastAsia="Arial" w:hAnsi="Arial"/>
                <w:sz w:val="14"/>
                <w:szCs w:val="14"/>
                <w:color w:val="auto"/>
              </w:rPr>
              <w:t>CASH, CASH EQUIVALENTS, AND RESTRICTED CASH, END OF PERIOD</w:t>
            </w:r>
          </w:p>
        </w:tc>
        <w:tc>
          <w:tcPr>
            <w:tcW w:w="580" w:type="dxa"/>
            <w:vAlign w:val="bottom"/>
          </w:tcPr>
          <w:p>
            <w:pPr>
              <w:spacing w:after="0"/>
              <w:rPr>
                <w:sz w:val="15"/>
                <w:szCs w:val="15"/>
                <w:color w:val="auto"/>
              </w:rPr>
            </w:pPr>
          </w:p>
        </w:tc>
        <w:tc>
          <w:tcPr>
            <w:tcW w:w="200" w:type="dxa"/>
            <w:vAlign w:val="bottom"/>
            <w:tcBorders>
              <w:bottom w:val="single" w:sz="8" w:color="auto"/>
            </w:tcBorders>
          </w:tcPr>
          <w:p>
            <w:pPr>
              <w:jc w:val="right"/>
              <w:ind w:right="49"/>
              <w:spacing w:after="0" w:line="135"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436,608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168,666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49"/>
              <w:spacing w:after="0" w:line="135"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28,198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618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auto"/>
            </w:tcBorders>
            <w:shd w:val="clear" w:color="auto" w:fill="CCEEFF"/>
          </w:tcPr>
          <w:p>
            <w:pPr>
              <w:spacing w:after="0"/>
              <w:rPr>
                <w:sz w:val="5"/>
                <w:szCs w:val="5"/>
                <w:color w:val="auto"/>
              </w:rPr>
            </w:pPr>
          </w:p>
        </w:tc>
        <w:tc>
          <w:tcPr>
            <w:tcW w:w="72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84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auto"/>
            </w:tcBorders>
            <w:shd w:val="clear" w:color="auto" w:fill="CCEEFF"/>
          </w:tcPr>
          <w:p>
            <w:pPr>
              <w:spacing w:after="0"/>
              <w:rPr>
                <w:sz w:val="5"/>
                <w:szCs w:val="5"/>
                <w:color w:val="auto"/>
              </w:rPr>
            </w:pPr>
          </w:p>
        </w:tc>
        <w:tc>
          <w:tcPr>
            <w:tcW w:w="720" w:type="dxa"/>
            <w:vAlign w:val="bottom"/>
            <w:tcBorders>
              <w:top w:val="single" w:sz="8" w:color="auto"/>
            </w:tcBorders>
            <w:shd w:val="clear" w:color="auto" w:fill="CCEEFF"/>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180" w:type="dxa"/>
            <w:vAlign w:val="bottom"/>
          </w:tcPr>
          <w:p>
            <w:pPr>
              <w:spacing w:after="0" w:line="149" w:lineRule="exact"/>
              <w:rPr>
                <w:sz w:val="20"/>
                <w:szCs w:val="20"/>
                <w:color w:val="auto"/>
              </w:rPr>
            </w:pPr>
            <w:r>
              <w:rPr>
                <w:rFonts w:ascii="Arial" w:cs="Arial" w:eastAsia="Arial" w:hAnsi="Arial"/>
                <w:sz w:val="14"/>
                <w:szCs w:val="14"/>
                <w:b w:val="1"/>
                <w:bCs w:val="1"/>
                <w:color w:val="auto"/>
              </w:rPr>
              <w:t>RECONCILIATION OF CASH AND CASH EQUIVALENTS AND RESTRICTED CASH:</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beginning of period</w:t>
            </w:r>
          </w:p>
        </w:tc>
        <w:tc>
          <w:tcPr>
            <w:tcW w:w="78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168,336</w:t>
            </w:r>
          </w:p>
        </w:tc>
        <w:tc>
          <w:tcPr>
            <w:tcW w:w="10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27,316</w:t>
            </w:r>
          </w:p>
        </w:tc>
        <w:tc>
          <w:tcPr>
            <w:tcW w:w="8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28,339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8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Restricted cash, beginning of period</w:t>
            </w:r>
          </w:p>
        </w:tc>
        <w:tc>
          <w:tcPr>
            <w:tcW w:w="5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330</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882</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477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8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Cash, cash equivalents, and restricted cash, beginning of period</w:t>
            </w:r>
          </w:p>
        </w:tc>
        <w:tc>
          <w:tcPr>
            <w:tcW w:w="58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49"/>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168,666</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28,198</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49"/>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28,816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6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end of period</w:t>
            </w:r>
          </w:p>
        </w:tc>
        <w:tc>
          <w:tcPr>
            <w:tcW w:w="78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436,507</w:t>
            </w:r>
          </w:p>
        </w:tc>
        <w:tc>
          <w:tcPr>
            <w:tcW w:w="10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168,336</w:t>
            </w:r>
          </w:p>
        </w:tc>
        <w:tc>
          <w:tcPr>
            <w:tcW w:w="8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27,316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Restricted cash, end of period</w:t>
            </w:r>
          </w:p>
        </w:tc>
        <w:tc>
          <w:tcPr>
            <w:tcW w:w="5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101</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330</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882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8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Cash, cash equivalents, and restricted cash, end of period</w:t>
            </w:r>
          </w:p>
        </w:tc>
        <w:tc>
          <w:tcPr>
            <w:tcW w:w="58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49"/>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436,608</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168,666</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49"/>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28,198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6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SUPPLEMENTAL INFORMATION:</w:t>
            </w: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tcPr>
          <w:p>
            <w:pPr>
              <w:ind w:left="100"/>
              <w:spacing w:after="0" w:line="149" w:lineRule="exact"/>
              <w:rPr>
                <w:sz w:val="20"/>
                <w:szCs w:val="20"/>
                <w:color w:val="auto"/>
              </w:rPr>
            </w:pPr>
            <w:r>
              <w:rPr>
                <w:rFonts w:ascii="Arial" w:cs="Arial" w:eastAsia="Arial" w:hAnsi="Arial"/>
                <w:sz w:val="14"/>
                <w:szCs w:val="14"/>
                <w:color w:val="auto"/>
              </w:rPr>
              <w:t>Interest paid</w:t>
            </w:r>
          </w:p>
        </w:tc>
        <w:tc>
          <w:tcPr>
            <w:tcW w:w="780" w:type="dxa"/>
            <w:vAlign w:val="bottom"/>
            <w:gridSpan w:val="2"/>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7,204</w:t>
            </w:r>
          </w:p>
        </w:tc>
        <w:tc>
          <w:tcPr>
            <w:tcW w:w="100" w:type="dxa"/>
            <w:vAlign w:val="bottom"/>
          </w:tcPr>
          <w:p>
            <w:pPr>
              <w:spacing w:after="0"/>
              <w:rPr>
                <w:sz w:val="12"/>
                <w:szCs w:val="12"/>
                <w:color w:val="auto"/>
              </w:rPr>
            </w:pP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8,763</w:t>
            </w:r>
          </w:p>
        </w:tc>
        <w:tc>
          <w:tcPr>
            <w:tcW w:w="80" w:type="dxa"/>
            <w:vAlign w:val="bottom"/>
          </w:tcPr>
          <w:p>
            <w:pPr>
              <w:spacing w:after="0"/>
              <w:rPr>
                <w:sz w:val="12"/>
                <w:szCs w:val="12"/>
                <w:color w:val="auto"/>
              </w:rPr>
            </w:pPr>
          </w:p>
        </w:tc>
        <w:tc>
          <w:tcPr>
            <w:tcW w:w="300" w:type="dxa"/>
            <w:vAlign w:val="bottom"/>
            <w:gridSpan w:val="2"/>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8,860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Income taxes paid</w:t>
            </w: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77,964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50,224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51,578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80" w:type="dxa"/>
            <w:vAlign w:val="bottom"/>
          </w:tcPr>
          <w:p>
            <w:pPr>
              <w:spacing w:after="0" w:line="149" w:lineRule="exact"/>
              <w:rPr>
                <w:sz w:val="20"/>
                <w:szCs w:val="20"/>
                <w:color w:val="auto"/>
              </w:rPr>
            </w:pPr>
            <w:r>
              <w:rPr>
                <w:rFonts w:ascii="Arial" w:cs="Arial" w:eastAsia="Arial" w:hAnsi="Arial"/>
                <w:sz w:val="14"/>
                <w:szCs w:val="14"/>
                <w:color w:val="auto"/>
              </w:rPr>
              <w:t>NON-CASH FINANCING ACTIVITIES:</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Common stock issued under deferred compensation plans</w:t>
            </w:r>
          </w:p>
        </w:tc>
        <w:tc>
          <w:tcPr>
            <w:tcW w:w="78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6,870</w:t>
            </w:r>
          </w:p>
        </w:tc>
        <w:tc>
          <w:tcPr>
            <w:tcW w:w="10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6,229</w:t>
            </w:r>
          </w:p>
        </w:tc>
        <w:tc>
          <w:tcPr>
            <w:tcW w:w="8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5,837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01" w:name="page102"/>
    <w:bookmarkEnd w:id="10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UFP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700" w:right="3619" w:hanging="650"/>
        <w:spacing w:after="0" w:line="503" w:lineRule="auto"/>
        <w:tabs>
          <w:tab w:leader="none" w:pos="70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SUMMARY OF SIGNIFICANT ACCOUNTING POLICIES </w:t>
      </w:r>
      <w:r>
        <w:rPr>
          <w:rFonts w:ascii="Arial" w:cs="Arial" w:eastAsia="Arial" w:hAnsi="Arial"/>
          <w:sz w:val="18"/>
          <w:szCs w:val="18"/>
          <w:b w:val="1"/>
          <w:bCs w:val="1"/>
          <w:color w:val="auto"/>
        </w:rPr>
        <w:t>OPERATIONS</w:t>
      </w:r>
    </w:p>
    <w:p>
      <w:pPr>
        <w:jc w:val="both"/>
        <w:ind w:left="60" w:right="59" w:firstLine="648"/>
        <w:spacing w:after="0" w:line="263" w:lineRule="auto"/>
        <w:rPr>
          <w:sz w:val="20"/>
          <w:szCs w:val="20"/>
          <w:color w:val="auto"/>
        </w:rPr>
      </w:pPr>
      <w:r>
        <w:rPr>
          <w:rFonts w:ascii="Arial" w:cs="Arial" w:eastAsia="Arial" w:hAnsi="Arial"/>
          <w:sz w:val="18"/>
          <w:szCs w:val="18"/>
          <w:color w:val="auto"/>
        </w:rPr>
        <w:t>We are a holding company whose subsidiaries supply wood, wood composite and other products to three markets: retail, construction and industrial. Founded in 1955, we are headquartered in Grand Rapids, Michigan, with affiliates throughout North America, Europe, Asia and Australia.</w:t>
      </w:r>
    </w:p>
    <w:p>
      <w:pPr>
        <w:spacing w:after="0" w:line="184"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On April 22, 2020, the shareholders approved changing the name of the Company from Universal Forest Products, Inc., to UFP Industries, Inc.</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PRINCIPLES OF CONSOLIDATION</w:t>
      </w:r>
    </w:p>
    <w:p>
      <w:pPr>
        <w:spacing w:after="0" w:line="229"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 consolidated financial statements include our accounts and those of our wholly-owned and majority-owned subsidiaries and partnerships. In addition, we consolidate any entity which we own 50% or more and exercise control. Intercompany transactions and balances have been eliminated.</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NONCONTROLLING INTEREST IN SUBSIDIARIES</w:t>
      </w:r>
    </w:p>
    <w:p>
      <w:pPr>
        <w:spacing w:after="0" w:line="229"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Noncontrolling interest in results of operations of consolidated subsidiaries represents the noncontrolling shareholders’ share of the income or loss of various consolidated subsidiaries. The noncontrolling interest reflects the original investment by these noncontrolling shareholders combined with their proportional share of the earnings or losses of these subsidiaries, net of distributions paid.</w:t>
      </w:r>
    </w:p>
    <w:p>
      <w:pPr>
        <w:spacing w:after="0" w:line="18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FISCAL YEAR</w:t>
      </w:r>
    </w:p>
    <w:p>
      <w:pPr>
        <w:spacing w:after="0" w:line="229"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Our fiscal year is a 52 or 53 week period, ending on the last Saturday of December. Unless otherwise stated, references to 2020, 2019, and 2018 relate to the fiscal years ended December 26, 2020, December 28, 2019, and December 29, 2018, respectively. Fiscal years 2020, 2019, and 2018 were comprised of 52 weeks.</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FAIR VALUE DISCLOSURES OF FINANCIAL INSTRUMENTS</w:t>
      </w:r>
    </w:p>
    <w:p>
      <w:pPr>
        <w:spacing w:after="0" w:line="229"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 xml:space="preserve">We follow ASC Topic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which provides a consistent definition of fair value, focuses on exit price, prioritizes the use of market-based inputs over entity-specific inputs for measuring fair value and establishes a three-tier hierarchy for fair value measurements. This topic requires fair value measurements to be classified and disclosed in one of the following three categories:</w:t>
      </w:r>
    </w:p>
    <w:p>
      <w:pPr>
        <w:spacing w:after="0" w:line="187" w:lineRule="exact"/>
        <w:rPr>
          <w:sz w:val="20"/>
          <w:szCs w:val="20"/>
          <w:color w:val="auto"/>
        </w:rPr>
      </w:pPr>
    </w:p>
    <w:p>
      <w:pPr>
        <w:ind w:left="720" w:hanging="319"/>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Level 1 — Financial instruments with unadjusted, quoted prices listed on active market exchanges.</w:t>
      </w:r>
    </w:p>
    <w:p>
      <w:pPr>
        <w:spacing w:after="0" w:line="225" w:lineRule="exact"/>
        <w:rPr>
          <w:rFonts w:ascii="Arial" w:cs="Arial" w:eastAsia="Arial" w:hAnsi="Arial"/>
          <w:sz w:val="18"/>
          <w:szCs w:val="18"/>
          <w:color w:val="auto"/>
        </w:rPr>
      </w:pPr>
    </w:p>
    <w:p>
      <w:pPr>
        <w:jc w:val="both"/>
        <w:ind w:left="720" w:right="79" w:hanging="319"/>
        <w:spacing w:after="0" w:line="259" w:lineRule="auto"/>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Level 2 — Financial instruments lacking unadjusted, quoted prices from active market exchanges, including over-the-counter traded financial instruments. Financial instrument values are determined using prices for recently traded financial instruments with similar underlying terms and direct or indirect observational inputs, such as interest rates and yield curves at commonly quoted intervals.</w:t>
      </w:r>
    </w:p>
    <w:p>
      <w:pPr>
        <w:spacing w:after="0" w:line="186"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Level 3 — Financial instruments not actively traded on a market exchange and there is little, if any, market activity. Values are determined using significant unobservable inputs or valuation techniques.</w:t>
      </w:r>
    </w:p>
    <w:p>
      <w:pPr>
        <w:spacing w:after="0" w:line="170" w:lineRule="exact"/>
        <w:rPr>
          <w:sz w:val="20"/>
          <w:szCs w:val="20"/>
          <w:color w:val="auto"/>
        </w:rPr>
      </w:pPr>
    </w:p>
    <w:p>
      <w:pPr>
        <w:ind w:left="60" w:right="199" w:firstLine="648"/>
        <w:spacing w:after="0" w:line="277" w:lineRule="auto"/>
        <w:rPr>
          <w:sz w:val="20"/>
          <w:szCs w:val="20"/>
          <w:color w:val="auto"/>
        </w:rPr>
      </w:pPr>
      <w:r>
        <w:rPr>
          <w:rFonts w:ascii="Arial" w:cs="Arial" w:eastAsia="Arial" w:hAnsi="Arial"/>
          <w:sz w:val="18"/>
          <w:szCs w:val="18"/>
          <w:color w:val="auto"/>
        </w:rPr>
        <w:t>Our investment portfolio includes restricted investments within our wholly-owned subsidiary, Ardellis Insurance Ltd. There are $17.6 million of restricted investments recorded as of December 26, 2020.</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2" w:name="page103"/>
    <w:bookmarkEnd w:id="10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Cash and cash equivalents consist of cash and highly liquid investments purchased with an original maturity of three months or less.</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INVESTMENTS</w:t>
      </w:r>
    </w:p>
    <w:p>
      <w:pPr>
        <w:spacing w:after="0" w:line="229"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Investments are deemed to be "available for sale" and are, accordingly, carried at fair value being the quoted market value.</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ACCOUNTS RECEIVABLE AND ALLOWANCES</w:t>
      </w:r>
    </w:p>
    <w:p>
      <w:pPr>
        <w:spacing w:after="0" w:line="229"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We perform periodic credit evaluations of our customers and generally do not require collateral. Accounts receivable are due under a range of terms we offer to our customers. Discounts are offered, in most instances, as an incentive for early payment.</w:t>
      </w:r>
    </w:p>
    <w:p>
      <w:pPr>
        <w:spacing w:after="0" w:line="184"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We base our allowances related to receivables on historical credit and collections experience, reasonable and supportable forecasts, and the specific identification of other potential problems, including the general economic climate. Actual collections can differ, requiring adjustments to the allowances. Individual accounts receivable balances are evaluated on a monthly basis, and those balances considered uncollectible are charged to the allowance.</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presents the activity in our accounts receivable allowances (in thousands):</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4"/>
                <w:szCs w:val="14"/>
                <w:b w:val="1"/>
                <w:bCs w:val="1"/>
                <w:color w:val="auto"/>
              </w:rPr>
              <w:t>Additions</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0" w:type="dxa"/>
            <w:vAlign w:val="bottom"/>
            <w:gridSpan w:val="2"/>
            <w:vMerge w:val="restart"/>
          </w:tcPr>
          <w:p>
            <w:pPr>
              <w:jc w:val="right"/>
              <w:ind w:right="15"/>
              <w:spacing w:after="0"/>
              <w:rPr>
                <w:sz w:val="20"/>
                <w:szCs w:val="20"/>
                <w:color w:val="auto"/>
              </w:rPr>
            </w:pPr>
            <w:r>
              <w:rPr>
                <w:rFonts w:ascii="Arial" w:cs="Arial" w:eastAsia="Arial" w:hAnsi="Arial"/>
                <w:sz w:val="14"/>
                <w:szCs w:val="14"/>
                <w:b w:val="1"/>
                <w:bCs w:val="1"/>
                <w:color w:val="auto"/>
                <w:w w:val="99"/>
              </w:rPr>
              <w:t>Beginning</w:t>
            </w:r>
          </w:p>
        </w:tc>
        <w:tc>
          <w:tcPr>
            <w:tcW w:w="20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7"/>
              </w:rPr>
              <w:t>Charged to</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restart"/>
          </w:tcPr>
          <w:p>
            <w:pPr>
              <w:jc w:val="right"/>
              <w:ind w:right="97"/>
              <w:spacing w:after="0"/>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line="149" w:lineRule="exact"/>
              <w:rPr>
                <w:sz w:val="20"/>
                <w:szCs w:val="20"/>
                <w:color w:val="auto"/>
              </w:rPr>
            </w:pPr>
            <w:r>
              <w:rPr>
                <w:rFonts w:ascii="Arial" w:cs="Arial" w:eastAsia="Arial" w:hAnsi="Arial"/>
                <w:sz w:val="14"/>
                <w:szCs w:val="14"/>
                <w:b w:val="1"/>
                <w:bCs w:val="1"/>
                <w:color w:val="auto"/>
              </w:rPr>
              <w:t>Costs and</w:t>
            </w:r>
          </w:p>
        </w:tc>
        <w:tc>
          <w:tcPr>
            <w:tcW w:w="200" w:type="dxa"/>
            <w:vAlign w:val="bottom"/>
          </w:tcPr>
          <w:p>
            <w:pPr>
              <w:spacing w:after="0"/>
              <w:rPr>
                <w:sz w:val="12"/>
                <w:szCs w:val="12"/>
                <w:color w:val="auto"/>
              </w:rPr>
            </w:pPr>
          </w:p>
        </w:tc>
        <w:tc>
          <w:tcPr>
            <w:tcW w:w="8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2"/>
              </w:rPr>
              <w:t>Deductions*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4500" w:type="dxa"/>
            <w:vAlign w:val="bottom"/>
            <w:tcBorders>
              <w:bottom w:val="single" w:sz="8" w:color="CCEEFF"/>
            </w:tcBorders>
          </w:tcPr>
          <w:p>
            <w:pPr>
              <w:spacing w:after="0"/>
              <w:rPr>
                <w:sz w:val="15"/>
                <w:szCs w:val="15"/>
                <w:color w:val="auto"/>
              </w:rPr>
            </w:pPr>
          </w:p>
        </w:tc>
        <w:tc>
          <w:tcPr>
            <w:tcW w:w="5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93"/>
              </w:rPr>
              <w:t>Balance</w:t>
            </w:r>
          </w:p>
        </w:tc>
        <w:tc>
          <w:tcPr>
            <w:tcW w:w="2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Expenses</w:t>
            </w:r>
          </w:p>
        </w:tc>
        <w:tc>
          <w:tcPr>
            <w:tcW w:w="20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gridSpan w:val="2"/>
            <w:vMerge w:val="continue"/>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96"/>
              </w:rPr>
              <w:t>Balance</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26, 2020:</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100"/>
              <w:spacing w:after="0"/>
              <w:rPr>
                <w:sz w:val="20"/>
                <w:szCs w:val="20"/>
                <w:color w:val="auto"/>
              </w:rPr>
            </w:pPr>
            <w:r>
              <w:rPr>
                <w:rFonts w:ascii="Arial" w:cs="Arial" w:eastAsia="Arial" w:hAnsi="Arial"/>
                <w:sz w:val="18"/>
                <w:szCs w:val="18"/>
                <w:color w:val="auto"/>
              </w:rPr>
              <w:t>Allowance for possible losses on accounts receivable</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4,440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48,954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(48,765)</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4,629</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28, 2019:</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100"/>
              <w:spacing w:after="0"/>
              <w:rPr>
                <w:sz w:val="20"/>
                <w:szCs w:val="20"/>
                <w:color w:val="auto"/>
              </w:rPr>
            </w:pPr>
            <w:r>
              <w:rPr>
                <w:rFonts w:ascii="Arial" w:cs="Arial" w:eastAsia="Arial" w:hAnsi="Arial"/>
                <w:sz w:val="18"/>
                <w:szCs w:val="18"/>
                <w:color w:val="auto"/>
              </w:rPr>
              <w:t>Allowance for possible losses on accounts receivable</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2,601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39,481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(37,642)</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4,440</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29, 2018:</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00" w:type="dxa"/>
            <w:vAlign w:val="bottom"/>
          </w:tcPr>
          <w:p>
            <w:pPr>
              <w:ind w:left="100"/>
              <w:spacing w:after="0"/>
              <w:rPr>
                <w:sz w:val="20"/>
                <w:szCs w:val="20"/>
                <w:color w:val="auto"/>
              </w:rPr>
            </w:pPr>
            <w:r>
              <w:rPr>
                <w:rFonts w:ascii="Arial" w:cs="Arial" w:eastAsia="Arial" w:hAnsi="Arial"/>
                <w:sz w:val="18"/>
                <w:szCs w:val="18"/>
                <w:color w:val="auto"/>
              </w:rPr>
              <w:t>Allowance for possible losses on accounts receivable</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2,424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38,963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(38,786)</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2,601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59690</wp:posOffset>
            </wp:positionV>
            <wp:extent cx="1414145"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8">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67" w:lineRule="exact"/>
        <w:rPr>
          <w:sz w:val="20"/>
          <w:szCs w:val="20"/>
          <w:color w:val="auto"/>
        </w:rPr>
      </w:pPr>
    </w:p>
    <w:p>
      <w:pPr>
        <w:ind w:left="380" w:hanging="330"/>
        <w:spacing w:after="0"/>
        <w:tabs>
          <w:tab w:leader="none" w:pos="3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Includes accounts charged off, discounts given to customers and actual customer returns and allowances.</w:t>
      </w:r>
    </w:p>
    <w:p>
      <w:pPr>
        <w:spacing w:after="0" w:line="225"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We record estimated sales returns, discounts, and other applicable adjustments as a reduction of net sales in the same period revenue is recognized.</w:t>
      </w:r>
    </w:p>
    <w:p>
      <w:pPr>
        <w:spacing w:after="0" w:line="170"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Accounts receivable retainage amounts related to long term construction contracts totaled $8.7 million and $7.4 million as of December 26, 2020 and December 28, 2019, respectively. All amounts are expected to be collected within 18 months. Concentration of accounts receivable related to our largest customer totaled $77.5 million and $42.8 million as of December 26, 2020 and December 28, 2019, respectively.</w:t>
      </w:r>
    </w:p>
    <w:p>
      <w:pPr>
        <w:spacing w:after="0" w:line="187"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In June 2016, the FASB issued ASU 2016-13, Financial Instrument-Credit Losses (Topic 326): Measurement of Credit Losses on Financial Instruments (ASU 2016-13), which changes the current incurred loss model to a forward looking expected credit loss model for most financial assets, such as trade and other receivables, loans and other instruments. The ASU is effective for fiscal years beginning after December 15, 2019. Entities are required to apply the provisions of the standard through a cumulative-effect adjustment to retained earnings as of effective date. We have adopted the new standard as of the beginning of our fiscal year and have concluded the standard does not have a material impact on our consolidated financial statements and disclosures, accounting processes, and internal controls.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3" w:name="page104"/>
    <w:bookmarkEnd w:id="10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INVENTORIES</w:t>
      </w:r>
    </w:p>
    <w:p>
      <w:pPr>
        <w:spacing w:after="0" w:line="229"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Inventories are stated at the lower of cost or market. The cost of inventories includes raw materials, direct labor, and manufacturing overhead. Cost is determined on a weighted average basis. Raw materials consist primarily of unfinished wood products and other materials expected to be manufactured or treated prior to sale, while finished goods represent various manufactured and treated wood products ready for sale. We have inventory on consignment at customer locations valued at $20.8 million as of December 26, 2020 and $20.2 million as of December 28, 2019.</w:t>
      </w:r>
    </w:p>
    <w:p>
      <w:pPr>
        <w:spacing w:after="0" w:line="17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PROPERTY, PLANT, AND EQUIPMENT</w:t>
      </w:r>
    </w:p>
    <w:p>
      <w:pPr>
        <w:spacing w:after="0" w:line="229"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Property, plant, and equipment are stated at cost. Expenditures for renewals and betterments are capitalized, and maintenance and repairs are expensed as incurred. Amortization of assets held under finance leases is included in depreciation and amortized over the shorter of the estimated useful life of the asset or the lease term. Depreciation is computed principally by the straight-line method over the estimated useful lives of the assets as follows:</w:t>
      </w:r>
    </w:p>
    <w:p>
      <w:pPr>
        <w:spacing w:after="0" w:line="19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Land improvements</w:t>
            </w:r>
          </w:p>
        </w:tc>
        <w:tc>
          <w:tcPr>
            <w:tcW w:w="3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to 15 years</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3460" w:type="dxa"/>
            <w:vAlign w:val="bottom"/>
          </w:tcPr>
          <w:p>
            <w:pPr>
              <w:jc w:val="right"/>
              <w:spacing w:after="0"/>
              <w:rPr>
                <w:sz w:val="20"/>
                <w:szCs w:val="20"/>
                <w:color w:val="auto"/>
              </w:rPr>
            </w:pPr>
            <w:r>
              <w:rPr>
                <w:rFonts w:ascii="Arial" w:cs="Arial" w:eastAsia="Arial" w:hAnsi="Arial"/>
                <w:sz w:val="18"/>
                <w:szCs w:val="18"/>
                <w:color w:val="auto"/>
              </w:rPr>
              <w:t>10 to 32 years</w:t>
            </w: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Machinery, equipment and office furniture</w:t>
            </w:r>
          </w:p>
        </w:tc>
        <w:tc>
          <w:tcPr>
            <w:tcW w:w="3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to 20 years</w:t>
            </w:r>
          </w:p>
        </w:tc>
      </w:tr>
    </w:tbl>
    <w:p>
      <w:pPr>
        <w:spacing w:after="0" w:line="202" w:lineRule="exact"/>
        <w:rPr>
          <w:sz w:val="20"/>
          <w:szCs w:val="20"/>
          <w:color w:val="auto"/>
        </w:rPr>
      </w:pPr>
    </w:p>
    <w:p>
      <w:pPr>
        <w:ind w:left="60" w:right="559" w:firstLine="648"/>
        <w:spacing w:after="0" w:line="263" w:lineRule="auto"/>
        <w:rPr>
          <w:sz w:val="20"/>
          <w:szCs w:val="20"/>
          <w:color w:val="auto"/>
        </w:rPr>
      </w:pPr>
      <w:r>
        <w:rPr>
          <w:rFonts w:ascii="Arial" w:cs="Arial" w:eastAsia="Arial" w:hAnsi="Arial"/>
          <w:sz w:val="18"/>
          <w:szCs w:val="18"/>
          <w:color w:val="auto"/>
        </w:rPr>
        <w:t>Software costs are included in machinery and equipment on the balance sheet with gross amounts and accumulated amortization totaling $5.5 million and $4.9 million as of December 26, 2020, and $6.1 million and $5.2 million as of December 28, 2019, respectively.</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LONG-LIVED ASSETS</w:t>
      </w:r>
    </w:p>
    <w:p>
      <w:pPr>
        <w:spacing w:after="0" w:line="229"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 xml:space="preserve">In accordance with ASC 360, </w:t>
      </w:r>
      <w:r>
        <w:rPr>
          <w:rFonts w:ascii="Arial" w:cs="Arial" w:eastAsia="Arial" w:hAnsi="Arial"/>
          <w:sz w:val="18"/>
          <w:szCs w:val="18"/>
          <w:i w:val="1"/>
          <w:iCs w:val="1"/>
          <w:color w:val="auto"/>
        </w:rPr>
        <w:t>Property, Plant, and Equipment</w:t>
      </w:r>
      <w:r>
        <w:rPr>
          <w:rFonts w:ascii="Arial" w:cs="Arial" w:eastAsia="Arial" w:hAnsi="Arial"/>
          <w:sz w:val="18"/>
          <w:szCs w:val="18"/>
          <w:color w:val="auto"/>
        </w:rPr>
        <w:t xml:space="preserve"> (“ASC 360”), when an indicator of potential impairment exists, we evaluate the recoverability of our long-lived assets by determining whether unamortized balances could be recovered through undiscounted future operating cash flows over the remaining lives of the assets. If the sum of the expected future cash flows was less than the carrying value of the assets, an impairment loss would be recognized for the excess of the carrying value over the fair value.</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Goodwill represents the excess of the purchase price over the fair value of net tangible and identifiable intangible assets of acquired businesses. Goodwill and intangible assets deemed to have indefinite lives are not amortized and are subject to impairment tests at least annually in accordance with ASC 350, Intangibles-Goodwill and Other. We review the carrying amounts of goodwill and other non-amortizable intangibles by reporting unit to determine if such assets may be impaired. In the fourth quarter of 2020, we recorded a non-cash goodwill impairment charge of $11.5 million related to the commercial reporting unit within our construction segment. Refer to Note D, Goodwill and Other Intangible Assets, in the notes to the consolidated financial statements for additional information related to the impairment of this goodwill. As of the date of the most recent goodwill impairment test, which utilized data and assumptions as of September 26, 2020, all other reporting units had a fair value that was substantially in excess of the carrying value. We believe we have sufficient available information, both current and historical, to support our assumptions, judgments and estimates used in the goodwill impairment test.</w:t>
      </w:r>
    </w:p>
    <w:p>
      <w:pPr>
        <w:spacing w:after="0" w:line="182"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Our annual testing date for evaluating goodwill and indefinite-lived intangible asset impairment is the first day of our fourth fiscal quarter for all reporting units. Additionally, we review various triggering events throughout the year to ensure that a mid-year impairment analysis is not required.</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4" w:name="page105"/>
    <w:bookmarkEnd w:id="10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FOREIGN CURRENCY</w:t>
      </w:r>
    </w:p>
    <w:p>
      <w:pPr>
        <w:spacing w:after="0" w:line="229"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Our foreign operations use the local currency as their functional currency. Accordingly, assets and liabilities are translated at exchange rates as of the balance sheet date and revenues and expenses are translated using weighted average rates, with translation adjustments included as a separate component of shareholders’ equity. Gains and losses arising from re-measuring foreign currency transactions are included in earnings.</w:t>
      </w:r>
    </w:p>
    <w:p>
      <w:pPr>
        <w:spacing w:after="0" w:line="16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INSURANCE RESERVES</w:t>
      </w:r>
    </w:p>
    <w:p>
      <w:pPr>
        <w:spacing w:after="0" w:line="229"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Our wholly-owned insurance company, Ardellis Insurance Ltd.(“Ardellis”), was incorporated on April 21, 2001 under the laws of Bermuda and is licensed as a Class 3A insurer under the Insurance Act 1978 of Bermuda. On April 14, 2017 the U.S. Branch of Ardellis Insurance Ltd. was granted its Certificate of Authority to transact property and casualty insurance lines as an admitted carrier in the State of Michigan.</w:t>
      </w:r>
    </w:p>
    <w:p>
      <w:pPr>
        <w:spacing w:after="0" w:line="187"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We are primarily self-insured for certain employee health benefits, and have self-funded retentions for general liability, automobile liability, property and workers’ compensation. We are fully self-insured for environmental liabilities. The general liability, automobile liability, property, workers’ compensation, and certain environmental liabilities are managed through Ardellis; the related assets and liabilities of which are included in the consolidated financial statements as of December 26, 2020 and December 28, 2019. Our policy is to accrue amounts equal to actuarially determined or internally computed liabilities. The actuarial and internal valuations are based on historical information along with certain assumptions about future events. Changes in assumptions for such matters as legal actions, medical cost trends, and changes in claims experience could cause these estimates to change in the future.</w:t>
      </w:r>
    </w:p>
    <w:p>
      <w:pPr>
        <w:spacing w:after="0" w:line="178" w:lineRule="exact"/>
        <w:rPr>
          <w:sz w:val="20"/>
          <w:szCs w:val="20"/>
          <w:color w:val="auto"/>
        </w:rPr>
      </w:pPr>
    </w:p>
    <w:p>
      <w:pPr>
        <w:jc w:val="both"/>
        <w:ind w:left="60" w:right="79" w:firstLine="648"/>
        <w:spacing w:after="0" w:line="259" w:lineRule="auto"/>
        <w:rPr>
          <w:sz w:val="20"/>
          <w:szCs w:val="20"/>
          <w:color w:val="auto"/>
        </w:rPr>
      </w:pPr>
      <w:r>
        <w:rPr>
          <w:rFonts w:ascii="Arial" w:cs="Arial" w:eastAsia="Arial" w:hAnsi="Arial"/>
          <w:sz w:val="18"/>
          <w:szCs w:val="18"/>
          <w:color w:val="auto"/>
        </w:rPr>
        <w:t>In addition to providing coverage for the Company, Ardellis provides Excess Loss Insurance (primarily medical and prescription drug) to certain third parties. As of December 26, 2020, Ardellis had 45 such contracts in place. Reserves associated with these contracts were $4.5 million at December 26, 2020 and $5.7 million at December 28, 2019 and are accrued based on third party actuarial valuations of the expected future liabilities.</w:t>
      </w:r>
    </w:p>
    <w:p>
      <w:pPr>
        <w:spacing w:after="0" w:line="18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Deferred income tax assets and liabilities are computed for differences between the financial statement and tax basis of assets and liabilities that will result in taxable or deductible amounts in the future. Such deferred income tax asset and liability computations are based on enacted tax laws and rates. Valuation allowances are established when necessary to reduce deferred income tax assets to the amounts expected to be realized. Income tax expense is the tax payable or refundable for the period plus or minus the change during the period in deferred income tax assets and liabilities.</w:t>
      </w:r>
    </w:p>
    <w:p>
      <w:pPr>
        <w:spacing w:after="0" w:line="15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jc w:val="both"/>
        <w:ind w:left="60" w:right="59" w:firstLine="486"/>
        <w:spacing w:after="0" w:line="272" w:lineRule="auto"/>
        <w:rPr>
          <w:sz w:val="20"/>
          <w:szCs w:val="20"/>
          <w:color w:val="auto"/>
        </w:rPr>
      </w:pPr>
      <w:r>
        <w:rPr>
          <w:rFonts w:ascii="Arial" w:cs="Arial" w:eastAsia="Arial" w:hAnsi="Arial"/>
          <w:sz w:val="17"/>
          <w:szCs w:val="17"/>
          <w:color w:val="auto"/>
        </w:rPr>
        <w:t>Within the three primary segments (Retail, Industrial, and Construction) that the Company operates, there are a variety of written agreements governing the sale of our products and services. The transaction price is stated at the purchase order level, which includes shipping and/or freight costs and any applicable governmental authority taxes. The majority of our contracts have a single performance obligation concentrated around the delivery of goods to the carrier, Free On Board (FOB) shipping point. Therefore, revenue is recognized when this performance obligation is satisfied. Generally, title and control passes at the time of shipment. In certain circumstances, the customer takes title when the shipment arrives at the destination. However, our shipping process is typically completed the same day.</w:t>
      </w:r>
    </w:p>
    <w:p>
      <w:pPr>
        <w:spacing w:after="0" w:line="177" w:lineRule="exact"/>
        <w:rPr>
          <w:sz w:val="20"/>
          <w:szCs w:val="20"/>
          <w:color w:val="auto"/>
        </w:rPr>
      </w:pPr>
    </w:p>
    <w:p>
      <w:pPr>
        <w:jc w:val="both"/>
        <w:ind w:left="60" w:right="59" w:firstLine="486"/>
        <w:spacing w:after="0" w:line="263" w:lineRule="auto"/>
        <w:rPr>
          <w:sz w:val="20"/>
          <w:szCs w:val="20"/>
          <w:color w:val="auto"/>
        </w:rPr>
      </w:pPr>
      <w:r>
        <w:rPr>
          <w:rFonts w:ascii="Arial" w:cs="Arial" w:eastAsia="Arial" w:hAnsi="Arial"/>
          <w:sz w:val="18"/>
          <w:szCs w:val="18"/>
          <w:color w:val="auto"/>
        </w:rPr>
        <w:t>Certain customer products that we provide require installation by the Company or a 3rd party. Installation revenue is recognized upon completion. If we use a 3rd party for installation, the party will act as an agent to us until completion of the installation. Installation revenue represents an immaterial share of our total net sales.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5" w:name="page106"/>
    <w:bookmarkEnd w:id="10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60" w:right="59" w:firstLine="492"/>
        <w:spacing w:after="0" w:line="296" w:lineRule="auto"/>
        <w:rPr>
          <w:sz w:val="20"/>
          <w:szCs w:val="20"/>
          <w:color w:val="auto"/>
        </w:rPr>
      </w:pPr>
      <w:r>
        <w:rPr>
          <w:rFonts w:ascii="Arial" w:cs="Arial" w:eastAsia="Arial" w:hAnsi="Arial"/>
          <w:sz w:val="16"/>
          <w:szCs w:val="16"/>
          <w:color w:val="auto"/>
        </w:rPr>
        <w:t>We utilize rebates, credits, discounts and/or cash-based incentives with certain customers which are accounted for as variable consideration. We estimate these amounts based on the expected amount to be provided to customers and reduce revenues recognized. We believe that there will not be significant changes to our estimates of variable consideration. The allocation of these costs are applied at the invoice level and recognized in conjunction with revenue. Additionally, returns and refunds are estimated on a historical and expected basis which is a reduction of revenue recognized.</w:t>
      </w:r>
    </w:p>
    <w:p>
      <w:pPr>
        <w:spacing w:after="0" w:line="161" w:lineRule="exact"/>
        <w:rPr>
          <w:sz w:val="20"/>
          <w:szCs w:val="20"/>
          <w:color w:val="auto"/>
        </w:rPr>
      </w:pPr>
    </w:p>
    <w:p>
      <w:pPr>
        <w:jc w:val="both"/>
        <w:ind w:left="60" w:right="59" w:firstLine="486"/>
        <w:spacing w:after="0" w:line="270" w:lineRule="auto"/>
        <w:rPr>
          <w:sz w:val="20"/>
          <w:szCs w:val="20"/>
          <w:color w:val="auto"/>
        </w:rPr>
      </w:pPr>
      <w:r>
        <w:rPr>
          <w:rFonts w:ascii="Arial" w:cs="Arial" w:eastAsia="Arial" w:hAnsi="Arial"/>
          <w:sz w:val="17"/>
          <w:szCs w:val="17"/>
          <w:color w:val="auto"/>
        </w:rPr>
        <w:t>Earnings on construction contracts are reflected in operations using over time accounting, under either cost to cost or units of delivery methods, depending on the nature of the business at individual operations, which is in accordance with ASC 606 as revenue is recognized when certain performance obligations are performed. Under over time accounting using the cost to cost method, revenues and related earnings on construction contracts are measured by the relationships of actual costs incurred related to the total estimated costs. Under over time accounting using the units of delivery method, revenues and related earnings on construction contracts are measured by the relationships of actual units produced related to the total number of units. Revisions in earnings estimates on the construction contracts are recorded in the accounting period in which the basis for such revisions becomes known. Projected losses on individual contracts are charged to operations in their entirety when such losses become apparent.</w:t>
      </w:r>
    </w:p>
    <w:p>
      <w:pPr>
        <w:spacing w:after="0" w:line="181" w:lineRule="exact"/>
        <w:rPr>
          <w:sz w:val="20"/>
          <w:szCs w:val="20"/>
          <w:color w:val="auto"/>
        </w:rPr>
      </w:pPr>
    </w:p>
    <w:p>
      <w:pPr>
        <w:jc w:val="both"/>
        <w:ind w:left="60" w:right="59" w:firstLine="486"/>
        <w:spacing w:after="0" w:line="259" w:lineRule="auto"/>
        <w:rPr>
          <w:sz w:val="20"/>
          <w:szCs w:val="20"/>
          <w:color w:val="auto"/>
        </w:rPr>
      </w:pPr>
      <w:r>
        <w:rPr>
          <w:rFonts w:ascii="Arial" w:cs="Arial" w:eastAsia="Arial" w:hAnsi="Arial"/>
          <w:sz w:val="18"/>
          <w:szCs w:val="18"/>
          <w:color w:val="auto"/>
        </w:rPr>
        <w:t>Our construction contracts are generally entered into with a fixed price and completion of the projects can range from 6 to 18 months in duration. Therefore, our operating results are impacted by, among many other things, labor rates and commodity costs. During the year, we update our estimated costs to complete our projects using current labor and commodity costs and recognize losses to the extent that they exist.</w:t>
      </w:r>
    </w:p>
    <w:p>
      <w:pPr>
        <w:spacing w:after="0" w:line="18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presents our net sales disaggregated by revenue source:</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1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4"/>
                <w:szCs w:val="14"/>
                <w:color w:val="auto"/>
              </w:rPr>
            </w:pPr>
          </w:p>
        </w:tc>
        <w:tc>
          <w:tcPr>
            <w:tcW w:w="1580" w:type="dxa"/>
            <w:vAlign w:val="bottom"/>
            <w:gridSpan w:val="2"/>
          </w:tcPr>
          <w:p>
            <w:pPr>
              <w:ind w:left="160"/>
              <w:spacing w:after="0"/>
              <w:rPr>
                <w:sz w:val="20"/>
                <w:szCs w:val="20"/>
                <w:color w:val="auto"/>
              </w:rPr>
            </w:pPr>
            <w:r>
              <w:rPr>
                <w:rFonts w:ascii="Arial" w:cs="Arial" w:eastAsia="Arial" w:hAnsi="Arial"/>
                <w:sz w:val="14"/>
                <w:szCs w:val="14"/>
                <w:b w:val="1"/>
                <w:bCs w:val="1"/>
                <w:color w:val="auto"/>
              </w:rPr>
              <w:t>December 26,</w:t>
            </w:r>
          </w:p>
        </w:tc>
        <w:tc>
          <w:tcPr>
            <w:tcW w:w="260" w:type="dxa"/>
            <w:vAlign w:val="bottom"/>
          </w:tcPr>
          <w:p>
            <w:pPr>
              <w:spacing w:after="0"/>
              <w:rPr>
                <w:sz w:val="14"/>
                <w:szCs w:val="14"/>
                <w:color w:val="auto"/>
              </w:rPr>
            </w:pPr>
          </w:p>
        </w:tc>
        <w:tc>
          <w:tcPr>
            <w:tcW w:w="1600" w:type="dxa"/>
            <w:vAlign w:val="bottom"/>
            <w:gridSpan w:val="2"/>
          </w:tcPr>
          <w:p>
            <w:pPr>
              <w:ind w:left="160"/>
              <w:spacing w:after="0"/>
              <w:rPr>
                <w:sz w:val="20"/>
                <w:szCs w:val="20"/>
                <w:color w:val="auto"/>
              </w:rPr>
            </w:pPr>
            <w:r>
              <w:rPr>
                <w:rFonts w:ascii="Arial" w:cs="Arial" w:eastAsia="Arial" w:hAnsi="Arial"/>
                <w:sz w:val="14"/>
                <w:szCs w:val="14"/>
                <w:b w:val="1"/>
                <w:bCs w:val="1"/>
                <w:color w:val="auto"/>
              </w:rPr>
              <w:t>December 28,</w:t>
            </w:r>
          </w:p>
        </w:tc>
        <w:tc>
          <w:tcPr>
            <w:tcW w:w="106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8"/>
        </w:trPr>
        <w:tc>
          <w:tcPr>
            <w:tcW w:w="416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FOB Shipping Point Revenue</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5,025,895</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4,272,583</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23"/>
        </w:trPr>
        <w:tc>
          <w:tcPr>
            <w:tcW w:w="4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Construction Contract Revenue</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128,103</w:t>
            </w:r>
          </w:p>
        </w:tc>
        <w:tc>
          <w:tcPr>
            <w:tcW w:w="1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143,426</w:t>
            </w:r>
          </w:p>
        </w:tc>
        <w:tc>
          <w:tcPr>
            <w:tcW w:w="2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Sales</w:t>
            </w: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5,153,998</w:t>
            </w:r>
          </w:p>
        </w:tc>
        <w:tc>
          <w:tcPr>
            <w:tcW w:w="1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4,416,009</w:t>
            </w:r>
          </w:p>
        </w:tc>
        <w:tc>
          <w:tcPr>
            <w:tcW w:w="2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 Construction segment comprises the construction contract revenue shown above. Construction contract revenue is primarily made up of site-built and framing customers.</w:t>
      </w:r>
    </w:p>
    <w:p>
      <w:pPr>
        <w:spacing w:after="0" w:line="170"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 following table presents the balances of over time accounting accounts on December 26, 2020 and December 28, 2019 which are included in “Other current assets” and “Accrued liabilities: Other”, respectively (in thousands):</w:t>
      </w:r>
    </w:p>
    <w:p>
      <w:pPr>
        <w:spacing w:after="0" w:line="17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December 26,</w:t>
            </w:r>
          </w:p>
        </w:tc>
        <w:tc>
          <w:tcPr>
            <w:tcW w:w="20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December 28,</w:t>
            </w:r>
          </w:p>
        </w:tc>
      </w:tr>
      <w:tr>
        <w:trPr>
          <w:trHeight w:val="178"/>
        </w:trPr>
        <w:tc>
          <w:tcPr>
            <w:tcW w:w="67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2019</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Cost and Earnings in Excess of Billings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4,690</w:t>
            </w:r>
          </w:p>
        </w:tc>
      </w:t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Billings in Excess of Cost and Earnings</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11,530</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6,622</w:t>
            </w:r>
          </w:p>
        </w:tc>
      </w:tr>
    </w:tbl>
    <w:p>
      <w:pPr>
        <w:spacing w:after="0" w:line="18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SHIPPING AND HANDLING OF PRODUCT</w:t>
      </w:r>
    </w:p>
    <w:p>
      <w:pPr>
        <w:spacing w:after="0" w:line="229"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Shipping and handling costs that are charged to and reimbursed by the customer are recognized as revenue. Costs incurred related to the shipment and handling of products are classified in cost of goods sold.</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6" w:name="page107"/>
    <w:bookmarkEnd w:id="10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SHARE-BASED COMPENSATION</w:t>
      </w:r>
    </w:p>
    <w:p>
      <w:pPr>
        <w:spacing w:after="0" w:line="229"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 xml:space="preserve">We account for share-based awards in accordance with ASC Topic 718, </w:t>
      </w:r>
      <w:r>
        <w:rPr>
          <w:rFonts w:ascii="Arial" w:cs="Arial" w:eastAsia="Arial" w:hAnsi="Arial"/>
          <w:sz w:val="17"/>
          <w:szCs w:val="17"/>
          <w:i w:val="1"/>
          <w:iCs w:val="1"/>
          <w:color w:val="auto"/>
        </w:rPr>
        <w:t>Compensation – Stock Compensation</w:t>
      </w:r>
      <w:r>
        <w:rPr>
          <w:rFonts w:ascii="Arial" w:cs="Arial" w:eastAsia="Arial" w:hAnsi="Arial"/>
          <w:sz w:val="17"/>
          <w:szCs w:val="17"/>
          <w:color w:val="auto"/>
        </w:rPr>
        <w:t xml:space="preserve"> (“ASC 718”), which requires recognition of share-based compensation costs in financial statements based on fair value. Compensation cost is recognized over the period during which an employee is required to provide services in exchange for the award (the requisite service period). Forfeitures are recognized as they occur.</w:t>
      </w:r>
    </w:p>
    <w:p>
      <w:pPr>
        <w:spacing w:after="0" w:line="16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Earnings per share (“EPS”) is computed using the two-class method. The two-class method determines EPS for each class of common stock and participating securities according to dividends and their respective participation rights in undistributed earnings. Participating securities include non-vested shares of restricted stock in which the participants have non-forfeitable rights to dividends during the performance period. EPS, basic and diluted, is calculated by dividing net earnings attributable to controlling interest, net of applicable taxes, by the weighted average number of shares of common stock outstanding for the period. The computation of EPS is as follows (in thousands):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10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6"/>
              </w:rPr>
              <w:t>December 26,</w:t>
            </w:r>
          </w:p>
        </w:tc>
        <w:tc>
          <w:tcPr>
            <w:tcW w:w="10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4"/>
              </w:rPr>
              <w:t>December 28,</w:t>
            </w: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December 29,</w:t>
            </w:r>
          </w:p>
        </w:tc>
      </w:tr>
      <w:tr>
        <w:trPr>
          <w:trHeight w:val="178"/>
        </w:trPr>
        <w:tc>
          <w:tcPr>
            <w:tcW w:w="58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2018</w:t>
            </w:r>
          </w:p>
        </w:tc>
      </w:tr>
      <w:tr>
        <w:trPr>
          <w:trHeight w:val="216"/>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5820" w:type="dxa"/>
            <w:vAlign w:val="bottom"/>
          </w:tcPr>
          <w:p>
            <w:pPr>
              <w:ind w:left="120"/>
              <w:spacing w:after="0"/>
              <w:rPr>
                <w:sz w:val="20"/>
                <w:szCs w:val="20"/>
                <w:color w:val="auto"/>
              </w:rPr>
            </w:pPr>
            <w:r>
              <w:rPr>
                <w:rFonts w:ascii="Arial" w:cs="Arial" w:eastAsia="Arial" w:hAnsi="Arial"/>
                <w:sz w:val="18"/>
                <w:szCs w:val="18"/>
                <w:color w:val="auto"/>
              </w:rPr>
              <w:t>Net earnings attributable to controlling interest</w:t>
            </w:r>
          </w:p>
        </w:tc>
        <w:tc>
          <w:tcPr>
            <w:tcW w:w="200" w:type="dxa"/>
            <w:vAlign w:val="bottom"/>
          </w:tcPr>
          <w:p>
            <w:pPr>
              <w:jc w:val="right"/>
              <w:ind w:right="14"/>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246,778</w:t>
            </w:r>
          </w:p>
        </w:tc>
        <w:tc>
          <w:tcPr>
            <w:tcW w:w="14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179,650</w:t>
            </w:r>
          </w:p>
        </w:tc>
        <w:tc>
          <w:tcPr>
            <w:tcW w:w="160" w:type="dxa"/>
            <w:vAlign w:val="bottom"/>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148,598</w:t>
            </w:r>
          </w:p>
        </w:tc>
      </w:tr>
      <w:tr>
        <w:trPr>
          <w:trHeight w:val="236"/>
        </w:trPr>
        <w:tc>
          <w:tcPr>
            <w:tcW w:w="58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7"/>
              </w:rPr>
              <w:t>Adjustment for earnings allocated to non-vested restricted common stock</w:t>
            </w:r>
          </w:p>
        </w:tc>
        <w:tc>
          <w:tcPr>
            <w:tcW w:w="2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(6,903)</w:t>
            </w:r>
          </w:p>
        </w:tc>
        <w:tc>
          <w:tcPr>
            <w:tcW w:w="2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(4,496)</w:t>
            </w: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(3,396)</w:t>
            </w:r>
          </w:p>
        </w:tc>
      </w:tr>
      <w:tr>
        <w:trPr>
          <w:trHeight w:val="243"/>
        </w:trPr>
        <w:tc>
          <w:tcPr>
            <w:tcW w:w="5820" w:type="dxa"/>
            <w:vAlign w:val="bottom"/>
            <w:tcBorders>
              <w:top w:val="single" w:sz="8" w:color="CCEEFF"/>
              <w:bottom w:val="single" w:sz="8" w:color="CCEEFF"/>
            </w:tcBorders>
          </w:tcPr>
          <w:p>
            <w:pPr>
              <w:ind w:left="120"/>
              <w:spacing w:after="0" w:line="203" w:lineRule="exact"/>
              <w:rPr>
                <w:sz w:val="20"/>
                <w:szCs w:val="20"/>
                <w:color w:val="auto"/>
              </w:rPr>
            </w:pPr>
            <w:r>
              <w:rPr>
                <w:rFonts w:ascii="Arial" w:cs="Arial" w:eastAsia="Arial" w:hAnsi="Arial"/>
                <w:sz w:val="18"/>
                <w:szCs w:val="18"/>
                <w:color w:val="auto"/>
              </w:rPr>
              <w:t>Net earnings for calculating EPS</w:t>
            </w:r>
          </w:p>
        </w:tc>
        <w:tc>
          <w:tcPr>
            <w:tcW w:w="200" w:type="dxa"/>
            <w:vAlign w:val="bottom"/>
            <w:tcBorders>
              <w:top w:val="single" w:sz="8" w:color="auto"/>
              <w:bottom w:val="single" w:sz="8" w:color="auto"/>
            </w:tcBorders>
          </w:tcPr>
          <w:p>
            <w:pPr>
              <w:jc w:val="right"/>
              <w:ind w:right="14"/>
              <w:spacing w:after="0" w:line="203"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239,875</w:t>
            </w:r>
          </w:p>
        </w:tc>
        <w:tc>
          <w:tcPr>
            <w:tcW w:w="140" w:type="dxa"/>
            <w:vAlign w:val="bottom"/>
            <w:tcBorders>
              <w:top w:val="single" w:sz="8" w:color="CCEEFF"/>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4"/>
              <w:spacing w:after="0" w:line="203"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175,154</w:t>
            </w:r>
          </w:p>
        </w:tc>
        <w:tc>
          <w:tcPr>
            <w:tcW w:w="160" w:type="dxa"/>
            <w:vAlign w:val="bottom"/>
            <w:tcBorders>
              <w:top w:val="single" w:sz="8" w:color="CCEEFF"/>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145,202</w:t>
            </w:r>
          </w:p>
        </w:tc>
      </w:tr>
      <w:tr>
        <w:trPr>
          <w:trHeight w:val="196"/>
        </w:trPr>
        <w:tc>
          <w:tcPr>
            <w:tcW w:w="58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Denominator:</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16"/>
        </w:trPr>
        <w:tc>
          <w:tcPr>
            <w:tcW w:w="5820" w:type="dxa"/>
            <w:vAlign w:val="bottom"/>
          </w:tcPr>
          <w:p>
            <w:pPr>
              <w:ind w:left="120"/>
              <w:spacing w:after="0"/>
              <w:rPr>
                <w:sz w:val="20"/>
                <w:szCs w:val="20"/>
                <w:color w:val="auto"/>
              </w:rPr>
            </w:pPr>
            <w:r>
              <w:rPr>
                <w:rFonts w:ascii="Arial" w:cs="Arial" w:eastAsia="Arial" w:hAnsi="Arial"/>
                <w:sz w:val="18"/>
                <w:szCs w:val="18"/>
                <w:color w:val="auto"/>
              </w:rPr>
              <w:t>Weighted average shares outstanding</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61,632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61,649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61,762</w:t>
            </w:r>
          </w:p>
        </w:tc>
      </w:tr>
      <w:tr>
        <w:trPr>
          <w:trHeight w:val="236"/>
        </w:trPr>
        <w:tc>
          <w:tcPr>
            <w:tcW w:w="5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Adjustment for non-vested restricted common stock</w:t>
            </w:r>
          </w:p>
        </w:tc>
        <w:tc>
          <w:tcPr>
            <w:tcW w:w="2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(1,724)</w:t>
            </w:r>
          </w:p>
        </w:tc>
        <w:tc>
          <w:tcPr>
            <w:tcW w:w="2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(1,543)</w:t>
            </w: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w:t>
            </w:r>
          </w:p>
        </w:tc>
      </w:tr>
      <w:tr>
        <w:trPr>
          <w:trHeight w:val="203"/>
        </w:trPr>
        <w:tc>
          <w:tcPr>
            <w:tcW w:w="5820" w:type="dxa"/>
            <w:vAlign w:val="bottom"/>
            <w:tcBorders>
              <w:top w:val="single" w:sz="8" w:color="CCEEFF"/>
            </w:tcBorders>
          </w:tcPr>
          <w:p>
            <w:pPr>
              <w:ind w:left="120"/>
              <w:spacing w:after="0" w:line="203" w:lineRule="exact"/>
              <w:rPr>
                <w:sz w:val="20"/>
                <w:szCs w:val="20"/>
                <w:color w:val="auto"/>
              </w:rPr>
            </w:pPr>
            <w:r>
              <w:rPr>
                <w:rFonts w:ascii="Arial" w:cs="Arial" w:eastAsia="Arial" w:hAnsi="Arial"/>
                <w:sz w:val="18"/>
                <w:szCs w:val="18"/>
                <w:color w:val="auto"/>
              </w:rPr>
              <w:t>Shares for calculating basic EPS</w:t>
            </w:r>
          </w:p>
        </w:tc>
        <w:tc>
          <w:tcPr>
            <w:tcW w:w="2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59,908</w:t>
            </w:r>
          </w:p>
        </w:tc>
        <w:tc>
          <w:tcPr>
            <w:tcW w:w="14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60,106</w:t>
            </w:r>
          </w:p>
        </w:tc>
        <w:tc>
          <w:tcPr>
            <w:tcW w:w="16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60,351</w:t>
            </w:r>
          </w:p>
        </w:tc>
      </w:tr>
      <w:tr>
        <w:trPr>
          <w:trHeight w:val="236"/>
        </w:trPr>
        <w:tc>
          <w:tcPr>
            <w:tcW w:w="58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Effect of dilutive restricted common stock</w:t>
            </w:r>
          </w:p>
        </w:tc>
        <w:tc>
          <w:tcPr>
            <w:tcW w:w="20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43"/>
        </w:trPr>
        <w:tc>
          <w:tcPr>
            <w:tcW w:w="5820" w:type="dxa"/>
            <w:vAlign w:val="bottom"/>
            <w:tcBorders>
              <w:bottom w:val="single" w:sz="8" w:color="CCEEFF"/>
            </w:tcBorders>
          </w:tcPr>
          <w:p>
            <w:pPr>
              <w:ind w:left="120"/>
              <w:spacing w:after="0" w:line="203" w:lineRule="exact"/>
              <w:rPr>
                <w:sz w:val="20"/>
                <w:szCs w:val="20"/>
                <w:color w:val="auto"/>
              </w:rPr>
            </w:pPr>
            <w:r>
              <w:rPr>
                <w:rFonts w:ascii="Arial" w:cs="Arial" w:eastAsia="Arial" w:hAnsi="Arial"/>
                <w:sz w:val="18"/>
                <w:szCs w:val="18"/>
                <w:color w:val="auto"/>
              </w:rPr>
              <w:t>Shares for calculating diluted EPS</w:t>
            </w:r>
          </w:p>
        </w:tc>
        <w:tc>
          <w:tcPr>
            <w:tcW w:w="2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59,928</w:t>
            </w:r>
          </w:p>
        </w:tc>
        <w:tc>
          <w:tcPr>
            <w:tcW w:w="14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60,130</w:t>
            </w:r>
          </w:p>
        </w:tc>
        <w:tc>
          <w:tcPr>
            <w:tcW w:w="1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60,433</w:t>
            </w:r>
          </w:p>
        </w:tc>
      </w:tr>
      <w:tr>
        <w:trPr>
          <w:trHeight w:val="197"/>
        </w:trPr>
        <w:tc>
          <w:tcPr>
            <w:tcW w:w="58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Net earnings per share:</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16"/>
        </w:trPr>
        <w:tc>
          <w:tcPr>
            <w:tcW w:w="5820" w:type="dxa"/>
            <w:vAlign w:val="bottom"/>
          </w:tcPr>
          <w:p>
            <w:pPr>
              <w:ind w:left="120"/>
              <w:spacing w:after="0"/>
              <w:rPr>
                <w:sz w:val="20"/>
                <w:szCs w:val="20"/>
                <w:color w:val="auto"/>
              </w:rPr>
            </w:pPr>
            <w:r>
              <w:rPr>
                <w:rFonts w:ascii="Arial" w:cs="Arial" w:eastAsia="Arial" w:hAnsi="Arial"/>
                <w:sz w:val="18"/>
                <w:szCs w:val="18"/>
                <w:color w:val="auto"/>
              </w:rPr>
              <w:t>Basic</w:t>
            </w:r>
          </w:p>
        </w:tc>
        <w:tc>
          <w:tcPr>
            <w:tcW w:w="200" w:type="dxa"/>
            <w:vAlign w:val="bottom"/>
          </w:tcPr>
          <w:p>
            <w:pPr>
              <w:jc w:val="right"/>
              <w:ind w:right="14"/>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4.00</w:t>
            </w:r>
          </w:p>
        </w:tc>
        <w:tc>
          <w:tcPr>
            <w:tcW w:w="14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2.91</w:t>
            </w:r>
          </w:p>
        </w:tc>
        <w:tc>
          <w:tcPr>
            <w:tcW w:w="160" w:type="dxa"/>
            <w:vAlign w:val="bottom"/>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2.41</w:t>
            </w:r>
          </w:p>
        </w:tc>
      </w:tr>
      <w:tr>
        <w:trPr>
          <w:trHeight w:val="216"/>
        </w:trPr>
        <w:tc>
          <w:tcPr>
            <w:tcW w:w="5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 options were excluded from the computation of diluted EPS for 2020, 2019, or 2018.</w:t>
      </w:r>
    </w:p>
    <w:p>
      <w:pPr>
        <w:spacing w:after="0" w:line="22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USE OF ACCOUNTING ESTIMATES</w:t>
      </w:r>
    </w:p>
    <w:p>
      <w:pPr>
        <w:spacing w:after="0" w:line="229"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requires us to make estimates and assumptions that affect the reported amounts of assets and liabilities and disclosure of contingent assets and liabilities at the date of the financial statements as well as the reported amounts of revenues and expenses during the reporting period. We believe our estimates to be reasonable; however, actual results could differ from these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7" w:name="page108"/>
    <w:bookmarkEnd w:id="107"/>
    <w:p>
      <w:pPr>
        <w:ind w:left="10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740" w:hanging="650"/>
        <w:spacing w:after="0"/>
        <w:tabs>
          <w:tab w:leader="none" w:pos="74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FAIR VALUE</w:t>
      </w:r>
    </w:p>
    <w:p>
      <w:pPr>
        <w:spacing w:after="0" w:line="229" w:lineRule="exact"/>
        <w:rPr>
          <w:sz w:val="20"/>
          <w:szCs w:val="20"/>
          <w:color w:val="auto"/>
        </w:rPr>
      </w:pPr>
    </w:p>
    <w:p>
      <w:pPr>
        <w:jc w:val="both"/>
        <w:ind w:left="100" w:right="80" w:firstLine="648"/>
        <w:spacing w:after="0" w:line="277" w:lineRule="auto"/>
        <w:rPr>
          <w:sz w:val="20"/>
          <w:szCs w:val="20"/>
          <w:color w:val="auto"/>
        </w:rPr>
      </w:pPr>
      <w:r>
        <w:rPr>
          <w:rFonts w:ascii="Arial" w:cs="Arial" w:eastAsia="Arial" w:hAnsi="Arial"/>
          <w:sz w:val="18"/>
          <w:szCs w:val="18"/>
          <w:color w:val="auto"/>
        </w:rPr>
        <w:t xml:space="preserve">We apply the provisions of 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to assets and liabilities measured at fair value. Assets and liabilities measured at fair value are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7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rPr>
              <w:t>December 26, 2020</w:t>
            </w: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December 28, 2019</w:t>
            </w:r>
          </w:p>
        </w:tc>
        <w:tc>
          <w:tcPr>
            <w:tcW w:w="7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1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center"/>
              <w:ind w:right="260"/>
              <w:spacing w:after="0" w:line="126" w:lineRule="exact"/>
              <w:rPr>
                <w:sz w:val="20"/>
                <w:szCs w:val="20"/>
                <w:color w:val="auto"/>
              </w:rPr>
            </w:pPr>
            <w:r>
              <w:rPr>
                <w:rFonts w:ascii="Arial" w:cs="Arial" w:eastAsia="Arial" w:hAnsi="Arial"/>
                <w:sz w:val="14"/>
                <w:szCs w:val="14"/>
                <w:b w:val="1"/>
                <w:bCs w:val="1"/>
                <w:color w:val="auto"/>
                <w:w w:val="89"/>
              </w:rPr>
              <w:t>Quoted</w:t>
            </w:r>
          </w:p>
        </w:tc>
        <w:tc>
          <w:tcPr>
            <w:tcW w:w="720" w:type="dxa"/>
            <w:vAlign w:val="bottom"/>
            <w:gridSpan w:val="2"/>
          </w:tcPr>
          <w:p>
            <w:pPr>
              <w:ind w:left="20"/>
              <w:spacing w:after="0" w:line="126" w:lineRule="exact"/>
              <w:rPr>
                <w:sz w:val="20"/>
                <w:szCs w:val="20"/>
                <w:color w:val="auto"/>
              </w:rPr>
            </w:pPr>
            <w:r>
              <w:rPr>
                <w:rFonts w:ascii="Arial" w:cs="Arial" w:eastAsia="Arial" w:hAnsi="Arial"/>
                <w:sz w:val="14"/>
                <w:szCs w:val="14"/>
                <w:b w:val="1"/>
                <w:bCs w:val="1"/>
                <w:color w:val="auto"/>
                <w:w w:val="91"/>
              </w:rPr>
              <w:t>Prices with</w:t>
            </w:r>
          </w:p>
        </w:tc>
        <w:tc>
          <w:tcPr>
            <w:tcW w:w="120" w:type="dxa"/>
            <w:vAlign w:val="bottom"/>
          </w:tcPr>
          <w:p>
            <w:pPr>
              <w:spacing w:after="0"/>
              <w:rPr>
                <w:sz w:val="10"/>
                <w:szCs w:val="10"/>
                <w:color w:val="auto"/>
              </w:rPr>
            </w:pPr>
          </w:p>
        </w:tc>
        <w:tc>
          <w:tcPr>
            <w:tcW w:w="10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1"/>
              </w:rPr>
              <w:t>Prices with</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gridSpan w:val="2"/>
          </w:tcPr>
          <w:p>
            <w:pPr>
              <w:jc w:val="center"/>
              <w:ind w:right="160"/>
              <w:spacing w:after="0" w:line="126" w:lineRule="exact"/>
              <w:rPr>
                <w:sz w:val="20"/>
                <w:szCs w:val="20"/>
                <w:color w:val="auto"/>
              </w:rPr>
            </w:pPr>
            <w:r>
              <w:rPr>
                <w:rFonts w:ascii="Arial" w:cs="Arial" w:eastAsia="Arial" w:hAnsi="Arial"/>
                <w:sz w:val="14"/>
                <w:szCs w:val="14"/>
                <w:b w:val="1"/>
                <w:bCs w:val="1"/>
                <w:color w:val="auto"/>
                <w:w w:val="93"/>
              </w:rPr>
              <w:t>Quoted</w:t>
            </w:r>
          </w:p>
        </w:tc>
        <w:tc>
          <w:tcPr>
            <w:tcW w:w="720" w:type="dxa"/>
            <w:vAlign w:val="bottom"/>
            <w:gridSpan w:val="2"/>
          </w:tcPr>
          <w:p>
            <w:pPr>
              <w:ind w:left="20"/>
              <w:spacing w:after="0" w:line="126" w:lineRule="exact"/>
              <w:rPr>
                <w:sz w:val="20"/>
                <w:szCs w:val="20"/>
                <w:color w:val="auto"/>
              </w:rPr>
            </w:pPr>
            <w:r>
              <w:rPr>
                <w:rFonts w:ascii="Arial" w:cs="Arial" w:eastAsia="Arial" w:hAnsi="Arial"/>
                <w:sz w:val="14"/>
                <w:szCs w:val="14"/>
                <w:b w:val="1"/>
                <w:bCs w:val="1"/>
                <w:color w:val="auto"/>
                <w:w w:val="91"/>
              </w:rPr>
              <w:t>Prices with</w:t>
            </w:r>
          </w:p>
        </w:tc>
        <w:tc>
          <w:tcPr>
            <w:tcW w:w="100" w:type="dxa"/>
            <w:vAlign w:val="bottom"/>
          </w:tcPr>
          <w:p>
            <w:pPr>
              <w:spacing w:after="0"/>
              <w:rPr>
                <w:sz w:val="10"/>
                <w:szCs w:val="10"/>
                <w:color w:val="auto"/>
              </w:rPr>
            </w:pPr>
          </w:p>
        </w:tc>
        <w:tc>
          <w:tcPr>
            <w:tcW w:w="10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1"/>
              </w:rPr>
              <w:t>Prices with</w:t>
            </w: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Prices in</w:t>
            </w:r>
          </w:p>
        </w:tc>
        <w:tc>
          <w:tcPr>
            <w:tcW w:w="10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Prices in</w:t>
            </w:r>
          </w:p>
        </w:tc>
        <w:tc>
          <w:tcPr>
            <w:tcW w:w="100" w:type="dxa"/>
            <w:vAlign w:val="bottom"/>
          </w:tcPr>
          <w:p>
            <w:pPr>
              <w:spacing w:after="0"/>
              <w:rPr>
                <w:sz w:val="12"/>
                <w:szCs w:val="12"/>
                <w:color w:val="auto"/>
              </w:rPr>
            </w:pPr>
          </w:p>
        </w:tc>
        <w:tc>
          <w:tcPr>
            <w:tcW w:w="62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Active</w:t>
            </w:r>
          </w:p>
        </w:tc>
        <w:tc>
          <w:tcPr>
            <w:tcW w:w="7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9"/>
              </w:rPr>
              <w:t>Observable</w:t>
            </w:r>
          </w:p>
        </w:tc>
        <w:tc>
          <w:tcPr>
            <w:tcW w:w="120" w:type="dxa"/>
            <w:vAlign w:val="bottom"/>
          </w:tcPr>
          <w:p>
            <w:pPr>
              <w:spacing w:after="0"/>
              <w:rPr>
                <w:sz w:val="12"/>
                <w:szCs w:val="12"/>
                <w:color w:val="auto"/>
              </w:rPr>
            </w:pP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Active</w:t>
            </w:r>
          </w:p>
        </w:tc>
        <w:tc>
          <w:tcPr>
            <w:tcW w:w="7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9"/>
              </w:rPr>
              <w:t>Observable</w:t>
            </w:r>
          </w:p>
        </w:tc>
        <w:tc>
          <w:tcPr>
            <w:tcW w:w="100" w:type="dxa"/>
            <w:vAlign w:val="bottom"/>
          </w:tcPr>
          <w:p>
            <w:pPr>
              <w:spacing w:after="0"/>
              <w:rPr>
                <w:sz w:val="12"/>
                <w:szCs w:val="12"/>
                <w:color w:val="auto"/>
              </w:rPr>
            </w:pP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Markets</w:t>
            </w:r>
          </w:p>
        </w:tc>
        <w:tc>
          <w:tcPr>
            <w:tcW w:w="100" w:type="dxa"/>
            <w:vAlign w:val="bottom"/>
          </w:tcPr>
          <w:p>
            <w:pPr>
              <w:spacing w:after="0"/>
              <w:rPr>
                <w:sz w:val="12"/>
                <w:szCs w:val="12"/>
                <w:color w:val="auto"/>
              </w:rPr>
            </w:pPr>
          </w:p>
        </w:tc>
        <w:tc>
          <w:tcPr>
            <w:tcW w:w="62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95"/>
              </w:rPr>
              <w:t>Inputs</w:t>
            </w:r>
          </w:p>
        </w:tc>
        <w:tc>
          <w:tcPr>
            <w:tcW w:w="12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Inputs</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8"/>
              </w:rPr>
              <w:t>Markets</w:t>
            </w:r>
          </w:p>
        </w:tc>
        <w:tc>
          <w:tcPr>
            <w:tcW w:w="100" w:type="dxa"/>
            <w:vAlign w:val="bottom"/>
          </w:tcPr>
          <w:p>
            <w:pPr>
              <w:spacing w:after="0"/>
              <w:rPr>
                <w:sz w:val="12"/>
                <w:szCs w:val="12"/>
                <w:color w:val="auto"/>
              </w:rPr>
            </w:pPr>
          </w:p>
        </w:tc>
        <w:tc>
          <w:tcPr>
            <w:tcW w:w="62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95"/>
              </w:rPr>
              <w:t>Inputs</w:t>
            </w:r>
          </w:p>
        </w:tc>
        <w:tc>
          <w:tcPr>
            <w:tcW w:w="10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Inputs</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7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5"/>
                <w:szCs w:val="15"/>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4"/>
              </w:rPr>
              <w:t>(Level 2)</w:t>
            </w:r>
          </w:p>
        </w:tc>
        <w:tc>
          <w:tcPr>
            <w:tcW w:w="120" w:type="dxa"/>
            <w:vAlign w:val="bottom"/>
          </w:tcPr>
          <w:p>
            <w:pPr>
              <w:spacing w:after="0"/>
              <w:rPr>
                <w:sz w:val="15"/>
                <w:szCs w:val="15"/>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(Level 3)</w:t>
            </w:r>
          </w:p>
        </w:tc>
        <w:tc>
          <w:tcPr>
            <w:tcW w:w="16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w:t>
            </w: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Pr>
          <w:p>
            <w:pPr>
              <w:spacing w:after="0"/>
              <w:rPr>
                <w:sz w:val="15"/>
                <w:szCs w:val="15"/>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(Level 3)</w:t>
            </w:r>
          </w:p>
        </w:tc>
        <w:tc>
          <w:tcPr>
            <w:tcW w:w="780" w:type="dxa"/>
            <w:vAlign w:val="bottom"/>
          </w:tcPr>
          <w:p>
            <w:pPr>
              <w:jc w:val="right"/>
              <w:ind w:right="1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6"/>
        </w:trPr>
        <w:tc>
          <w:tcPr>
            <w:tcW w:w="1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4,643</w:t>
            </w: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4,662</w:t>
            </w:r>
          </w:p>
        </w:tc>
        <w:tc>
          <w:tcPr>
            <w:tcW w:w="1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$ 162,626</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$ 163,188</w:t>
            </w:r>
          </w:p>
        </w:tc>
        <w:tc>
          <w:tcPr>
            <w:tcW w:w="0" w:type="dxa"/>
            <w:vAlign w:val="bottom"/>
          </w:tcPr>
          <w:p>
            <w:pPr>
              <w:spacing w:after="0"/>
              <w:rPr>
                <w:sz w:val="1"/>
                <w:szCs w:val="1"/>
                <w:color w:val="auto"/>
              </w:rPr>
            </w:pPr>
          </w:p>
        </w:tc>
      </w:tr>
      <w:tr>
        <w:trPr>
          <w:trHeight w:val="216"/>
        </w:trPr>
        <w:tc>
          <w:tcPr>
            <w:tcW w:w="1700" w:type="dxa"/>
            <w:vAlign w:val="bottom"/>
          </w:tcPr>
          <w:p>
            <w:pPr>
              <w:ind w:left="20"/>
              <w:spacing w:after="0"/>
              <w:rPr>
                <w:sz w:val="20"/>
                <w:szCs w:val="20"/>
                <w:color w:val="auto"/>
              </w:rPr>
            </w:pPr>
            <w:r>
              <w:rPr>
                <w:rFonts w:ascii="Arial" w:cs="Arial" w:eastAsia="Arial" w:hAnsi="Arial"/>
                <w:sz w:val="18"/>
                <w:szCs w:val="18"/>
                <w:color w:val="auto"/>
              </w:rPr>
              <w:t>Fixed income funds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16,224</w:t>
            </w:r>
          </w:p>
        </w:tc>
        <w:tc>
          <w:tcPr>
            <w:tcW w:w="1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16,470</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15,495</w:t>
            </w:r>
          </w:p>
        </w:tc>
        <w:tc>
          <w:tcPr>
            <w:tcW w:w="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15,729</w:t>
            </w: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securities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12,602</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9,734</w:t>
            </w:r>
          </w:p>
        </w:tc>
        <w:tc>
          <w:tcPr>
            <w:tcW w:w="0" w:type="dxa"/>
            <w:vAlign w:val="bottom"/>
          </w:tcPr>
          <w:p>
            <w:pPr>
              <w:spacing w:after="0"/>
              <w:rPr>
                <w:sz w:val="1"/>
                <w:szCs w:val="1"/>
                <w:color w:val="auto"/>
              </w:rPr>
            </w:pPr>
          </w:p>
        </w:tc>
      </w:tr>
      <w:tr>
        <w:trPr>
          <w:trHeight w:val="202"/>
        </w:trPr>
        <w:tc>
          <w:tcPr>
            <w:tcW w:w="1700" w:type="dxa"/>
            <w:vAlign w:val="bottom"/>
          </w:tcPr>
          <w:p>
            <w:pPr>
              <w:ind w:left="20"/>
              <w:spacing w:after="0" w:line="201" w:lineRule="exact"/>
              <w:rPr>
                <w:sz w:val="20"/>
                <w:szCs w:val="20"/>
                <w:color w:val="auto"/>
              </w:rPr>
            </w:pPr>
            <w:r>
              <w:rPr>
                <w:rFonts w:ascii="Arial" w:cs="Arial" w:eastAsia="Arial" w:hAnsi="Arial"/>
                <w:sz w:val="18"/>
                <w:szCs w:val="18"/>
                <w:color w:val="auto"/>
              </w:rPr>
              <w:t>Alternative</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00" w:type="dxa"/>
            <w:vAlign w:val="bottom"/>
          </w:tcPr>
          <w:p>
            <w:pPr>
              <w:ind w:left="20"/>
              <w:spacing w:after="0"/>
              <w:rPr>
                <w:sz w:val="20"/>
                <w:szCs w:val="20"/>
                <w:color w:val="auto"/>
              </w:rPr>
            </w:pPr>
            <w:r>
              <w:rPr>
                <w:rFonts w:ascii="Arial" w:cs="Arial" w:eastAsia="Arial" w:hAnsi="Arial"/>
                <w:sz w:val="18"/>
                <w:szCs w:val="18"/>
                <w:color w:val="auto"/>
              </w:rPr>
              <w:t>investments</w:t>
            </w:r>
          </w:p>
        </w:tc>
        <w:tc>
          <w:tcPr>
            <w:tcW w:w="10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2,040</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2,040</w:t>
            </w:r>
          </w:p>
        </w:tc>
        <w:tc>
          <w:tcPr>
            <w:tcW w:w="18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1,941</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1,941</w:t>
            </w: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Mutual funds: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700" w:type="dxa"/>
            <w:vAlign w:val="bottom"/>
          </w:tcPr>
          <w:p>
            <w:pPr>
              <w:ind w:left="120"/>
              <w:spacing w:after="0" w:line="201" w:lineRule="exact"/>
              <w:rPr>
                <w:sz w:val="20"/>
                <w:szCs w:val="20"/>
                <w:color w:val="auto"/>
              </w:rPr>
            </w:pPr>
            <w:r>
              <w:rPr>
                <w:rFonts w:ascii="Arial" w:cs="Arial" w:eastAsia="Arial" w:hAnsi="Arial"/>
                <w:sz w:val="18"/>
                <w:szCs w:val="18"/>
                <w:color w:val="auto"/>
              </w:rPr>
              <w:t>Domestic stock</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00" w:type="dxa"/>
            <w:vAlign w:val="bottom"/>
          </w:tcPr>
          <w:p>
            <w:pPr>
              <w:ind w:left="120"/>
              <w:spacing w:after="0"/>
              <w:rPr>
                <w:sz w:val="20"/>
                <w:szCs w:val="20"/>
                <w:color w:val="auto"/>
              </w:rPr>
            </w:pPr>
            <w:r>
              <w:rPr>
                <w:rFonts w:ascii="Arial" w:cs="Arial" w:eastAsia="Arial" w:hAnsi="Arial"/>
                <w:sz w:val="18"/>
                <w:szCs w:val="18"/>
                <w:color w:val="auto"/>
              </w:rPr>
              <w:t>funds</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8,088</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8,088</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3,308</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3,308</w:t>
            </w:r>
          </w:p>
        </w:tc>
        <w:tc>
          <w:tcPr>
            <w:tcW w:w="0" w:type="dxa"/>
            <w:vAlign w:val="bottom"/>
          </w:tcPr>
          <w:p>
            <w:pPr>
              <w:spacing w:after="0"/>
              <w:rPr>
                <w:sz w:val="1"/>
                <w:szCs w:val="1"/>
                <w:color w:val="auto"/>
              </w:rPr>
            </w:pPr>
          </w:p>
        </w:tc>
      </w:tr>
      <w:tr>
        <w:trPr>
          <w:trHeight w:val="202"/>
        </w:trPr>
        <w:tc>
          <w:tcPr>
            <w:tcW w:w="170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International stock</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funds</w:t>
            </w: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w:t>
            </w: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1,741</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1,741</w:t>
            </w:r>
          </w:p>
        </w:tc>
        <w:tc>
          <w:tcPr>
            <w:tcW w:w="0" w:type="dxa"/>
            <w:vAlign w:val="bottom"/>
          </w:tcPr>
          <w:p>
            <w:pPr>
              <w:spacing w:after="0"/>
              <w:rPr>
                <w:sz w:val="1"/>
                <w:szCs w:val="1"/>
                <w:color w:val="auto"/>
              </w:rPr>
            </w:pPr>
          </w:p>
        </w:tc>
      </w:tr>
      <w:tr>
        <w:trPr>
          <w:trHeight w:val="216"/>
        </w:trPr>
        <w:tc>
          <w:tcPr>
            <w:tcW w:w="1700" w:type="dxa"/>
            <w:vAlign w:val="bottom"/>
          </w:tcPr>
          <w:p>
            <w:pPr>
              <w:ind w:left="120"/>
              <w:spacing w:after="0"/>
              <w:rPr>
                <w:sz w:val="20"/>
                <w:szCs w:val="20"/>
                <w:color w:val="auto"/>
              </w:rPr>
            </w:pPr>
            <w:r>
              <w:rPr>
                <w:rFonts w:ascii="Arial" w:cs="Arial" w:eastAsia="Arial" w:hAnsi="Arial"/>
                <w:sz w:val="18"/>
                <w:szCs w:val="18"/>
                <w:color w:val="auto"/>
              </w:rPr>
              <w:t>Target funds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114</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Bond funds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23"/>
        </w:trPr>
        <w:tc>
          <w:tcPr>
            <w:tcW w:w="1700" w:type="dxa"/>
            <w:vAlign w:val="bottom"/>
          </w:tcPr>
          <w:p>
            <w:pPr>
              <w:ind w:left="120"/>
              <w:spacing w:after="0"/>
              <w:rPr>
                <w:sz w:val="20"/>
                <w:szCs w:val="20"/>
                <w:color w:val="auto"/>
              </w:rPr>
            </w:pPr>
            <w:r>
              <w:rPr>
                <w:rFonts w:ascii="Arial" w:cs="Arial" w:eastAsia="Arial" w:hAnsi="Arial"/>
                <w:sz w:val="18"/>
                <w:szCs w:val="18"/>
                <w:color w:val="auto"/>
              </w:rPr>
              <w:t>Alternative funds</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482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482</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1,747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1,747</w:t>
            </w:r>
          </w:p>
        </w:tc>
        <w:tc>
          <w:tcPr>
            <w:tcW w:w="0" w:type="dxa"/>
            <w:vAlign w:val="bottom"/>
          </w:tcPr>
          <w:p>
            <w:pPr>
              <w:spacing w:after="0"/>
              <w:rPr>
                <w:sz w:val="1"/>
                <w:szCs w:val="1"/>
                <w:color w:val="auto"/>
              </w:rPr>
            </w:pPr>
          </w:p>
        </w:tc>
      </w:tr>
      <w:tr>
        <w:trPr>
          <w:trHeight w:val="236"/>
        </w:trPr>
        <w:tc>
          <w:tcPr>
            <w:tcW w:w="1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mutual funds</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10,271</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10,271</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7,927</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7,927</w:t>
            </w:r>
          </w:p>
        </w:tc>
        <w:tc>
          <w:tcPr>
            <w:tcW w:w="0" w:type="dxa"/>
            <w:vAlign w:val="bottom"/>
          </w:tcPr>
          <w:p>
            <w:pPr>
              <w:spacing w:after="0"/>
              <w:rPr>
                <w:sz w:val="1"/>
                <w:szCs w:val="1"/>
                <w:color w:val="auto"/>
              </w:rPr>
            </w:pPr>
          </w:p>
        </w:tc>
      </w:tr>
      <w:tr>
        <w:trPr>
          <w:trHeight w:val="203"/>
        </w:trPr>
        <w:tc>
          <w:tcPr>
            <w:tcW w:w="1700" w:type="dxa"/>
            <w:vAlign w:val="bottom"/>
          </w:tcPr>
          <w:p>
            <w:pPr>
              <w:ind w:left="20"/>
              <w:spacing w:after="0" w:line="203" w:lineRule="exact"/>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line="203" w:lineRule="exact"/>
              <w:rPr>
                <w:sz w:val="20"/>
                <w:szCs w:val="20"/>
                <w:color w:val="auto"/>
              </w:rPr>
            </w:pPr>
            <w:r>
              <w:rPr>
                <w:rFonts w:ascii="Arial" w:cs="Arial" w:eastAsia="Arial" w:hAnsi="Arial"/>
                <w:sz w:val="18"/>
                <w:szCs w:val="18"/>
                <w:color w:val="auto"/>
              </w:rPr>
              <w:t>23,138</w:t>
            </w:r>
          </w:p>
        </w:tc>
        <w:tc>
          <w:tcPr>
            <w:tcW w:w="180" w:type="dxa"/>
            <w:vAlign w:val="bottom"/>
          </w:tcPr>
          <w:p>
            <w:pPr>
              <w:spacing w:after="0"/>
              <w:rPr>
                <w:sz w:val="17"/>
                <w:szCs w:val="17"/>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line="203" w:lineRule="exact"/>
              <w:rPr>
                <w:sz w:val="20"/>
                <w:szCs w:val="20"/>
                <w:color w:val="auto"/>
              </w:rPr>
            </w:pPr>
            <w:r>
              <w:rPr>
                <w:rFonts w:ascii="Arial" w:cs="Arial" w:eastAsia="Arial" w:hAnsi="Arial"/>
                <w:sz w:val="18"/>
                <w:szCs w:val="18"/>
                <w:color w:val="auto"/>
              </w:rPr>
              <w:t>20,867</w:t>
            </w:r>
          </w:p>
        </w:tc>
        <w:tc>
          <w:tcPr>
            <w:tcW w:w="120" w:type="dxa"/>
            <w:vAlign w:val="bottom"/>
          </w:tcPr>
          <w:p>
            <w:pPr>
              <w:jc w:val="right"/>
              <w:spacing w:after="0" w:line="203" w:lineRule="exact"/>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line="203" w:lineRule="exact"/>
              <w:rPr>
                <w:sz w:val="20"/>
                <w:szCs w:val="20"/>
                <w:color w:val="auto"/>
              </w:rPr>
            </w:pPr>
            <w:r>
              <w:rPr>
                <w:rFonts w:ascii="Arial" w:cs="Arial" w:eastAsia="Arial" w:hAnsi="Arial"/>
                <w:sz w:val="18"/>
                <w:szCs w:val="18"/>
                <w:color w:val="auto"/>
              </w:rPr>
              <w:t>2,040</w:t>
            </w:r>
          </w:p>
        </w:tc>
        <w:tc>
          <w:tcPr>
            <w:tcW w:w="180" w:type="dxa"/>
            <w:vAlign w:val="bottom"/>
          </w:tcPr>
          <w:p>
            <w:pPr>
              <w:spacing w:after="0"/>
              <w:rPr>
                <w:sz w:val="17"/>
                <w:szCs w:val="17"/>
                <w:color w:val="auto"/>
              </w:rPr>
            </w:pPr>
          </w:p>
        </w:tc>
        <w:tc>
          <w:tcPr>
            <w:tcW w:w="16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line="203" w:lineRule="exact"/>
              <w:rPr>
                <w:sz w:val="20"/>
                <w:szCs w:val="20"/>
                <w:color w:val="auto"/>
              </w:rPr>
            </w:pPr>
            <w:r>
              <w:rPr>
                <w:rFonts w:ascii="Arial" w:cs="Arial" w:eastAsia="Arial" w:hAnsi="Arial"/>
                <w:sz w:val="18"/>
                <w:szCs w:val="18"/>
                <w:color w:val="auto"/>
                <w:w w:val="94"/>
              </w:rPr>
              <w:t>46,045</w:t>
            </w:r>
          </w:p>
        </w:tc>
        <w:tc>
          <w:tcPr>
            <w:tcW w:w="18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w w:val="89"/>
              </w:rPr>
              <w:t>$ 180,521</w:t>
            </w:r>
          </w:p>
        </w:tc>
        <w:tc>
          <w:tcPr>
            <w:tcW w:w="180" w:type="dxa"/>
            <w:vAlign w:val="bottom"/>
          </w:tcPr>
          <w:p>
            <w:pPr>
              <w:spacing w:after="0"/>
              <w:rPr>
                <w:sz w:val="17"/>
                <w:szCs w:val="17"/>
                <w:color w:val="auto"/>
              </w:rPr>
            </w:pPr>
          </w:p>
        </w:tc>
        <w:tc>
          <w:tcPr>
            <w:tcW w:w="100" w:type="dxa"/>
            <w:vAlign w:val="bottom"/>
          </w:tcPr>
          <w:p>
            <w:pPr>
              <w:spacing w:after="0" w:line="203" w:lineRule="exact"/>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line="203" w:lineRule="exact"/>
              <w:rPr>
                <w:sz w:val="20"/>
                <w:szCs w:val="20"/>
                <w:color w:val="auto"/>
              </w:rPr>
            </w:pPr>
            <w:r>
              <w:rPr>
                <w:rFonts w:ascii="Arial" w:cs="Arial" w:eastAsia="Arial" w:hAnsi="Arial"/>
                <w:sz w:val="18"/>
                <w:szCs w:val="18"/>
                <w:color w:val="auto"/>
                <w:w w:val="98"/>
              </w:rPr>
              <w:t>16,057</w:t>
            </w:r>
          </w:p>
        </w:tc>
        <w:tc>
          <w:tcPr>
            <w:tcW w:w="10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203" w:lineRule="exact"/>
              <w:rPr>
                <w:sz w:val="20"/>
                <w:szCs w:val="20"/>
                <w:color w:val="auto"/>
              </w:rPr>
            </w:pPr>
            <w:r>
              <w:rPr>
                <w:rFonts w:ascii="Arial" w:cs="Arial" w:eastAsia="Arial" w:hAnsi="Arial"/>
                <w:sz w:val="18"/>
                <w:szCs w:val="18"/>
                <w:color w:val="auto"/>
              </w:rPr>
              <w:t>1,941</w:t>
            </w:r>
          </w:p>
        </w:tc>
        <w:tc>
          <w:tcPr>
            <w:tcW w:w="18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Arial" w:cs="Arial" w:eastAsia="Arial" w:hAnsi="Arial"/>
                <w:sz w:val="18"/>
                <w:szCs w:val="18"/>
                <w:color w:val="auto"/>
                <w:w w:val="89"/>
              </w:rPr>
              <w:t>$ 198,519</w:t>
            </w:r>
          </w:p>
        </w:tc>
        <w:tc>
          <w:tcPr>
            <w:tcW w:w="0" w:type="dxa"/>
            <w:vAlign w:val="bottom"/>
          </w:tcPr>
          <w:p>
            <w:pPr>
              <w:spacing w:after="0"/>
              <w:rPr>
                <w:sz w:val="1"/>
                <w:szCs w:val="1"/>
                <w:color w:val="auto"/>
              </w:rPr>
            </w:pPr>
          </w:p>
        </w:tc>
      </w:tr>
      <w:tr>
        <w:trPr>
          <w:trHeight w:val="216"/>
        </w:trPr>
        <w:tc>
          <w:tcPr>
            <w:tcW w:w="1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Assets at fair value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23,138</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20,867</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2,040</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46,045</w:t>
            </w:r>
          </w:p>
        </w:tc>
        <w:tc>
          <w:tcPr>
            <w:tcW w:w="1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$ 180,521</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16,057</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1,941</w:t>
            </w:r>
          </w:p>
        </w:tc>
        <w:tc>
          <w:tcPr>
            <w:tcW w:w="1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$ 198,519</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100" w:right="60" w:firstLine="648"/>
        <w:spacing w:after="0" w:line="257" w:lineRule="auto"/>
        <w:rPr>
          <w:sz w:val="20"/>
          <w:szCs w:val="20"/>
          <w:color w:val="auto"/>
        </w:rPr>
      </w:pPr>
      <w:r>
        <w:rPr>
          <w:rFonts w:ascii="Arial" w:cs="Arial" w:eastAsia="Arial" w:hAnsi="Arial"/>
          <w:sz w:val="18"/>
          <w:szCs w:val="18"/>
          <w:color w:val="auto"/>
        </w:rPr>
        <w:t>From the assets measured at fair value as of December 26, 2020, listed in the table above, less than $0.1 million of money market funds are held in Cash and Cash Equivalents, $24.2 million of mutual funds, equity securities, and alternative investments are held in Investments, $0.6 million of money market and mutual funds are held in Other Assets for our deferred compensation plan, and $16.5 million of fixed income funds and $4.6 million of money market funds are held in Restricted Investments.</w:t>
      </w:r>
    </w:p>
    <w:p>
      <w:pPr>
        <w:spacing w:after="0" w:line="188" w:lineRule="exact"/>
        <w:rPr>
          <w:sz w:val="20"/>
          <w:szCs w:val="20"/>
          <w:color w:val="auto"/>
        </w:rPr>
      </w:pPr>
    </w:p>
    <w:p>
      <w:pPr>
        <w:jc w:val="both"/>
        <w:ind w:left="100" w:right="60" w:firstLine="648"/>
        <w:spacing w:after="0" w:line="275" w:lineRule="auto"/>
        <w:rPr>
          <w:sz w:val="20"/>
          <w:szCs w:val="20"/>
          <w:color w:val="auto"/>
        </w:rPr>
      </w:pPr>
      <w:r>
        <w:rPr>
          <w:rFonts w:ascii="Arial" w:cs="Arial" w:eastAsia="Arial" w:hAnsi="Arial"/>
          <w:sz w:val="17"/>
          <w:szCs w:val="17"/>
          <w:color w:val="auto"/>
        </w:rPr>
        <w:t xml:space="preserve">We maintain money market, mutual funds, bonds, and/or stocks in our non-qualified deferred compensation plan and our wholly owned licensed captive insurance company, and assets held in financial institutions. These funds are valued at prices quoted in an active exchange market and are included in "Cash and Cash Equivalents", "Investments", "Other Assets", and “Restricted Investments.” We have elected not to apply the fair value option under ASC 825, </w:t>
      </w:r>
      <w:r>
        <w:rPr>
          <w:rFonts w:ascii="Arial" w:cs="Arial" w:eastAsia="Arial" w:hAnsi="Arial"/>
          <w:sz w:val="17"/>
          <w:szCs w:val="17"/>
          <w:i w:val="1"/>
          <w:iCs w:val="1"/>
          <w:color w:val="auto"/>
        </w:rPr>
        <w:t>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Instruments, </w:t>
      </w:r>
      <w:r>
        <w:rPr>
          <w:rFonts w:ascii="Arial" w:cs="Arial" w:eastAsia="Arial" w:hAnsi="Arial"/>
          <w:sz w:val="17"/>
          <w:szCs w:val="17"/>
          <w:color w:val="auto"/>
        </w:rPr>
        <w:t>to any of our financial instruments except for those expressly required by U.S. GAAP.</w:t>
      </w:r>
    </w:p>
    <w:p>
      <w:pPr>
        <w:spacing w:after="0" w:line="176" w:lineRule="exact"/>
        <w:rPr>
          <w:sz w:val="20"/>
          <w:szCs w:val="20"/>
          <w:color w:val="auto"/>
        </w:rPr>
      </w:pPr>
    </w:p>
    <w:p>
      <w:pPr>
        <w:jc w:val="both"/>
        <w:ind w:left="100" w:right="60" w:firstLine="648"/>
        <w:spacing w:after="0" w:line="277" w:lineRule="auto"/>
        <w:rPr>
          <w:sz w:val="20"/>
          <w:szCs w:val="20"/>
          <w:color w:val="auto"/>
        </w:rPr>
      </w:pPr>
      <w:r>
        <w:rPr>
          <w:rFonts w:ascii="Arial" w:cs="Arial" w:eastAsia="Arial" w:hAnsi="Arial"/>
          <w:sz w:val="18"/>
          <w:szCs w:val="18"/>
          <w:color w:val="auto"/>
        </w:rPr>
        <w:t>During 2018, we purchased a private real estate income trust which is valued as a Level 3 asset and is categorized as an “Alternative Investment.”</w:t>
      </w:r>
    </w:p>
    <w:p>
      <w:pPr>
        <w:spacing w:after="0" w:line="170" w:lineRule="exact"/>
        <w:rPr>
          <w:sz w:val="20"/>
          <w:szCs w:val="20"/>
          <w:color w:val="auto"/>
        </w:rPr>
      </w:pPr>
    </w:p>
    <w:p>
      <w:pPr>
        <w:jc w:val="both"/>
        <w:ind w:left="100" w:right="60" w:firstLine="648"/>
        <w:spacing w:after="0" w:line="263" w:lineRule="auto"/>
        <w:rPr>
          <w:sz w:val="20"/>
          <w:szCs w:val="20"/>
          <w:color w:val="auto"/>
        </w:rPr>
      </w:pPr>
      <w:r>
        <w:rPr>
          <w:rFonts w:ascii="Arial" w:cs="Arial" w:eastAsia="Arial" w:hAnsi="Arial"/>
          <w:sz w:val="18"/>
          <w:szCs w:val="18"/>
          <w:color w:val="auto"/>
        </w:rPr>
        <w:t>In accordance with our investment policy, our wholly-owned company, Ardellis Insurance Ltd. ("Ardellis"), maintains an investment portfolio, totaling $40.8 million as of December 26, 2020, consisting of domestic and international stocks, alternative investments, and fixed income bonds.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357505</wp:posOffset>
            </wp:positionV>
            <wp:extent cx="5657850"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60"/>
          </w:cols>
          <w:pgMar w:left="1400" w:top="517" w:right="1439" w:bottom="1440" w:gutter="0" w:footer="0" w:header="0"/>
        </w:sectPr>
      </w:pPr>
    </w:p>
    <w:bookmarkStart w:id="108" w:name="page109"/>
    <w:bookmarkEnd w:id="10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Ardellis’ available for sale investment portfolio, including funds held with the State of Michigan, consists of the following (in thousands):</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78"/>
        </w:trPr>
        <w:tc>
          <w:tcPr>
            <w:tcW w:w="27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6"/>
          </w:tcPr>
          <w:p>
            <w:pPr>
              <w:jc w:val="right"/>
              <w:ind w:right="596"/>
              <w:spacing w:after="0"/>
              <w:rPr>
                <w:sz w:val="20"/>
                <w:szCs w:val="20"/>
                <w:color w:val="auto"/>
              </w:rPr>
            </w:pPr>
            <w:r>
              <w:rPr>
                <w:rFonts w:ascii="Arial" w:cs="Arial" w:eastAsia="Arial" w:hAnsi="Arial"/>
                <w:sz w:val="14"/>
                <w:szCs w:val="14"/>
                <w:b w:val="1"/>
                <w:bCs w:val="1"/>
                <w:color w:val="auto"/>
                <w:w w:val="91"/>
              </w:rPr>
              <w:t>December 26, 2020</w:t>
            </w:r>
          </w:p>
        </w:tc>
        <w:tc>
          <w:tcPr>
            <w:tcW w:w="14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6"/>
          </w:tcPr>
          <w:p>
            <w:pPr>
              <w:jc w:val="right"/>
              <w:ind w:right="596"/>
              <w:spacing w:after="0"/>
              <w:rPr>
                <w:sz w:val="20"/>
                <w:szCs w:val="20"/>
                <w:color w:val="auto"/>
              </w:rPr>
            </w:pPr>
            <w:r>
              <w:rPr>
                <w:rFonts w:ascii="Arial" w:cs="Arial" w:eastAsia="Arial" w:hAnsi="Arial"/>
                <w:sz w:val="14"/>
                <w:szCs w:val="14"/>
                <w:b w:val="1"/>
                <w:bCs w:val="1"/>
                <w:color w:val="auto"/>
                <w:w w:val="91"/>
              </w:rPr>
              <w:t>December 28, 2019</w:t>
            </w:r>
          </w:p>
        </w:tc>
        <w:tc>
          <w:tcPr>
            <w:tcW w:w="0" w:type="dxa"/>
            <w:vAlign w:val="bottom"/>
          </w:tcPr>
          <w:p>
            <w:pPr>
              <w:spacing w:after="0"/>
              <w:rPr>
                <w:sz w:val="1"/>
                <w:szCs w:val="1"/>
                <w:color w:val="auto"/>
              </w:rPr>
            </w:pPr>
          </w:p>
        </w:tc>
      </w:tr>
      <w:tr>
        <w:trPr>
          <w:trHeight w:val="126"/>
        </w:trPr>
        <w:tc>
          <w:tcPr>
            <w:tcW w:w="27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4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rPr>
              <w:t>Cost</w:t>
            </w: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gridSpan w:val="2"/>
          </w:tcPr>
          <w:p>
            <w:pPr>
              <w:jc w:val="right"/>
              <w:spacing w:after="0" w:line="126" w:lineRule="exact"/>
              <w:rPr>
                <w:sz w:val="20"/>
                <w:szCs w:val="20"/>
                <w:color w:val="auto"/>
              </w:rPr>
            </w:pPr>
            <w:r>
              <w:rPr>
                <w:rFonts w:ascii="Arial" w:cs="Arial" w:eastAsia="Arial" w:hAnsi="Arial"/>
                <w:sz w:val="14"/>
                <w:szCs w:val="14"/>
                <w:b w:val="1"/>
                <w:bCs w:val="1"/>
                <w:color w:val="auto"/>
                <w:w w:val="95"/>
              </w:rPr>
              <w:t>Unrealized</w:t>
            </w:r>
          </w:p>
        </w:tc>
        <w:tc>
          <w:tcPr>
            <w:tcW w:w="16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Fair Value</w:t>
            </w:r>
          </w:p>
        </w:tc>
        <w:tc>
          <w:tcPr>
            <w:tcW w:w="140" w:type="dxa"/>
            <w:vAlign w:val="bottom"/>
          </w:tcPr>
          <w:p>
            <w:pPr>
              <w:spacing w:after="0"/>
              <w:rPr>
                <w:sz w:val="10"/>
                <w:szCs w:val="10"/>
                <w:color w:val="auto"/>
              </w:rPr>
            </w:pPr>
          </w:p>
        </w:tc>
        <w:tc>
          <w:tcPr>
            <w:tcW w:w="66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rPr>
              <w:t>Cost</w:t>
            </w: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gridSpan w:val="2"/>
          </w:tcPr>
          <w:p>
            <w:pPr>
              <w:jc w:val="right"/>
              <w:spacing w:after="0" w:line="126" w:lineRule="exact"/>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78"/>
        </w:trPr>
        <w:tc>
          <w:tcPr>
            <w:tcW w:w="2720" w:type="dxa"/>
            <w:vAlign w:val="bottom"/>
            <w:tcBorders>
              <w:bottom w:val="single" w:sz="8" w:color="CCEEFF"/>
            </w:tcBorders>
          </w:tcPr>
          <w:p>
            <w:pPr>
              <w:spacing w:after="0"/>
              <w:rPr>
                <w:sz w:val="15"/>
                <w:szCs w:val="15"/>
                <w:color w:val="auto"/>
              </w:rPr>
            </w:pPr>
          </w:p>
        </w:tc>
        <w:tc>
          <w:tcPr>
            <w:tcW w:w="102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3"/>
              </w:rPr>
              <w:t>Gain/(Loss)</w:t>
            </w:r>
          </w:p>
        </w:tc>
        <w:tc>
          <w:tcPr>
            <w:tcW w:w="16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3"/>
              </w:rPr>
              <w:t>Gain/(Loss)</w:t>
            </w:r>
          </w:p>
        </w:tc>
        <w:tc>
          <w:tcPr>
            <w:tcW w:w="14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Fixed Income</w:t>
            </w:r>
          </w:p>
        </w:tc>
        <w:tc>
          <w:tcPr>
            <w:tcW w:w="10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$ 15,325</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$ 16,470</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$ 15,376</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$ 15,729</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Equity</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9,787</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2,815</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12,602</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7,958</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1,776</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9,734</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Mutual Funds</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8,235</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9,665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6,568</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6,852</w:t>
            </w:r>
          </w:p>
        </w:tc>
        <w:tc>
          <w:tcPr>
            <w:tcW w:w="0" w:type="dxa"/>
            <w:vAlign w:val="bottom"/>
          </w:tcPr>
          <w:p>
            <w:pPr>
              <w:spacing w:after="0"/>
              <w:rPr>
                <w:sz w:val="1"/>
                <w:szCs w:val="1"/>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8"/>
                <w:szCs w:val="18"/>
                <w:color w:val="auto"/>
              </w:rPr>
              <w:t>Alternative Investments</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1,904</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136</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2,040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1,811</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1,941</w:t>
            </w:r>
          </w:p>
        </w:tc>
        <w:tc>
          <w:tcPr>
            <w:tcW w:w="0" w:type="dxa"/>
            <w:vAlign w:val="bottom"/>
          </w:tcPr>
          <w:p>
            <w:pPr>
              <w:spacing w:after="0"/>
              <w:rPr>
                <w:sz w:val="1"/>
                <w:szCs w:val="1"/>
                <w:color w:val="auto"/>
              </w:rPr>
            </w:pPr>
          </w:p>
        </w:tc>
      </w:tr>
      <w:tr>
        <w:trPr>
          <w:trHeight w:val="216"/>
        </w:trPr>
        <w:tc>
          <w:tcPr>
            <w:tcW w:w="27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02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$ 35,251</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$ 40,777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$ 31,713</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$ 34,256</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Our fixed income investments consist of a blend of US Government and Agency bonds and investment grade corporate bonds with varying maturities. Our equity investments consist of small, mid, and large cap growth and value funds, as well as international equity. Our alternative investments consist of the private real estate income trust which is valued as a Level 3 asset. The net pre-tax unrealized gain was $5.5 million for the year ended December 26, 2020. Carrying amounts above are recorded in the investments and restricted investments line items within the balance sheet as of December 26, 2020 and December 28, 2019.</w:t>
      </w:r>
    </w:p>
    <w:p>
      <w:pPr>
        <w:spacing w:after="0" w:line="188" w:lineRule="exact"/>
        <w:rPr>
          <w:sz w:val="20"/>
          <w:szCs w:val="20"/>
          <w:color w:val="auto"/>
        </w:rPr>
      </w:pPr>
    </w:p>
    <w:p>
      <w:pPr>
        <w:ind w:left="700" w:hanging="650"/>
        <w:spacing w:after="0"/>
        <w:tabs>
          <w:tab w:leader="none" w:pos="70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BUSINESS COMBINATIONS</w:t>
      </w:r>
    </w:p>
    <w:p>
      <w:pPr>
        <w:spacing w:after="0" w:line="229" w:lineRule="exact"/>
        <w:rPr>
          <w:sz w:val="20"/>
          <w:szCs w:val="20"/>
          <w:color w:val="auto"/>
        </w:rPr>
      </w:pPr>
    </w:p>
    <w:p>
      <w:pPr>
        <w:ind w:left="60" w:right="59" w:firstLine="648"/>
        <w:spacing w:after="0" w:line="277" w:lineRule="auto"/>
        <w:rPr>
          <w:sz w:val="20"/>
          <w:szCs w:val="20"/>
          <w:color w:val="auto"/>
        </w:rPr>
      </w:pPr>
      <w:r>
        <w:rPr>
          <w:rFonts w:ascii="Arial" w:cs="Arial" w:eastAsia="Arial" w:hAnsi="Arial"/>
          <w:sz w:val="18"/>
          <w:szCs w:val="18"/>
          <w:color w:val="auto"/>
        </w:rPr>
        <w:t>We completed the following business combinations in fiscal 2020 and 2019, which were accounted for using the purchase method (in thousands).</w:t>
      </w:r>
    </w:p>
    <w:p>
      <w:pPr>
        <w:spacing w:after="0" w:line="205" w:lineRule="exact"/>
        <w:rPr>
          <w:sz w:val="20"/>
          <w:szCs w:val="20"/>
          <w:color w:val="auto"/>
        </w:rPr>
      </w:pPr>
    </w:p>
    <w:tbl>
      <w:tblPr>
        <w:tblLayout w:type="fixed"/>
        <w:tblInd w:w="50" w:type="dxa"/>
        <w:tblCellMar>
          <w:top w:w="0" w:type="dxa"/>
          <w:left w:w="0" w:type="dxa"/>
          <w:bottom w:w="0" w:type="dxa"/>
          <w:right w:w="0" w:type="dxa"/>
        </w:tblCellMar>
      </w:tblPr>
      <w:tr>
        <w:trPr>
          <w:trHeight w:val="202"/>
        </w:trPr>
        <w:tc>
          <w:tcPr>
            <w:tcW w:w="2600" w:type="dxa"/>
            <w:vAlign w:val="bottom"/>
            <w:tcBorders>
              <w:top w:val="single" w:sz="8" w:color="auto"/>
              <w:left w:val="single" w:sz="8" w:color="auto"/>
              <w:right w:val="single" w:sz="8" w:color="auto"/>
            </w:tcBorders>
          </w:tcPr>
          <w:p>
            <w:pPr>
              <w:spacing w:after="0"/>
              <w:rPr>
                <w:sz w:val="17"/>
                <w:szCs w:val="17"/>
                <w:color w:val="auto"/>
              </w:rPr>
            </w:pPr>
          </w:p>
        </w:tc>
        <w:tc>
          <w:tcPr>
            <w:tcW w:w="1420" w:type="dxa"/>
            <w:vAlign w:val="bottom"/>
            <w:tcBorders>
              <w:top w:val="single" w:sz="8" w:color="auto"/>
              <w:right w:val="single" w:sz="8" w:color="auto"/>
            </w:tcBorders>
          </w:tcPr>
          <w:p>
            <w:pPr>
              <w:spacing w:after="0"/>
              <w:rPr>
                <w:sz w:val="17"/>
                <w:szCs w:val="17"/>
                <w:color w:val="auto"/>
              </w:rPr>
            </w:pPr>
          </w:p>
        </w:tc>
        <w:tc>
          <w:tcPr>
            <w:tcW w:w="1780" w:type="dxa"/>
            <w:vAlign w:val="bottom"/>
            <w:tcBorders>
              <w:top w:val="single" w:sz="8" w:color="auto"/>
              <w:right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right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right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Net</w:t>
            </w:r>
          </w:p>
        </w:tc>
        <w:tc>
          <w:tcPr>
            <w:tcW w:w="840" w:type="dxa"/>
            <w:vAlign w:val="bottom"/>
            <w:tcBorders>
              <w:top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Company</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Acquisition</w:t>
            </w:r>
          </w:p>
        </w:tc>
        <w:tc>
          <w:tcPr>
            <w:tcW w:w="178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Borders>
              <w:right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7"/>
              </w:rPr>
              <w:t>Intangible</w:t>
            </w:r>
          </w:p>
        </w:tc>
        <w:tc>
          <w:tcPr>
            <w:tcW w:w="140" w:type="dxa"/>
            <w:vAlign w:val="bottom"/>
          </w:tcPr>
          <w:p>
            <w:pPr>
              <w:spacing w:after="0"/>
              <w:rPr>
                <w:sz w:val="17"/>
                <w:szCs w:val="17"/>
                <w:color w:val="auto"/>
              </w:rPr>
            </w:pPr>
          </w:p>
        </w:tc>
        <w:tc>
          <w:tcPr>
            <w:tcW w:w="1000" w:type="dxa"/>
            <w:vAlign w:val="bottom"/>
            <w:tcBorders>
              <w:right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w w:val="88"/>
              </w:rPr>
              <w:t>Tangible</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Operating</w:t>
            </w:r>
          </w:p>
        </w:tc>
        <w:tc>
          <w:tcPr>
            <w:tcW w:w="0" w:type="dxa"/>
            <w:vAlign w:val="bottom"/>
          </w:tcPr>
          <w:p>
            <w:pPr>
              <w:spacing w:after="0"/>
              <w:rPr>
                <w:sz w:val="1"/>
                <w:szCs w:val="1"/>
                <w:color w:val="auto"/>
              </w:rPr>
            </w:pPr>
          </w:p>
        </w:tc>
      </w:tr>
      <w:tr>
        <w:trPr>
          <w:trHeight w:val="223"/>
        </w:trPr>
        <w:tc>
          <w:tcPr>
            <w:tcW w:w="2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Name</w:t>
            </w: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Date</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Purchase Price</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Assets</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79"/>
              </w:rPr>
              <w:t>Assets</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5"/>
              </w:rPr>
              <w:t>Segment</w:t>
            </w:r>
          </w:p>
        </w:tc>
        <w:tc>
          <w:tcPr>
            <w:tcW w:w="0" w:type="dxa"/>
            <w:vAlign w:val="bottom"/>
          </w:tcPr>
          <w:p>
            <w:pPr>
              <w:spacing w:after="0"/>
              <w:rPr>
                <w:sz w:val="1"/>
                <w:szCs w:val="1"/>
                <w:color w:val="auto"/>
              </w:rPr>
            </w:pPr>
          </w:p>
        </w:tc>
      </w:tr>
      <w:tr>
        <w:trPr>
          <w:trHeight w:val="193"/>
        </w:trPr>
        <w:tc>
          <w:tcPr>
            <w:tcW w:w="2600" w:type="dxa"/>
            <w:vAlign w:val="bottom"/>
            <w:tcBorders>
              <w:left w:val="single" w:sz="8" w:color="auto"/>
              <w:right w:val="single" w:sz="8" w:color="auto"/>
            </w:tcBorders>
            <w:shd w:val="clear" w:color="auto" w:fill="CCEBFF"/>
          </w:tcPr>
          <w:p>
            <w:pPr>
              <w:spacing w:after="0"/>
              <w:rPr>
                <w:sz w:val="16"/>
                <w:szCs w:val="16"/>
                <w:color w:val="auto"/>
              </w:rPr>
            </w:pPr>
          </w:p>
        </w:tc>
        <w:tc>
          <w:tcPr>
            <w:tcW w:w="1420" w:type="dxa"/>
            <w:vAlign w:val="bottom"/>
            <w:tcBorders>
              <w:right w:val="single" w:sz="8" w:color="auto"/>
            </w:tcBorders>
            <w:shd w:val="clear" w:color="auto" w:fill="CCEBFF"/>
          </w:tcPr>
          <w:p>
            <w:pPr>
              <w:spacing w:after="0"/>
              <w:rPr>
                <w:sz w:val="16"/>
                <w:szCs w:val="16"/>
                <w:color w:val="auto"/>
              </w:rPr>
            </w:pPr>
          </w:p>
        </w:tc>
        <w:tc>
          <w:tcPr>
            <w:tcW w:w="1780" w:type="dxa"/>
            <w:vAlign w:val="bottom"/>
            <w:tcBorders>
              <w:right w:val="single" w:sz="8" w:color="auto"/>
            </w:tcBorders>
            <w:shd w:val="clear" w:color="auto" w:fill="CCEBFF"/>
          </w:tcPr>
          <w:p>
            <w:pPr>
              <w:jc w:val="right"/>
              <w:ind w:right="559"/>
              <w:spacing w:after="0"/>
              <w:rPr>
                <w:sz w:val="20"/>
                <w:szCs w:val="20"/>
                <w:color w:val="auto"/>
              </w:rPr>
            </w:pPr>
            <w:r>
              <w:rPr>
                <w:rFonts w:ascii="Arial" w:cs="Arial" w:eastAsia="Arial" w:hAnsi="Arial"/>
                <w:sz w:val="16"/>
                <w:szCs w:val="16"/>
                <w:color w:val="auto"/>
              </w:rPr>
              <w:t>$27,274</w:t>
            </w:r>
          </w:p>
        </w:tc>
        <w:tc>
          <w:tcPr>
            <w:tcW w:w="120" w:type="dxa"/>
            <w:vAlign w:val="bottom"/>
            <w:shd w:val="clear" w:color="auto" w:fill="CCEBFF"/>
          </w:tcPr>
          <w:p>
            <w:pPr>
              <w:spacing w:after="0"/>
              <w:rPr>
                <w:sz w:val="16"/>
                <w:szCs w:val="16"/>
                <w:color w:val="auto"/>
              </w:rPr>
            </w:pPr>
          </w:p>
        </w:tc>
        <w:tc>
          <w:tcPr>
            <w:tcW w:w="1020" w:type="dxa"/>
            <w:vAlign w:val="bottom"/>
            <w:tcBorders>
              <w:right w:val="single" w:sz="8" w:color="auto"/>
            </w:tcBorders>
            <w:shd w:val="clear" w:color="auto" w:fill="CCEBFF"/>
          </w:tcPr>
          <w:p>
            <w:pPr>
              <w:spacing w:after="0"/>
              <w:rPr>
                <w:sz w:val="16"/>
                <w:szCs w:val="16"/>
                <w:color w:val="auto"/>
              </w:rPr>
            </w:pPr>
          </w:p>
        </w:tc>
        <w:tc>
          <w:tcPr>
            <w:tcW w:w="140" w:type="dxa"/>
            <w:vAlign w:val="bottom"/>
            <w:shd w:val="clear" w:color="auto" w:fill="CCEBFF"/>
          </w:tcPr>
          <w:p>
            <w:pPr>
              <w:spacing w:after="0"/>
              <w:rPr>
                <w:sz w:val="16"/>
                <w:szCs w:val="16"/>
                <w:color w:val="auto"/>
              </w:rPr>
            </w:pPr>
          </w:p>
        </w:tc>
        <w:tc>
          <w:tcPr>
            <w:tcW w:w="1000" w:type="dxa"/>
            <w:vAlign w:val="bottom"/>
            <w:tcBorders>
              <w:right w:val="single" w:sz="8" w:color="auto"/>
            </w:tcBorders>
            <w:shd w:val="clear" w:color="auto" w:fill="CCEBFF"/>
          </w:tcPr>
          <w:p>
            <w:pPr>
              <w:spacing w:after="0"/>
              <w:rPr>
                <w:sz w:val="16"/>
                <w:szCs w:val="16"/>
                <w:color w:val="auto"/>
              </w:rPr>
            </w:pPr>
          </w:p>
        </w:tc>
        <w:tc>
          <w:tcPr>
            <w:tcW w:w="840" w:type="dxa"/>
            <w:vAlign w:val="bottom"/>
            <w:tcBorders>
              <w:right w:val="single" w:sz="8" w:color="auto"/>
            </w:tcBorders>
            <w:shd w:val="clear" w:color="auto" w:fill="CCEBFF"/>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2600" w:type="dxa"/>
            <w:vAlign w:val="bottom"/>
            <w:tcBorders>
              <w:left w:val="single" w:sz="8" w:color="auto"/>
              <w:right w:val="single" w:sz="8" w:color="auto"/>
            </w:tcBorders>
            <w:shd w:val="clear" w:color="auto" w:fill="CCEBFF"/>
          </w:tcPr>
          <w:p>
            <w:pPr>
              <w:spacing w:after="0"/>
              <w:rPr>
                <w:sz w:val="21"/>
                <w:szCs w:val="21"/>
                <w:color w:val="auto"/>
              </w:rPr>
            </w:pPr>
          </w:p>
        </w:tc>
        <w:tc>
          <w:tcPr>
            <w:tcW w:w="142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91"/>
              </w:rPr>
              <w:t>November 10, 2020</w:t>
            </w:r>
          </w:p>
        </w:tc>
        <w:tc>
          <w:tcPr>
            <w:tcW w:w="178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89"/>
              </w:rPr>
              <w:t>cash paid for 100% asset</w:t>
            </w:r>
          </w:p>
        </w:tc>
        <w:tc>
          <w:tcPr>
            <w:tcW w:w="120" w:type="dxa"/>
            <w:vAlign w:val="bottom"/>
            <w:shd w:val="clear" w:color="auto" w:fill="CCEBFF"/>
          </w:tcPr>
          <w:p>
            <w:pPr>
              <w:jc w:val="right"/>
              <w:ind w:right="9"/>
              <w:spacing w:after="0"/>
              <w:rPr>
                <w:sz w:val="20"/>
                <w:szCs w:val="20"/>
                <w:color w:val="auto"/>
              </w:rPr>
            </w:pPr>
            <w:r>
              <w:rPr>
                <w:rFonts w:ascii="Arial" w:cs="Arial" w:eastAsia="Arial" w:hAnsi="Arial"/>
                <w:sz w:val="10"/>
                <w:szCs w:val="10"/>
                <w:color w:val="auto"/>
                <w:w w:val="71"/>
              </w:rPr>
              <w:t>$</w:t>
            </w:r>
          </w:p>
        </w:tc>
        <w:tc>
          <w:tcPr>
            <w:tcW w:w="1020" w:type="dxa"/>
            <w:vAlign w:val="bottom"/>
            <w:tcBorders>
              <w:right w:val="single" w:sz="8" w:color="auto"/>
            </w:tcBorders>
            <w:shd w:val="clear" w:color="auto" w:fill="CCEBFF"/>
          </w:tcPr>
          <w:p>
            <w:pPr>
              <w:jc w:val="right"/>
              <w:spacing w:after="0"/>
              <w:rPr>
                <w:sz w:val="20"/>
                <w:szCs w:val="20"/>
                <w:color w:val="auto"/>
              </w:rPr>
            </w:pPr>
            <w:r>
              <w:rPr>
                <w:rFonts w:ascii="Arial" w:cs="Arial" w:eastAsia="Arial" w:hAnsi="Arial"/>
                <w:sz w:val="16"/>
                <w:szCs w:val="16"/>
                <w:color w:val="auto"/>
              </w:rPr>
              <w:t>17,894</w:t>
            </w:r>
          </w:p>
        </w:tc>
        <w:tc>
          <w:tcPr>
            <w:tcW w:w="140" w:type="dxa"/>
            <w:vAlign w:val="bottom"/>
            <w:shd w:val="clear" w:color="auto" w:fill="CCEBFF"/>
          </w:tcPr>
          <w:p>
            <w:pPr>
              <w:jc w:val="right"/>
              <w:ind w:right="29"/>
              <w:spacing w:after="0"/>
              <w:rPr>
                <w:sz w:val="20"/>
                <w:szCs w:val="20"/>
                <w:color w:val="auto"/>
              </w:rPr>
            </w:pPr>
            <w:r>
              <w:rPr>
                <w:rFonts w:ascii="Arial" w:cs="Arial" w:eastAsia="Arial" w:hAnsi="Arial"/>
                <w:sz w:val="10"/>
                <w:szCs w:val="10"/>
                <w:color w:val="auto"/>
                <w:w w:val="71"/>
              </w:rPr>
              <w:t>$</w:t>
            </w:r>
          </w:p>
        </w:tc>
        <w:tc>
          <w:tcPr>
            <w:tcW w:w="1000" w:type="dxa"/>
            <w:vAlign w:val="bottom"/>
            <w:tcBorders>
              <w:right w:val="single" w:sz="8" w:color="auto"/>
            </w:tcBorders>
            <w:shd w:val="clear" w:color="auto" w:fill="CCEBFF"/>
          </w:tcPr>
          <w:p>
            <w:pPr>
              <w:jc w:val="right"/>
              <w:spacing w:after="0"/>
              <w:rPr>
                <w:sz w:val="20"/>
                <w:szCs w:val="20"/>
                <w:color w:val="auto"/>
              </w:rPr>
            </w:pPr>
            <w:r>
              <w:rPr>
                <w:rFonts w:ascii="Arial" w:cs="Arial" w:eastAsia="Arial" w:hAnsi="Arial"/>
                <w:sz w:val="16"/>
                <w:szCs w:val="16"/>
                <w:color w:val="auto"/>
              </w:rPr>
              <w:t>9,380</w:t>
            </w:r>
          </w:p>
        </w:tc>
        <w:tc>
          <w:tcPr>
            <w:tcW w:w="84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91"/>
              </w:rPr>
              <w:t>Construction</w:t>
            </w:r>
          </w:p>
        </w:tc>
        <w:tc>
          <w:tcPr>
            <w:tcW w:w="0" w:type="dxa"/>
            <w:vAlign w:val="bottom"/>
          </w:tcPr>
          <w:p>
            <w:pPr>
              <w:spacing w:after="0"/>
              <w:rPr>
                <w:sz w:val="1"/>
                <w:szCs w:val="1"/>
                <w:color w:val="auto"/>
              </w:rPr>
            </w:pPr>
          </w:p>
        </w:tc>
      </w:tr>
      <w:tr>
        <w:trPr>
          <w:trHeight w:val="152"/>
        </w:trPr>
        <w:tc>
          <w:tcPr>
            <w:tcW w:w="2600" w:type="dxa"/>
            <w:vAlign w:val="bottom"/>
            <w:tcBorders>
              <w:left w:val="single" w:sz="8" w:color="auto"/>
              <w:right w:val="single" w:sz="8" w:color="auto"/>
            </w:tcBorders>
            <w:shd w:val="clear" w:color="auto" w:fill="CCEBFF"/>
          </w:tcPr>
          <w:p>
            <w:pPr>
              <w:spacing w:after="0"/>
              <w:rPr>
                <w:sz w:val="13"/>
                <w:szCs w:val="13"/>
                <w:color w:val="auto"/>
              </w:rPr>
            </w:pPr>
          </w:p>
        </w:tc>
        <w:tc>
          <w:tcPr>
            <w:tcW w:w="1420" w:type="dxa"/>
            <w:vAlign w:val="bottom"/>
            <w:tcBorders>
              <w:right w:val="single" w:sz="8" w:color="auto"/>
            </w:tcBorders>
            <w:shd w:val="clear" w:color="auto" w:fill="CCEBFF"/>
          </w:tcPr>
          <w:p>
            <w:pPr>
              <w:spacing w:after="0"/>
              <w:rPr>
                <w:sz w:val="13"/>
                <w:szCs w:val="13"/>
                <w:color w:val="auto"/>
              </w:rPr>
            </w:pPr>
          </w:p>
        </w:tc>
        <w:tc>
          <w:tcPr>
            <w:tcW w:w="1780" w:type="dxa"/>
            <w:vAlign w:val="bottom"/>
            <w:tcBorders>
              <w:right w:val="single" w:sz="8" w:color="auto"/>
            </w:tcBorders>
            <w:shd w:val="clear" w:color="auto" w:fill="CCEBFF"/>
          </w:tcPr>
          <w:p>
            <w:pPr>
              <w:jc w:val="center"/>
              <w:spacing w:after="0" w:line="152" w:lineRule="exact"/>
              <w:rPr>
                <w:sz w:val="20"/>
                <w:szCs w:val="20"/>
                <w:color w:val="auto"/>
              </w:rPr>
            </w:pPr>
            <w:r>
              <w:rPr>
                <w:rFonts w:ascii="Arial" w:cs="Arial" w:eastAsia="Arial" w:hAnsi="Arial"/>
                <w:sz w:val="16"/>
                <w:szCs w:val="16"/>
                <w:color w:val="auto"/>
                <w:w w:val="88"/>
              </w:rPr>
              <w:t>purchase and estimated</w:t>
            </w:r>
          </w:p>
        </w:tc>
        <w:tc>
          <w:tcPr>
            <w:tcW w:w="120" w:type="dxa"/>
            <w:vAlign w:val="bottom"/>
            <w:shd w:val="clear" w:color="auto" w:fill="CCEBFF"/>
          </w:tcPr>
          <w:p>
            <w:pPr>
              <w:spacing w:after="0"/>
              <w:rPr>
                <w:sz w:val="13"/>
                <w:szCs w:val="13"/>
                <w:color w:val="auto"/>
              </w:rPr>
            </w:pPr>
          </w:p>
        </w:tc>
        <w:tc>
          <w:tcPr>
            <w:tcW w:w="1020" w:type="dxa"/>
            <w:vAlign w:val="bottom"/>
            <w:tcBorders>
              <w:right w:val="single" w:sz="8" w:color="auto"/>
            </w:tcBorders>
            <w:shd w:val="clear" w:color="auto" w:fill="CCEBFF"/>
          </w:tcPr>
          <w:p>
            <w:pPr>
              <w:spacing w:after="0"/>
              <w:rPr>
                <w:sz w:val="13"/>
                <w:szCs w:val="13"/>
                <w:color w:val="auto"/>
              </w:rPr>
            </w:pPr>
          </w:p>
        </w:tc>
        <w:tc>
          <w:tcPr>
            <w:tcW w:w="140" w:type="dxa"/>
            <w:vAlign w:val="bottom"/>
            <w:shd w:val="clear" w:color="auto" w:fill="CCEBFF"/>
          </w:tcPr>
          <w:p>
            <w:pPr>
              <w:spacing w:after="0"/>
              <w:rPr>
                <w:sz w:val="13"/>
                <w:szCs w:val="13"/>
                <w:color w:val="auto"/>
              </w:rPr>
            </w:pPr>
          </w:p>
        </w:tc>
        <w:tc>
          <w:tcPr>
            <w:tcW w:w="1000" w:type="dxa"/>
            <w:vAlign w:val="bottom"/>
            <w:tcBorders>
              <w:right w:val="single" w:sz="8" w:color="auto"/>
            </w:tcBorders>
            <w:shd w:val="clear" w:color="auto" w:fill="CCEBFF"/>
          </w:tcPr>
          <w:p>
            <w:pPr>
              <w:spacing w:after="0"/>
              <w:rPr>
                <w:sz w:val="13"/>
                <w:szCs w:val="13"/>
                <w:color w:val="auto"/>
              </w:rPr>
            </w:pPr>
          </w:p>
        </w:tc>
        <w:tc>
          <w:tcPr>
            <w:tcW w:w="840" w:type="dxa"/>
            <w:vAlign w:val="bottom"/>
            <w:tcBorders>
              <w:right w:val="single" w:sz="8" w:color="auto"/>
            </w:tcBorders>
            <w:shd w:val="clear" w:color="auto" w:fill="CCEBFF"/>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600" w:type="dxa"/>
            <w:vAlign w:val="bottom"/>
            <w:tcBorders>
              <w:left w:val="single" w:sz="8" w:color="auto"/>
              <w:bottom w:val="single" w:sz="8" w:color="CCEBFF"/>
              <w:right w:val="single" w:sz="8" w:color="auto"/>
            </w:tcBorders>
            <w:vMerge w:val="restart"/>
            <w:shd w:val="clear" w:color="auto" w:fill="CCEBFF"/>
          </w:tcPr>
          <w:p>
            <w:pPr>
              <w:jc w:val="center"/>
              <w:spacing w:after="0"/>
              <w:rPr>
                <w:sz w:val="20"/>
                <w:szCs w:val="20"/>
                <w:color w:val="auto"/>
              </w:rPr>
            </w:pPr>
            <w:r>
              <w:rPr>
                <w:rFonts w:ascii="Arial" w:cs="Arial" w:eastAsia="Arial" w:hAnsi="Arial"/>
                <w:sz w:val="16"/>
                <w:szCs w:val="16"/>
                <w:color w:val="auto"/>
                <w:w w:val="93"/>
              </w:rPr>
              <w:t>Atlantic Prefab, Inc.; Exterior Designs,</w:t>
            </w:r>
          </w:p>
        </w:tc>
        <w:tc>
          <w:tcPr>
            <w:tcW w:w="1420" w:type="dxa"/>
            <w:vAlign w:val="bottom"/>
            <w:tcBorders>
              <w:bottom w:val="single" w:sz="8" w:color="auto"/>
              <w:right w:val="single" w:sz="8" w:color="auto"/>
            </w:tcBorders>
            <w:shd w:val="clear" w:color="auto" w:fill="CCEBFF"/>
          </w:tcPr>
          <w:p>
            <w:pPr>
              <w:spacing w:after="0"/>
              <w:rPr>
                <w:sz w:val="18"/>
                <w:szCs w:val="18"/>
                <w:color w:val="auto"/>
              </w:rPr>
            </w:pPr>
          </w:p>
        </w:tc>
        <w:tc>
          <w:tcPr>
            <w:tcW w:w="1780" w:type="dxa"/>
            <w:vAlign w:val="bottom"/>
            <w:tcBorders>
              <w:bottom w:val="single" w:sz="8" w:color="auto"/>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92"/>
              </w:rPr>
              <w:t>contingent consideration</w:t>
            </w:r>
          </w:p>
        </w:tc>
        <w:tc>
          <w:tcPr>
            <w:tcW w:w="120" w:type="dxa"/>
            <w:vAlign w:val="bottom"/>
            <w:tcBorders>
              <w:bottom w:val="single" w:sz="8" w:color="auto"/>
            </w:tcBorders>
            <w:shd w:val="clear" w:color="auto" w:fill="CCEBFF"/>
          </w:tcPr>
          <w:p>
            <w:pPr>
              <w:spacing w:after="0"/>
              <w:rPr>
                <w:sz w:val="18"/>
                <w:szCs w:val="18"/>
                <w:color w:val="auto"/>
              </w:rPr>
            </w:pPr>
          </w:p>
        </w:tc>
        <w:tc>
          <w:tcPr>
            <w:tcW w:w="1020" w:type="dxa"/>
            <w:vAlign w:val="bottom"/>
            <w:tcBorders>
              <w:bottom w:val="single" w:sz="8" w:color="auto"/>
              <w:right w:val="single" w:sz="8" w:color="auto"/>
            </w:tcBorders>
            <w:shd w:val="clear" w:color="auto" w:fill="CCEBFF"/>
          </w:tcPr>
          <w:p>
            <w:pPr>
              <w:spacing w:after="0"/>
              <w:rPr>
                <w:sz w:val="18"/>
                <w:szCs w:val="18"/>
                <w:color w:val="auto"/>
              </w:rPr>
            </w:pPr>
          </w:p>
        </w:tc>
        <w:tc>
          <w:tcPr>
            <w:tcW w:w="140" w:type="dxa"/>
            <w:vAlign w:val="bottom"/>
            <w:tcBorders>
              <w:bottom w:val="single" w:sz="8" w:color="auto"/>
            </w:tcBorders>
            <w:shd w:val="clear" w:color="auto" w:fill="CCEBFF"/>
          </w:tcPr>
          <w:p>
            <w:pPr>
              <w:spacing w:after="0"/>
              <w:rPr>
                <w:sz w:val="18"/>
                <w:szCs w:val="18"/>
                <w:color w:val="auto"/>
              </w:rPr>
            </w:pPr>
          </w:p>
        </w:tc>
        <w:tc>
          <w:tcPr>
            <w:tcW w:w="1000" w:type="dxa"/>
            <w:vAlign w:val="bottom"/>
            <w:tcBorders>
              <w:bottom w:val="single" w:sz="8" w:color="auto"/>
              <w:right w:val="single" w:sz="8" w:color="auto"/>
            </w:tcBorders>
            <w:shd w:val="clear" w:color="auto" w:fill="CCEBFF"/>
          </w:tcPr>
          <w:p>
            <w:pPr>
              <w:spacing w:after="0"/>
              <w:rPr>
                <w:sz w:val="18"/>
                <w:szCs w:val="18"/>
                <w:color w:val="auto"/>
              </w:rPr>
            </w:pPr>
          </w:p>
        </w:tc>
        <w:tc>
          <w:tcPr>
            <w:tcW w:w="840" w:type="dxa"/>
            <w:vAlign w:val="bottom"/>
            <w:tcBorders>
              <w:bottom w:val="single" w:sz="8" w:color="auto"/>
              <w:right w:val="single" w:sz="8" w:color="auto"/>
            </w:tcBorders>
            <w:shd w:val="clear" w:color="auto" w:fill="CCEB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600" w:type="dxa"/>
            <w:vAlign w:val="bottom"/>
            <w:tcBorders>
              <w:left w:val="single" w:sz="8" w:color="auto"/>
              <w:right w:val="single" w:sz="8" w:color="auto"/>
            </w:tcBorders>
            <w:vMerge w:val="continue"/>
            <w:shd w:val="clear" w:color="auto" w:fill="CCEBFF"/>
          </w:tcPr>
          <w:p>
            <w:pPr>
              <w:spacing w:after="0"/>
              <w:rPr>
                <w:sz w:val="15"/>
                <w:szCs w:val="15"/>
                <w:color w:val="auto"/>
              </w:rPr>
            </w:pPr>
          </w:p>
        </w:tc>
        <w:tc>
          <w:tcPr>
            <w:tcW w:w="6320" w:type="dxa"/>
            <w:vAlign w:val="bottom"/>
            <w:tcBorders>
              <w:right w:val="single" w:sz="8" w:color="auto"/>
            </w:tcBorders>
            <w:gridSpan w:val="7"/>
            <w:shd w:val="clear" w:color="auto" w:fill="CCEBFF"/>
          </w:tcPr>
          <w:p>
            <w:pPr>
              <w:spacing w:after="0" w:line="176" w:lineRule="exact"/>
              <w:rPr>
                <w:sz w:val="20"/>
                <w:szCs w:val="20"/>
                <w:color w:val="auto"/>
              </w:rPr>
            </w:pPr>
            <w:r>
              <w:rPr>
                <w:rFonts w:ascii="Arial" w:cs="Arial" w:eastAsia="Arial" w:hAnsi="Arial"/>
                <w:sz w:val="16"/>
                <w:szCs w:val="16"/>
                <w:color w:val="auto"/>
                <w:w w:val="94"/>
              </w:rPr>
              <w:t>Based in Wilton, New Hampshire, Atlantic Prefab produces prefabricated steel wall panels and</w:t>
            </w:r>
          </w:p>
        </w:tc>
        <w:tc>
          <w:tcPr>
            <w:tcW w:w="0" w:type="dxa"/>
            <w:vAlign w:val="bottom"/>
          </w:tcPr>
          <w:p>
            <w:pPr>
              <w:spacing w:after="0"/>
              <w:rPr>
                <w:sz w:val="1"/>
                <w:szCs w:val="1"/>
                <w:color w:val="auto"/>
              </w:rPr>
            </w:pPr>
          </w:p>
        </w:tc>
      </w:tr>
      <w:tr>
        <w:trPr>
          <w:trHeight w:val="203"/>
        </w:trPr>
        <w:tc>
          <w:tcPr>
            <w:tcW w:w="2600" w:type="dxa"/>
            <w:vAlign w:val="bottom"/>
            <w:tcBorders>
              <w:left w:val="single" w:sz="8" w:color="auto"/>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93"/>
              </w:rPr>
              <w:t>LLC; and Patriot Building Systems,</w:t>
            </w:r>
          </w:p>
        </w:tc>
        <w:tc>
          <w:tcPr>
            <w:tcW w:w="6320" w:type="dxa"/>
            <w:vAlign w:val="bottom"/>
            <w:tcBorders>
              <w:right w:val="single" w:sz="8" w:color="auto"/>
            </w:tcBorders>
            <w:gridSpan w:val="7"/>
            <w:shd w:val="clear" w:color="auto" w:fill="CCEBFF"/>
          </w:tcPr>
          <w:p>
            <w:pPr>
              <w:spacing w:after="0"/>
              <w:rPr>
                <w:sz w:val="20"/>
                <w:szCs w:val="20"/>
                <w:color w:val="auto"/>
              </w:rPr>
            </w:pPr>
            <w:r>
              <w:rPr>
                <w:rFonts w:ascii="Arial" w:cs="Arial" w:eastAsia="Arial" w:hAnsi="Arial"/>
                <w:sz w:val="16"/>
                <w:szCs w:val="16"/>
                <w:color w:val="auto"/>
                <w:w w:val="93"/>
              </w:rPr>
              <w:t>light gauge metal trusses. The company’s steel component and prefinished wall panel lines are</w:t>
            </w:r>
          </w:p>
        </w:tc>
        <w:tc>
          <w:tcPr>
            <w:tcW w:w="0" w:type="dxa"/>
            <w:vAlign w:val="bottom"/>
          </w:tcPr>
          <w:p>
            <w:pPr>
              <w:spacing w:after="0"/>
              <w:rPr>
                <w:sz w:val="1"/>
                <w:szCs w:val="1"/>
                <w:color w:val="auto"/>
              </w:rPr>
            </w:pPr>
          </w:p>
        </w:tc>
      </w:tr>
      <w:tr>
        <w:trPr>
          <w:trHeight w:val="203"/>
        </w:trPr>
        <w:tc>
          <w:tcPr>
            <w:tcW w:w="2600" w:type="dxa"/>
            <w:vAlign w:val="bottom"/>
            <w:tcBorders>
              <w:left w:val="single" w:sz="8" w:color="auto"/>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92"/>
              </w:rPr>
              <w:t>LLC (these are affiliated companies</w:t>
            </w:r>
          </w:p>
        </w:tc>
        <w:tc>
          <w:tcPr>
            <w:tcW w:w="6320" w:type="dxa"/>
            <w:vAlign w:val="bottom"/>
            <w:tcBorders>
              <w:right w:val="single" w:sz="8" w:color="auto"/>
            </w:tcBorders>
            <w:gridSpan w:val="7"/>
            <w:shd w:val="clear" w:color="auto" w:fill="CCEBFF"/>
          </w:tcPr>
          <w:p>
            <w:pPr>
              <w:spacing w:after="0"/>
              <w:rPr>
                <w:sz w:val="20"/>
                <w:szCs w:val="20"/>
                <w:color w:val="auto"/>
              </w:rPr>
            </w:pPr>
            <w:r>
              <w:rPr>
                <w:rFonts w:ascii="Arial" w:cs="Arial" w:eastAsia="Arial" w:hAnsi="Arial"/>
                <w:sz w:val="16"/>
                <w:szCs w:val="16"/>
                <w:color w:val="auto"/>
                <w:w w:val="95"/>
              </w:rPr>
              <w:t>new, value-added product additions for UFP Construction that help shorten project timelines.</w:t>
            </w:r>
          </w:p>
        </w:tc>
        <w:tc>
          <w:tcPr>
            <w:tcW w:w="0" w:type="dxa"/>
            <w:vAlign w:val="bottom"/>
          </w:tcPr>
          <w:p>
            <w:pPr>
              <w:spacing w:after="0"/>
              <w:rPr>
                <w:sz w:val="1"/>
                <w:szCs w:val="1"/>
                <w:color w:val="auto"/>
              </w:rPr>
            </w:pPr>
          </w:p>
        </w:tc>
      </w:tr>
      <w:tr>
        <w:trPr>
          <w:trHeight w:val="216"/>
        </w:trPr>
        <w:tc>
          <w:tcPr>
            <w:tcW w:w="2600" w:type="dxa"/>
            <w:vAlign w:val="bottom"/>
            <w:tcBorders>
              <w:left w:val="single" w:sz="8" w:color="auto"/>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93"/>
              </w:rPr>
              <w:t>through common former ownership)</w:t>
            </w:r>
          </w:p>
        </w:tc>
        <w:tc>
          <w:tcPr>
            <w:tcW w:w="6320" w:type="dxa"/>
            <w:vAlign w:val="bottom"/>
            <w:tcBorders>
              <w:right w:val="single" w:sz="8" w:color="auto"/>
            </w:tcBorders>
            <w:gridSpan w:val="7"/>
            <w:shd w:val="clear" w:color="auto" w:fill="CCEBFF"/>
          </w:tcPr>
          <w:p>
            <w:pPr>
              <w:spacing w:after="0"/>
              <w:rPr>
                <w:sz w:val="20"/>
                <w:szCs w:val="20"/>
                <w:color w:val="auto"/>
              </w:rPr>
            </w:pPr>
            <w:r>
              <w:rPr>
                <w:rFonts w:ascii="Arial" w:cs="Arial" w:eastAsia="Arial" w:hAnsi="Arial"/>
                <w:sz w:val="16"/>
                <w:szCs w:val="16"/>
                <w:color w:val="auto"/>
                <w:w w:val="92"/>
              </w:rPr>
              <w:t>Exterior Designs is a leading installer of siding and exterior cladding such as fiber cement, ACM</w:t>
            </w:r>
          </w:p>
        </w:tc>
        <w:tc>
          <w:tcPr>
            <w:tcW w:w="0" w:type="dxa"/>
            <w:vAlign w:val="bottom"/>
          </w:tcPr>
          <w:p>
            <w:pPr>
              <w:spacing w:after="0"/>
              <w:rPr>
                <w:sz w:val="1"/>
                <w:szCs w:val="1"/>
                <w:color w:val="auto"/>
              </w:rPr>
            </w:pPr>
          </w:p>
        </w:tc>
      </w:tr>
      <w:tr>
        <w:trPr>
          <w:trHeight w:val="203"/>
        </w:trPr>
        <w:tc>
          <w:tcPr>
            <w:tcW w:w="2600" w:type="dxa"/>
            <w:vAlign w:val="bottom"/>
            <w:tcBorders>
              <w:left w:val="single" w:sz="8" w:color="auto"/>
              <w:right w:val="single" w:sz="8" w:color="auto"/>
            </w:tcBorders>
            <w:shd w:val="clear" w:color="auto" w:fill="CCEBFF"/>
          </w:tcPr>
          <w:p>
            <w:pPr>
              <w:spacing w:after="0"/>
              <w:rPr>
                <w:sz w:val="17"/>
                <w:szCs w:val="17"/>
                <w:color w:val="auto"/>
              </w:rPr>
            </w:pPr>
          </w:p>
        </w:tc>
        <w:tc>
          <w:tcPr>
            <w:tcW w:w="6320" w:type="dxa"/>
            <w:vAlign w:val="bottom"/>
            <w:tcBorders>
              <w:right w:val="single" w:sz="8" w:color="auto"/>
            </w:tcBorders>
            <w:gridSpan w:val="7"/>
            <w:shd w:val="clear" w:color="auto" w:fill="CCEBFF"/>
          </w:tcPr>
          <w:p>
            <w:pPr>
              <w:spacing w:after="0"/>
              <w:rPr>
                <w:sz w:val="20"/>
                <w:szCs w:val="20"/>
                <w:color w:val="auto"/>
              </w:rPr>
            </w:pPr>
            <w:r>
              <w:rPr>
                <w:rFonts w:ascii="Arial" w:cs="Arial" w:eastAsia="Arial" w:hAnsi="Arial"/>
                <w:sz w:val="16"/>
                <w:szCs w:val="16"/>
                <w:color w:val="auto"/>
                <w:w w:val="93"/>
              </w:rPr>
              <w:t>(aluminum composite material) panels, phenolic panels, and EIFS (exterior insulation and finish</w:t>
            </w:r>
          </w:p>
        </w:tc>
        <w:tc>
          <w:tcPr>
            <w:tcW w:w="0" w:type="dxa"/>
            <w:vAlign w:val="bottom"/>
          </w:tcPr>
          <w:p>
            <w:pPr>
              <w:spacing w:after="0"/>
              <w:rPr>
                <w:sz w:val="1"/>
                <w:szCs w:val="1"/>
                <w:color w:val="auto"/>
              </w:rPr>
            </w:pPr>
          </w:p>
        </w:tc>
      </w:tr>
      <w:tr>
        <w:trPr>
          <w:trHeight w:val="203"/>
        </w:trPr>
        <w:tc>
          <w:tcPr>
            <w:tcW w:w="2600" w:type="dxa"/>
            <w:vAlign w:val="bottom"/>
            <w:tcBorders>
              <w:left w:val="single" w:sz="8" w:color="auto"/>
              <w:right w:val="single" w:sz="8" w:color="auto"/>
            </w:tcBorders>
            <w:shd w:val="clear" w:color="auto" w:fill="CCEBFF"/>
          </w:tcPr>
          <w:p>
            <w:pPr>
              <w:spacing w:after="0"/>
              <w:rPr>
                <w:sz w:val="17"/>
                <w:szCs w:val="17"/>
                <w:color w:val="auto"/>
              </w:rPr>
            </w:pPr>
          </w:p>
        </w:tc>
        <w:tc>
          <w:tcPr>
            <w:tcW w:w="6320" w:type="dxa"/>
            <w:vAlign w:val="bottom"/>
            <w:tcBorders>
              <w:right w:val="single" w:sz="8" w:color="auto"/>
            </w:tcBorders>
            <w:gridSpan w:val="7"/>
            <w:shd w:val="clear" w:color="auto" w:fill="CCEBFF"/>
          </w:tcPr>
          <w:p>
            <w:pPr>
              <w:spacing w:after="0"/>
              <w:rPr>
                <w:sz w:val="20"/>
                <w:szCs w:val="20"/>
                <w:color w:val="auto"/>
              </w:rPr>
            </w:pPr>
            <w:r>
              <w:rPr>
                <w:rFonts w:ascii="Arial" w:cs="Arial" w:eastAsia="Arial" w:hAnsi="Arial"/>
                <w:sz w:val="16"/>
                <w:szCs w:val="16"/>
                <w:color w:val="auto"/>
                <w:w w:val="93"/>
              </w:rPr>
              <w:t>systems). The company is based in Londonderry, New Hampshire, and serves commercial and</w:t>
            </w:r>
          </w:p>
        </w:tc>
        <w:tc>
          <w:tcPr>
            <w:tcW w:w="0" w:type="dxa"/>
            <w:vAlign w:val="bottom"/>
          </w:tcPr>
          <w:p>
            <w:pPr>
              <w:spacing w:after="0"/>
              <w:rPr>
                <w:sz w:val="1"/>
                <w:szCs w:val="1"/>
                <w:color w:val="auto"/>
              </w:rPr>
            </w:pPr>
          </w:p>
        </w:tc>
      </w:tr>
      <w:tr>
        <w:trPr>
          <w:trHeight w:val="203"/>
        </w:trPr>
        <w:tc>
          <w:tcPr>
            <w:tcW w:w="2600" w:type="dxa"/>
            <w:vAlign w:val="bottom"/>
            <w:tcBorders>
              <w:left w:val="single" w:sz="8" w:color="auto"/>
              <w:right w:val="single" w:sz="8" w:color="auto"/>
            </w:tcBorders>
            <w:shd w:val="clear" w:color="auto" w:fill="CCEBFF"/>
          </w:tcPr>
          <w:p>
            <w:pPr>
              <w:spacing w:after="0"/>
              <w:rPr>
                <w:sz w:val="17"/>
                <w:szCs w:val="17"/>
                <w:color w:val="auto"/>
              </w:rPr>
            </w:pPr>
          </w:p>
        </w:tc>
        <w:tc>
          <w:tcPr>
            <w:tcW w:w="6320" w:type="dxa"/>
            <w:vAlign w:val="bottom"/>
            <w:tcBorders>
              <w:right w:val="single" w:sz="8" w:color="auto"/>
            </w:tcBorders>
            <w:gridSpan w:val="7"/>
            <w:shd w:val="clear" w:color="auto" w:fill="CCEBFF"/>
          </w:tcPr>
          <w:p>
            <w:pPr>
              <w:spacing w:after="0"/>
              <w:rPr>
                <w:sz w:val="20"/>
                <w:szCs w:val="20"/>
                <w:color w:val="auto"/>
              </w:rPr>
            </w:pPr>
            <w:r>
              <w:rPr>
                <w:rFonts w:ascii="Arial" w:cs="Arial" w:eastAsia="Arial" w:hAnsi="Arial"/>
                <w:sz w:val="16"/>
                <w:szCs w:val="16"/>
                <w:color w:val="auto"/>
              </w:rPr>
              <w:t>multi-family clients throughout the Northeast. Also based in Londonderry, Patriot Building</w:t>
            </w:r>
          </w:p>
        </w:tc>
        <w:tc>
          <w:tcPr>
            <w:tcW w:w="0" w:type="dxa"/>
            <w:vAlign w:val="bottom"/>
          </w:tcPr>
          <w:p>
            <w:pPr>
              <w:spacing w:after="0"/>
              <w:rPr>
                <w:sz w:val="1"/>
                <w:szCs w:val="1"/>
                <w:color w:val="auto"/>
              </w:rPr>
            </w:pPr>
          </w:p>
        </w:tc>
      </w:tr>
      <w:tr>
        <w:trPr>
          <w:trHeight w:val="203"/>
        </w:trPr>
        <w:tc>
          <w:tcPr>
            <w:tcW w:w="2600" w:type="dxa"/>
            <w:vAlign w:val="bottom"/>
            <w:tcBorders>
              <w:left w:val="single" w:sz="8" w:color="auto"/>
              <w:right w:val="single" w:sz="8" w:color="auto"/>
            </w:tcBorders>
            <w:shd w:val="clear" w:color="auto" w:fill="CCEBFF"/>
          </w:tcPr>
          <w:p>
            <w:pPr>
              <w:spacing w:after="0"/>
              <w:rPr>
                <w:sz w:val="17"/>
                <w:szCs w:val="17"/>
                <w:color w:val="auto"/>
              </w:rPr>
            </w:pPr>
          </w:p>
        </w:tc>
        <w:tc>
          <w:tcPr>
            <w:tcW w:w="6320" w:type="dxa"/>
            <w:vAlign w:val="bottom"/>
            <w:tcBorders>
              <w:right w:val="single" w:sz="8" w:color="auto"/>
            </w:tcBorders>
            <w:gridSpan w:val="7"/>
            <w:shd w:val="clear" w:color="auto" w:fill="CCEBFF"/>
          </w:tcPr>
          <w:p>
            <w:pPr>
              <w:spacing w:after="0"/>
              <w:rPr>
                <w:sz w:val="20"/>
                <w:szCs w:val="20"/>
                <w:color w:val="auto"/>
              </w:rPr>
            </w:pPr>
            <w:r>
              <w:rPr>
                <w:rFonts w:ascii="Arial" w:cs="Arial" w:eastAsia="Arial" w:hAnsi="Arial"/>
                <w:sz w:val="16"/>
                <w:szCs w:val="16"/>
                <w:color w:val="auto"/>
                <w:w w:val="94"/>
              </w:rPr>
              <w:t>Systems provides commercial and multi-family framing services in the Northeast and will focus</w:t>
            </w:r>
          </w:p>
        </w:tc>
        <w:tc>
          <w:tcPr>
            <w:tcW w:w="0" w:type="dxa"/>
            <w:vAlign w:val="bottom"/>
          </w:tcPr>
          <w:p>
            <w:pPr>
              <w:spacing w:after="0"/>
              <w:rPr>
                <w:sz w:val="1"/>
                <w:szCs w:val="1"/>
                <w:color w:val="auto"/>
              </w:rPr>
            </w:pPr>
          </w:p>
        </w:tc>
      </w:tr>
      <w:tr>
        <w:trPr>
          <w:trHeight w:val="203"/>
        </w:trPr>
        <w:tc>
          <w:tcPr>
            <w:tcW w:w="2600" w:type="dxa"/>
            <w:vAlign w:val="bottom"/>
            <w:tcBorders>
              <w:left w:val="single" w:sz="8" w:color="auto"/>
              <w:right w:val="single" w:sz="8" w:color="auto"/>
            </w:tcBorders>
            <w:shd w:val="clear" w:color="auto" w:fill="CCEBFF"/>
          </w:tcPr>
          <w:p>
            <w:pPr>
              <w:spacing w:after="0"/>
              <w:rPr>
                <w:sz w:val="17"/>
                <w:szCs w:val="17"/>
                <w:color w:val="auto"/>
              </w:rPr>
            </w:pPr>
          </w:p>
        </w:tc>
        <w:tc>
          <w:tcPr>
            <w:tcW w:w="6320" w:type="dxa"/>
            <w:vAlign w:val="bottom"/>
            <w:tcBorders>
              <w:right w:val="single" w:sz="8" w:color="auto"/>
            </w:tcBorders>
            <w:gridSpan w:val="7"/>
            <w:shd w:val="clear" w:color="auto" w:fill="CCEBFF"/>
          </w:tcPr>
          <w:p>
            <w:pPr>
              <w:spacing w:after="0"/>
              <w:rPr>
                <w:sz w:val="20"/>
                <w:szCs w:val="20"/>
                <w:color w:val="auto"/>
              </w:rPr>
            </w:pPr>
            <w:r>
              <w:rPr>
                <w:rFonts w:ascii="Arial" w:cs="Arial" w:eastAsia="Arial" w:hAnsi="Arial"/>
                <w:sz w:val="16"/>
                <w:szCs w:val="16"/>
                <w:color w:val="auto"/>
                <w:w w:val="92"/>
              </w:rPr>
              <w:t>on markets not currently served by companies of UFP Industries. The companies had combined</w:t>
            </w:r>
          </w:p>
        </w:tc>
        <w:tc>
          <w:tcPr>
            <w:tcW w:w="0" w:type="dxa"/>
            <w:vAlign w:val="bottom"/>
          </w:tcPr>
          <w:p>
            <w:pPr>
              <w:spacing w:after="0"/>
              <w:rPr>
                <w:sz w:val="1"/>
                <w:szCs w:val="1"/>
                <w:color w:val="auto"/>
              </w:rPr>
            </w:pPr>
          </w:p>
        </w:tc>
      </w:tr>
      <w:tr>
        <w:trPr>
          <w:trHeight w:val="219"/>
        </w:trPr>
        <w:tc>
          <w:tcPr>
            <w:tcW w:w="2600" w:type="dxa"/>
            <w:vAlign w:val="bottom"/>
            <w:tcBorders>
              <w:left w:val="single" w:sz="8" w:color="auto"/>
              <w:bottom w:val="single" w:sz="8" w:color="auto"/>
              <w:right w:val="single" w:sz="8" w:color="auto"/>
            </w:tcBorders>
            <w:shd w:val="clear" w:color="auto" w:fill="CCEBFF"/>
          </w:tcPr>
          <w:p>
            <w:pPr>
              <w:spacing w:after="0"/>
              <w:rPr>
                <w:sz w:val="19"/>
                <w:szCs w:val="19"/>
                <w:color w:val="auto"/>
              </w:rPr>
            </w:pPr>
          </w:p>
        </w:tc>
        <w:tc>
          <w:tcPr>
            <w:tcW w:w="3320" w:type="dxa"/>
            <w:vAlign w:val="bottom"/>
            <w:tcBorders>
              <w:bottom w:val="single" w:sz="8" w:color="auto"/>
            </w:tcBorders>
            <w:gridSpan w:val="3"/>
            <w:shd w:val="clear" w:color="auto" w:fill="CCEBFF"/>
          </w:tcPr>
          <w:p>
            <w:pPr>
              <w:spacing w:after="0"/>
              <w:rPr>
                <w:sz w:val="20"/>
                <w:szCs w:val="20"/>
                <w:color w:val="auto"/>
              </w:rPr>
            </w:pPr>
            <w:r>
              <w:rPr>
                <w:rFonts w:ascii="Arial" w:cs="Arial" w:eastAsia="Arial" w:hAnsi="Arial"/>
                <w:sz w:val="16"/>
                <w:szCs w:val="16"/>
                <w:color w:val="auto"/>
              </w:rPr>
              <w:t>annual sales of approximately $28 million.</w:t>
            </w:r>
          </w:p>
        </w:tc>
        <w:tc>
          <w:tcPr>
            <w:tcW w:w="1020" w:type="dxa"/>
            <w:vAlign w:val="bottom"/>
            <w:tcBorders>
              <w:bottom w:val="single" w:sz="8" w:color="auto"/>
              <w:right w:val="single" w:sz="8" w:color="CCEBFF"/>
            </w:tcBorders>
            <w:shd w:val="clear" w:color="auto" w:fill="CCEBFF"/>
          </w:tcPr>
          <w:p>
            <w:pPr>
              <w:spacing w:after="0"/>
              <w:rPr>
                <w:sz w:val="19"/>
                <w:szCs w:val="19"/>
                <w:color w:val="auto"/>
              </w:rPr>
            </w:pPr>
          </w:p>
        </w:tc>
        <w:tc>
          <w:tcPr>
            <w:tcW w:w="140" w:type="dxa"/>
            <w:vAlign w:val="bottom"/>
            <w:tcBorders>
              <w:bottom w:val="single" w:sz="8" w:color="auto"/>
            </w:tcBorders>
            <w:shd w:val="clear" w:color="auto" w:fill="CCEBFF"/>
          </w:tcPr>
          <w:p>
            <w:pPr>
              <w:spacing w:after="0"/>
              <w:rPr>
                <w:sz w:val="19"/>
                <w:szCs w:val="19"/>
                <w:color w:val="auto"/>
              </w:rPr>
            </w:pPr>
          </w:p>
        </w:tc>
        <w:tc>
          <w:tcPr>
            <w:tcW w:w="1000" w:type="dxa"/>
            <w:vAlign w:val="bottom"/>
            <w:tcBorders>
              <w:bottom w:val="single" w:sz="8" w:color="auto"/>
              <w:right w:val="single" w:sz="8" w:color="CCEBFF"/>
            </w:tcBorders>
            <w:shd w:val="clear" w:color="auto" w:fill="CCEBFF"/>
          </w:tcPr>
          <w:p>
            <w:pPr>
              <w:spacing w:after="0"/>
              <w:rPr>
                <w:sz w:val="19"/>
                <w:szCs w:val="19"/>
                <w:color w:val="auto"/>
              </w:rPr>
            </w:pPr>
          </w:p>
        </w:tc>
        <w:tc>
          <w:tcPr>
            <w:tcW w:w="840" w:type="dxa"/>
            <w:vAlign w:val="bottom"/>
            <w:tcBorders>
              <w:bottom w:val="single" w:sz="8" w:color="auto"/>
              <w:right w:val="single" w:sz="8" w:color="auto"/>
            </w:tcBorders>
            <w:shd w:val="clear" w:color="auto" w:fill="CCEBFF"/>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600" w:type="dxa"/>
            <w:vAlign w:val="bottom"/>
            <w:tcBorders>
              <w:left w:val="single" w:sz="8" w:color="auto"/>
              <w:right w:val="single" w:sz="8" w:color="auto"/>
            </w:tcBorders>
          </w:tcPr>
          <w:p>
            <w:pPr>
              <w:spacing w:after="0"/>
              <w:rPr>
                <w:sz w:val="16"/>
                <w:szCs w:val="16"/>
                <w:color w:val="auto"/>
              </w:rPr>
            </w:pPr>
          </w:p>
        </w:tc>
        <w:tc>
          <w:tcPr>
            <w:tcW w:w="1420" w:type="dxa"/>
            <w:vAlign w:val="bottom"/>
            <w:tcBorders>
              <w:right w:val="single" w:sz="8" w:color="auto"/>
            </w:tcBorders>
          </w:tcPr>
          <w:p>
            <w:pPr>
              <w:spacing w:after="0"/>
              <w:rPr>
                <w:sz w:val="16"/>
                <w:szCs w:val="16"/>
                <w:color w:val="auto"/>
              </w:rPr>
            </w:pPr>
          </w:p>
        </w:tc>
        <w:tc>
          <w:tcPr>
            <w:tcW w:w="1780" w:type="dxa"/>
            <w:vAlign w:val="bottom"/>
            <w:tcBorders>
              <w:right w:val="single" w:sz="8" w:color="auto"/>
            </w:tcBorders>
          </w:tcPr>
          <w:p>
            <w:pPr>
              <w:jc w:val="right"/>
              <w:ind w:right="599"/>
              <w:spacing w:after="0"/>
              <w:rPr>
                <w:sz w:val="20"/>
                <w:szCs w:val="20"/>
                <w:color w:val="auto"/>
              </w:rPr>
            </w:pPr>
            <w:r>
              <w:rPr>
                <w:rFonts w:ascii="Arial" w:cs="Arial" w:eastAsia="Arial" w:hAnsi="Arial"/>
                <w:sz w:val="16"/>
                <w:szCs w:val="16"/>
                <w:color w:val="auto"/>
              </w:rPr>
              <w:t>$7,936</w:t>
            </w:r>
          </w:p>
        </w:tc>
        <w:tc>
          <w:tcPr>
            <w:tcW w:w="120" w:type="dxa"/>
            <w:vAlign w:val="bottom"/>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2600" w:type="dxa"/>
            <w:vAlign w:val="bottom"/>
            <w:tcBorders>
              <w:left w:val="single" w:sz="8" w:color="auto"/>
              <w:right w:val="single" w:sz="8" w:color="auto"/>
            </w:tcBorders>
          </w:tcPr>
          <w:p>
            <w:pPr>
              <w:spacing w:after="0"/>
              <w:rPr>
                <w:sz w:val="21"/>
                <w:szCs w:val="21"/>
                <w:color w:val="auto"/>
              </w:rPr>
            </w:pP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0"/>
              </w:rPr>
              <w:t>October 1, 2020</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cash paid for 100% asset</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7,222</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714</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Retail</w:t>
            </w:r>
          </w:p>
        </w:tc>
        <w:tc>
          <w:tcPr>
            <w:tcW w:w="0" w:type="dxa"/>
            <w:vAlign w:val="bottom"/>
          </w:tcPr>
          <w:p>
            <w:pPr>
              <w:spacing w:after="0"/>
              <w:rPr>
                <w:sz w:val="1"/>
                <w:szCs w:val="1"/>
                <w:color w:val="auto"/>
              </w:rPr>
            </w:pPr>
          </w:p>
        </w:tc>
      </w:tr>
      <w:tr>
        <w:trPr>
          <w:trHeight w:val="152"/>
        </w:trPr>
        <w:tc>
          <w:tcPr>
            <w:tcW w:w="2600" w:type="dxa"/>
            <w:vAlign w:val="bottom"/>
            <w:tcBorders>
              <w:left w:val="single" w:sz="8" w:color="auto"/>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1780" w:type="dxa"/>
            <w:vAlign w:val="bottom"/>
            <w:tcBorders>
              <w:right w:val="single" w:sz="8" w:color="auto"/>
            </w:tcBorders>
          </w:tcPr>
          <w:p>
            <w:pPr>
              <w:jc w:val="center"/>
              <w:spacing w:after="0" w:line="152" w:lineRule="exact"/>
              <w:rPr>
                <w:sz w:val="20"/>
                <w:szCs w:val="20"/>
                <w:color w:val="auto"/>
              </w:rPr>
            </w:pPr>
            <w:r>
              <w:rPr>
                <w:rFonts w:ascii="Arial" w:cs="Arial" w:eastAsia="Arial" w:hAnsi="Arial"/>
                <w:sz w:val="16"/>
                <w:szCs w:val="16"/>
                <w:color w:val="auto"/>
                <w:w w:val="88"/>
              </w:rPr>
              <w:t>purchase and estimated</w:t>
            </w:r>
          </w:p>
        </w:tc>
        <w:tc>
          <w:tcPr>
            <w:tcW w:w="120" w:type="dxa"/>
            <w:vAlign w:val="bottom"/>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c>
          <w:tcPr>
            <w:tcW w:w="8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26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0"/>
              </w:rPr>
              <w:t>Fire Retardant Chemical Technologies,</w:t>
            </w:r>
          </w:p>
        </w:tc>
        <w:tc>
          <w:tcPr>
            <w:tcW w:w="1420" w:type="dxa"/>
            <w:vAlign w:val="bottom"/>
            <w:tcBorders>
              <w:bottom w:val="single" w:sz="8" w:color="auto"/>
              <w:right w:val="single" w:sz="8" w:color="auto"/>
            </w:tcBorders>
          </w:tcPr>
          <w:p>
            <w:pPr>
              <w:spacing w:after="0"/>
              <w:rPr>
                <w:sz w:val="17"/>
                <w:szCs w:val="17"/>
                <w:color w:val="auto"/>
              </w:rPr>
            </w:pP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contingent consideration</w:t>
            </w: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right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2600" w:type="dxa"/>
            <w:vAlign w:val="bottom"/>
            <w:tcBorders>
              <w:left w:val="single" w:sz="8" w:color="auto"/>
              <w:right w:val="single" w:sz="8" w:color="auto"/>
            </w:tcBorders>
            <w:vMerge w:val="continue"/>
          </w:tcPr>
          <w:p>
            <w:pPr>
              <w:spacing w:after="0"/>
              <w:rPr>
                <w:sz w:val="15"/>
                <w:szCs w:val="15"/>
                <w:color w:val="auto"/>
              </w:rPr>
            </w:pPr>
          </w:p>
        </w:tc>
        <w:tc>
          <w:tcPr>
            <w:tcW w:w="6320" w:type="dxa"/>
            <w:vAlign w:val="bottom"/>
            <w:tcBorders>
              <w:right w:val="single" w:sz="8" w:color="auto"/>
            </w:tcBorders>
            <w:gridSpan w:val="7"/>
          </w:tcPr>
          <w:p>
            <w:pPr>
              <w:spacing w:after="0" w:line="179" w:lineRule="exact"/>
              <w:rPr>
                <w:sz w:val="20"/>
                <w:szCs w:val="20"/>
                <w:color w:val="auto"/>
              </w:rPr>
            </w:pPr>
            <w:r>
              <w:rPr>
                <w:rFonts w:ascii="Arial" w:cs="Arial" w:eastAsia="Arial" w:hAnsi="Arial"/>
                <w:sz w:val="16"/>
                <w:szCs w:val="16"/>
                <w:color w:val="auto"/>
                <w:w w:val="93"/>
              </w:rPr>
              <w:t>Founded in 2014 and based in Matthews, North Carolina, FRCT’s business includes a research</w:t>
            </w:r>
          </w:p>
        </w:tc>
        <w:tc>
          <w:tcPr>
            <w:tcW w:w="0" w:type="dxa"/>
            <w:vAlign w:val="bottom"/>
          </w:tcPr>
          <w:p>
            <w:pPr>
              <w:spacing w:after="0"/>
              <w:rPr>
                <w:sz w:val="1"/>
                <w:szCs w:val="1"/>
                <w:color w:val="auto"/>
              </w:rPr>
            </w:pPr>
          </w:p>
        </w:tc>
      </w:tr>
      <w:tr>
        <w:trPr>
          <w:trHeight w:val="216"/>
        </w:trPr>
        <w:tc>
          <w:tcPr>
            <w:tcW w:w="26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LLC (FRCT)</w:t>
            </w:r>
          </w:p>
        </w:tc>
        <w:tc>
          <w:tcPr>
            <w:tcW w:w="6320" w:type="dxa"/>
            <w:vAlign w:val="bottom"/>
            <w:tcBorders>
              <w:right w:val="single" w:sz="8" w:color="auto"/>
            </w:tcBorders>
            <w:gridSpan w:val="7"/>
          </w:tcPr>
          <w:p>
            <w:pPr>
              <w:spacing w:after="0"/>
              <w:rPr>
                <w:sz w:val="20"/>
                <w:szCs w:val="20"/>
                <w:color w:val="auto"/>
              </w:rPr>
            </w:pPr>
            <w:r>
              <w:rPr>
                <w:rFonts w:ascii="Arial" w:cs="Arial" w:eastAsia="Arial" w:hAnsi="Arial"/>
                <w:sz w:val="16"/>
                <w:szCs w:val="16"/>
                <w:color w:val="auto"/>
              </w:rPr>
              <w:t>and development laboratory specializing in developing and testing a wide range of high-</w:t>
            </w:r>
          </w:p>
        </w:tc>
        <w:tc>
          <w:tcPr>
            <w:tcW w:w="0" w:type="dxa"/>
            <w:vAlign w:val="bottom"/>
          </w:tcPr>
          <w:p>
            <w:pPr>
              <w:spacing w:after="0"/>
              <w:rPr>
                <w:sz w:val="1"/>
                <w:szCs w:val="1"/>
                <w:color w:val="auto"/>
              </w:rPr>
            </w:pPr>
          </w:p>
        </w:tc>
      </w:tr>
      <w:tr>
        <w:trPr>
          <w:trHeight w:val="203"/>
        </w:trPr>
        <w:tc>
          <w:tcPr>
            <w:tcW w:w="2600" w:type="dxa"/>
            <w:vAlign w:val="bottom"/>
            <w:tcBorders>
              <w:left w:val="single" w:sz="8" w:color="auto"/>
              <w:right w:val="single" w:sz="8" w:color="auto"/>
            </w:tcBorders>
          </w:tcPr>
          <w:p>
            <w:pPr>
              <w:spacing w:after="0"/>
              <w:rPr>
                <w:sz w:val="17"/>
                <w:szCs w:val="17"/>
                <w:color w:val="auto"/>
              </w:rPr>
            </w:pPr>
          </w:p>
        </w:tc>
        <w:tc>
          <w:tcPr>
            <w:tcW w:w="6320" w:type="dxa"/>
            <w:vAlign w:val="bottom"/>
            <w:tcBorders>
              <w:right w:val="single" w:sz="8" w:color="auto"/>
            </w:tcBorders>
            <w:gridSpan w:val="7"/>
          </w:tcPr>
          <w:p>
            <w:pPr>
              <w:spacing w:after="0"/>
              <w:rPr>
                <w:sz w:val="20"/>
                <w:szCs w:val="20"/>
                <w:color w:val="auto"/>
              </w:rPr>
            </w:pPr>
            <w:r>
              <w:rPr>
                <w:rFonts w:ascii="Arial" w:cs="Arial" w:eastAsia="Arial" w:hAnsi="Arial"/>
                <w:sz w:val="16"/>
                <w:szCs w:val="16"/>
                <w:color w:val="auto"/>
                <w:w w:val="92"/>
              </w:rPr>
              <w:t>performance chemicals, including fire retardants and water repellants. The company had annual</w:t>
            </w:r>
          </w:p>
        </w:tc>
        <w:tc>
          <w:tcPr>
            <w:tcW w:w="0" w:type="dxa"/>
            <w:vAlign w:val="bottom"/>
          </w:tcPr>
          <w:p>
            <w:pPr>
              <w:spacing w:after="0"/>
              <w:rPr>
                <w:sz w:val="1"/>
                <w:szCs w:val="1"/>
                <w:color w:val="auto"/>
              </w:rPr>
            </w:pPr>
          </w:p>
        </w:tc>
      </w:tr>
      <w:tr>
        <w:trPr>
          <w:trHeight w:val="219"/>
        </w:trPr>
        <w:tc>
          <w:tcPr>
            <w:tcW w:w="2600" w:type="dxa"/>
            <w:vAlign w:val="bottom"/>
            <w:tcBorders>
              <w:left w:val="single" w:sz="8" w:color="auto"/>
              <w:bottom w:val="single" w:sz="8" w:color="auto"/>
              <w:right w:val="single" w:sz="8" w:color="auto"/>
            </w:tcBorders>
          </w:tcPr>
          <w:p>
            <w:pPr>
              <w:spacing w:after="0"/>
              <w:rPr>
                <w:sz w:val="19"/>
                <w:szCs w:val="19"/>
                <w:color w:val="auto"/>
              </w:rPr>
            </w:pPr>
          </w:p>
        </w:tc>
        <w:tc>
          <w:tcPr>
            <w:tcW w:w="332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rPr>
              <w:t>sales of approximately $6.4 million.</w:t>
            </w:r>
          </w:p>
        </w:tc>
        <w:tc>
          <w:tcPr>
            <w:tcW w:w="10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9" w:name="page110"/>
    <w:bookmarkEnd w:id="10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50" w:type="dxa"/>
        <w:tblCellMar>
          <w:top w:w="0" w:type="dxa"/>
          <w:left w:w="0" w:type="dxa"/>
          <w:bottom w:w="0" w:type="dxa"/>
          <w:right w:w="0" w:type="dxa"/>
        </w:tblCellMar>
      </w:tblPr>
      <w:tr>
        <w:trPr>
          <w:trHeight w:val="193"/>
        </w:trPr>
        <w:tc>
          <w:tcPr>
            <w:tcW w:w="2600" w:type="dxa"/>
            <w:vAlign w:val="bottom"/>
            <w:tcBorders>
              <w:left w:val="single" w:sz="8" w:color="auto"/>
              <w:right w:val="single" w:sz="8" w:color="auto"/>
            </w:tcBorders>
            <w:shd w:val="clear" w:color="auto" w:fill="CCEBFF"/>
          </w:tcPr>
          <w:p>
            <w:pPr>
              <w:spacing w:after="0"/>
              <w:rPr>
                <w:sz w:val="16"/>
                <w:szCs w:val="16"/>
                <w:color w:val="auto"/>
              </w:rPr>
            </w:pPr>
          </w:p>
        </w:tc>
        <w:tc>
          <w:tcPr>
            <w:tcW w:w="1420" w:type="dxa"/>
            <w:vAlign w:val="bottom"/>
            <w:tcBorders>
              <w:right w:val="single" w:sz="8" w:color="auto"/>
            </w:tcBorders>
            <w:shd w:val="clear" w:color="auto" w:fill="CCEBFF"/>
          </w:tcPr>
          <w:p>
            <w:pPr>
              <w:spacing w:after="0"/>
              <w:rPr>
                <w:sz w:val="16"/>
                <w:szCs w:val="16"/>
                <w:color w:val="auto"/>
              </w:rPr>
            </w:pPr>
          </w:p>
        </w:tc>
        <w:tc>
          <w:tcPr>
            <w:tcW w:w="176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93"/>
              </w:rPr>
              <w:t>$4,465</w:t>
            </w:r>
          </w:p>
        </w:tc>
        <w:tc>
          <w:tcPr>
            <w:tcW w:w="540" w:type="dxa"/>
            <w:vAlign w:val="bottom"/>
            <w:shd w:val="clear" w:color="auto" w:fill="CCEBFF"/>
          </w:tcPr>
          <w:p>
            <w:pPr>
              <w:spacing w:after="0"/>
              <w:rPr>
                <w:sz w:val="16"/>
                <w:szCs w:val="16"/>
                <w:color w:val="auto"/>
              </w:rPr>
            </w:pPr>
          </w:p>
        </w:tc>
        <w:tc>
          <w:tcPr>
            <w:tcW w:w="600" w:type="dxa"/>
            <w:vAlign w:val="bottom"/>
            <w:tcBorders>
              <w:right w:val="single" w:sz="8" w:color="auto"/>
            </w:tcBorders>
            <w:shd w:val="clear" w:color="auto" w:fill="CCEBFF"/>
          </w:tcPr>
          <w:p>
            <w:pPr>
              <w:spacing w:after="0"/>
              <w:rPr>
                <w:sz w:val="16"/>
                <w:szCs w:val="16"/>
                <w:color w:val="auto"/>
              </w:rPr>
            </w:pPr>
          </w:p>
        </w:tc>
        <w:tc>
          <w:tcPr>
            <w:tcW w:w="380" w:type="dxa"/>
            <w:vAlign w:val="bottom"/>
            <w:shd w:val="clear" w:color="auto" w:fill="CCEBFF"/>
          </w:tcPr>
          <w:p>
            <w:pPr>
              <w:spacing w:after="0"/>
              <w:rPr>
                <w:sz w:val="16"/>
                <w:szCs w:val="16"/>
                <w:color w:val="auto"/>
              </w:rPr>
            </w:pPr>
          </w:p>
        </w:tc>
        <w:tc>
          <w:tcPr>
            <w:tcW w:w="760" w:type="dxa"/>
            <w:vAlign w:val="bottom"/>
            <w:tcBorders>
              <w:right w:val="single" w:sz="8" w:color="auto"/>
            </w:tcBorders>
            <w:shd w:val="clear" w:color="auto" w:fill="CCEBFF"/>
          </w:tcPr>
          <w:p>
            <w:pPr>
              <w:spacing w:after="0"/>
              <w:rPr>
                <w:sz w:val="16"/>
                <w:szCs w:val="16"/>
                <w:color w:val="auto"/>
              </w:rPr>
            </w:pPr>
          </w:p>
        </w:tc>
        <w:tc>
          <w:tcPr>
            <w:tcW w:w="860" w:type="dxa"/>
            <w:vAlign w:val="bottom"/>
            <w:tcBorders>
              <w:right w:val="single" w:sz="8" w:color="auto"/>
            </w:tcBorders>
            <w:shd w:val="clear" w:color="auto" w:fill="CCEBFF"/>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2600" w:type="dxa"/>
            <w:vAlign w:val="bottom"/>
            <w:tcBorders>
              <w:left w:val="single" w:sz="8" w:color="auto"/>
              <w:right w:val="single" w:sz="8" w:color="auto"/>
            </w:tcBorders>
            <w:shd w:val="clear" w:color="auto" w:fill="CCEBFF"/>
          </w:tcPr>
          <w:p>
            <w:pPr>
              <w:spacing w:after="0"/>
              <w:rPr>
                <w:sz w:val="21"/>
                <w:szCs w:val="21"/>
                <w:color w:val="auto"/>
              </w:rPr>
            </w:pPr>
          </w:p>
        </w:tc>
        <w:tc>
          <w:tcPr>
            <w:tcW w:w="142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89"/>
              </w:rPr>
              <w:t>September 30, 2020</w:t>
            </w:r>
          </w:p>
        </w:tc>
        <w:tc>
          <w:tcPr>
            <w:tcW w:w="176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90"/>
              </w:rPr>
              <w:t>cash paid for 100% asset</w:t>
            </w:r>
          </w:p>
        </w:tc>
        <w:tc>
          <w:tcPr>
            <w:tcW w:w="540" w:type="dxa"/>
            <w:vAlign w:val="bottom"/>
            <w:shd w:val="clear" w:color="auto" w:fill="CCEBFF"/>
          </w:tcPr>
          <w:p>
            <w:pPr>
              <w:jc w:val="right"/>
              <w:ind w:right="384"/>
              <w:spacing w:after="0"/>
              <w:rPr>
                <w:sz w:val="20"/>
                <w:szCs w:val="20"/>
                <w:color w:val="auto"/>
              </w:rPr>
            </w:pPr>
            <w:r>
              <w:rPr>
                <w:rFonts w:ascii="Arial" w:cs="Arial" w:eastAsia="Arial" w:hAnsi="Arial"/>
                <w:sz w:val="15"/>
                <w:szCs w:val="15"/>
                <w:color w:val="auto"/>
                <w:w w:val="71"/>
              </w:rPr>
              <w:t>$</w:t>
            </w:r>
          </w:p>
        </w:tc>
        <w:tc>
          <w:tcPr>
            <w:tcW w:w="600" w:type="dxa"/>
            <w:vAlign w:val="bottom"/>
            <w:tcBorders>
              <w:right w:val="single" w:sz="8" w:color="auto"/>
            </w:tcBorders>
            <w:shd w:val="clear" w:color="auto" w:fill="CCEBFF"/>
          </w:tcPr>
          <w:p>
            <w:pPr>
              <w:jc w:val="right"/>
              <w:spacing w:after="0"/>
              <w:rPr>
                <w:sz w:val="20"/>
                <w:szCs w:val="20"/>
                <w:color w:val="auto"/>
              </w:rPr>
            </w:pPr>
            <w:r>
              <w:rPr>
                <w:rFonts w:ascii="Arial" w:cs="Arial" w:eastAsia="Arial" w:hAnsi="Arial"/>
                <w:sz w:val="16"/>
                <w:szCs w:val="16"/>
                <w:color w:val="auto"/>
              </w:rPr>
              <w:t>4,607</w:t>
            </w:r>
          </w:p>
        </w:tc>
        <w:tc>
          <w:tcPr>
            <w:tcW w:w="380" w:type="dxa"/>
            <w:vAlign w:val="bottom"/>
            <w:shd w:val="clear" w:color="auto" w:fill="CCEBFF"/>
          </w:tcPr>
          <w:p>
            <w:pPr>
              <w:jc w:val="right"/>
              <w:ind w:right="224"/>
              <w:spacing w:after="0"/>
              <w:rPr>
                <w:sz w:val="20"/>
                <w:szCs w:val="20"/>
                <w:color w:val="auto"/>
              </w:rPr>
            </w:pPr>
            <w:r>
              <w:rPr>
                <w:rFonts w:ascii="Arial" w:cs="Arial" w:eastAsia="Arial" w:hAnsi="Arial"/>
                <w:sz w:val="15"/>
                <w:szCs w:val="15"/>
                <w:color w:val="auto"/>
                <w:w w:val="71"/>
              </w:rPr>
              <w:t>$</w:t>
            </w:r>
          </w:p>
        </w:tc>
        <w:tc>
          <w:tcPr>
            <w:tcW w:w="760" w:type="dxa"/>
            <w:vAlign w:val="bottom"/>
            <w:tcBorders>
              <w:right w:val="single" w:sz="8" w:color="auto"/>
            </w:tcBorders>
            <w:shd w:val="clear" w:color="auto" w:fill="CCEBFF"/>
          </w:tcPr>
          <w:p>
            <w:pPr>
              <w:jc w:val="right"/>
              <w:spacing w:after="0"/>
              <w:rPr>
                <w:sz w:val="20"/>
                <w:szCs w:val="20"/>
                <w:color w:val="auto"/>
              </w:rPr>
            </w:pPr>
            <w:r>
              <w:rPr>
                <w:rFonts w:ascii="Arial" w:cs="Arial" w:eastAsia="Arial" w:hAnsi="Arial"/>
                <w:sz w:val="16"/>
                <w:szCs w:val="16"/>
                <w:color w:val="auto"/>
              </w:rPr>
              <w:t>(142)</w:t>
            </w:r>
          </w:p>
        </w:tc>
        <w:tc>
          <w:tcPr>
            <w:tcW w:w="86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89"/>
              </w:rPr>
              <w:t>Other</w:t>
            </w:r>
          </w:p>
        </w:tc>
        <w:tc>
          <w:tcPr>
            <w:tcW w:w="0" w:type="dxa"/>
            <w:vAlign w:val="bottom"/>
          </w:tcPr>
          <w:p>
            <w:pPr>
              <w:spacing w:after="0"/>
              <w:rPr>
                <w:sz w:val="1"/>
                <w:szCs w:val="1"/>
                <w:color w:val="auto"/>
              </w:rPr>
            </w:pPr>
          </w:p>
        </w:tc>
      </w:tr>
      <w:tr>
        <w:trPr>
          <w:trHeight w:val="152"/>
        </w:trPr>
        <w:tc>
          <w:tcPr>
            <w:tcW w:w="2600" w:type="dxa"/>
            <w:vAlign w:val="bottom"/>
            <w:tcBorders>
              <w:left w:val="single" w:sz="8" w:color="auto"/>
              <w:right w:val="single" w:sz="8" w:color="auto"/>
            </w:tcBorders>
            <w:shd w:val="clear" w:color="auto" w:fill="CCEBFF"/>
          </w:tcPr>
          <w:p>
            <w:pPr>
              <w:spacing w:after="0"/>
              <w:rPr>
                <w:sz w:val="13"/>
                <w:szCs w:val="13"/>
                <w:color w:val="auto"/>
              </w:rPr>
            </w:pPr>
          </w:p>
        </w:tc>
        <w:tc>
          <w:tcPr>
            <w:tcW w:w="1420" w:type="dxa"/>
            <w:vAlign w:val="bottom"/>
            <w:tcBorders>
              <w:right w:val="single" w:sz="8" w:color="auto"/>
            </w:tcBorders>
            <w:shd w:val="clear" w:color="auto" w:fill="CCEBFF"/>
          </w:tcPr>
          <w:p>
            <w:pPr>
              <w:spacing w:after="0"/>
              <w:rPr>
                <w:sz w:val="13"/>
                <w:szCs w:val="13"/>
                <w:color w:val="auto"/>
              </w:rPr>
            </w:pPr>
          </w:p>
        </w:tc>
        <w:tc>
          <w:tcPr>
            <w:tcW w:w="1760" w:type="dxa"/>
            <w:vAlign w:val="bottom"/>
            <w:tcBorders>
              <w:right w:val="single" w:sz="8" w:color="auto"/>
            </w:tcBorders>
            <w:shd w:val="clear" w:color="auto" w:fill="CCEBFF"/>
          </w:tcPr>
          <w:p>
            <w:pPr>
              <w:jc w:val="center"/>
              <w:spacing w:after="0" w:line="152" w:lineRule="exact"/>
              <w:rPr>
                <w:sz w:val="20"/>
                <w:szCs w:val="20"/>
                <w:color w:val="auto"/>
              </w:rPr>
            </w:pPr>
            <w:r>
              <w:rPr>
                <w:rFonts w:ascii="Arial" w:cs="Arial" w:eastAsia="Arial" w:hAnsi="Arial"/>
                <w:sz w:val="16"/>
                <w:szCs w:val="16"/>
                <w:color w:val="auto"/>
                <w:w w:val="87"/>
              </w:rPr>
              <w:t>purchase and estimated</w:t>
            </w:r>
          </w:p>
        </w:tc>
        <w:tc>
          <w:tcPr>
            <w:tcW w:w="540" w:type="dxa"/>
            <w:vAlign w:val="bottom"/>
            <w:shd w:val="clear" w:color="auto" w:fill="CCEBFF"/>
          </w:tcPr>
          <w:p>
            <w:pPr>
              <w:spacing w:after="0"/>
              <w:rPr>
                <w:sz w:val="13"/>
                <w:szCs w:val="13"/>
                <w:color w:val="auto"/>
              </w:rPr>
            </w:pPr>
          </w:p>
        </w:tc>
        <w:tc>
          <w:tcPr>
            <w:tcW w:w="600" w:type="dxa"/>
            <w:vAlign w:val="bottom"/>
            <w:tcBorders>
              <w:right w:val="single" w:sz="8" w:color="auto"/>
            </w:tcBorders>
            <w:shd w:val="clear" w:color="auto" w:fill="CCEBFF"/>
          </w:tcPr>
          <w:p>
            <w:pPr>
              <w:spacing w:after="0"/>
              <w:rPr>
                <w:sz w:val="13"/>
                <w:szCs w:val="13"/>
                <w:color w:val="auto"/>
              </w:rPr>
            </w:pPr>
          </w:p>
        </w:tc>
        <w:tc>
          <w:tcPr>
            <w:tcW w:w="380" w:type="dxa"/>
            <w:vAlign w:val="bottom"/>
            <w:shd w:val="clear" w:color="auto" w:fill="CCEBFF"/>
          </w:tcPr>
          <w:p>
            <w:pPr>
              <w:spacing w:after="0"/>
              <w:rPr>
                <w:sz w:val="13"/>
                <w:szCs w:val="13"/>
                <w:color w:val="auto"/>
              </w:rPr>
            </w:pPr>
          </w:p>
        </w:tc>
        <w:tc>
          <w:tcPr>
            <w:tcW w:w="760" w:type="dxa"/>
            <w:vAlign w:val="bottom"/>
            <w:tcBorders>
              <w:right w:val="single" w:sz="8" w:color="auto"/>
            </w:tcBorders>
            <w:shd w:val="clear" w:color="auto" w:fill="CCEBFF"/>
          </w:tcPr>
          <w:p>
            <w:pPr>
              <w:spacing w:after="0"/>
              <w:rPr>
                <w:sz w:val="13"/>
                <w:szCs w:val="13"/>
                <w:color w:val="auto"/>
              </w:rPr>
            </w:pPr>
          </w:p>
        </w:tc>
        <w:tc>
          <w:tcPr>
            <w:tcW w:w="860" w:type="dxa"/>
            <w:vAlign w:val="bottom"/>
            <w:tcBorders>
              <w:right w:val="single" w:sz="8" w:color="auto"/>
            </w:tcBorders>
            <w:shd w:val="clear" w:color="auto" w:fill="CCEBFF"/>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600" w:type="dxa"/>
            <w:vAlign w:val="bottom"/>
            <w:tcBorders>
              <w:left w:val="single" w:sz="8" w:color="auto"/>
              <w:bottom w:val="single" w:sz="8" w:color="CCEBFF"/>
              <w:right w:val="single" w:sz="8" w:color="auto"/>
            </w:tcBorders>
            <w:vMerge w:val="restart"/>
            <w:shd w:val="clear" w:color="auto" w:fill="CCEBFF"/>
          </w:tcPr>
          <w:p>
            <w:pPr>
              <w:jc w:val="center"/>
              <w:spacing w:after="0"/>
              <w:rPr>
                <w:sz w:val="20"/>
                <w:szCs w:val="20"/>
                <w:color w:val="auto"/>
              </w:rPr>
            </w:pPr>
            <w:r>
              <w:rPr>
                <w:rFonts w:ascii="Arial" w:cs="Arial" w:eastAsia="Arial" w:hAnsi="Arial"/>
                <w:sz w:val="16"/>
                <w:szCs w:val="16"/>
                <w:color w:val="auto"/>
                <w:w w:val="93"/>
              </w:rPr>
              <w:t>Enwrap Logistic &amp; Packaging S.r.l.</w:t>
            </w:r>
          </w:p>
        </w:tc>
        <w:tc>
          <w:tcPr>
            <w:tcW w:w="1420" w:type="dxa"/>
            <w:vAlign w:val="bottom"/>
            <w:tcBorders>
              <w:bottom w:val="single" w:sz="8" w:color="auto"/>
              <w:right w:val="single" w:sz="8" w:color="auto"/>
            </w:tcBorders>
            <w:shd w:val="clear" w:color="auto" w:fill="CCEBFF"/>
          </w:tcPr>
          <w:p>
            <w:pPr>
              <w:spacing w:after="0"/>
              <w:rPr>
                <w:sz w:val="18"/>
                <w:szCs w:val="18"/>
                <w:color w:val="auto"/>
              </w:rPr>
            </w:pPr>
          </w:p>
        </w:tc>
        <w:tc>
          <w:tcPr>
            <w:tcW w:w="1760" w:type="dxa"/>
            <w:vAlign w:val="bottom"/>
            <w:tcBorders>
              <w:bottom w:val="single" w:sz="8" w:color="auto"/>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91"/>
              </w:rPr>
              <w:t>contingent consideration</w:t>
            </w:r>
          </w:p>
        </w:tc>
        <w:tc>
          <w:tcPr>
            <w:tcW w:w="540" w:type="dxa"/>
            <w:vAlign w:val="bottom"/>
            <w:tcBorders>
              <w:bottom w:val="single" w:sz="8" w:color="auto"/>
            </w:tcBorders>
            <w:shd w:val="clear" w:color="auto" w:fill="CCEBFF"/>
          </w:tcPr>
          <w:p>
            <w:pPr>
              <w:spacing w:after="0"/>
              <w:rPr>
                <w:sz w:val="18"/>
                <w:szCs w:val="18"/>
                <w:color w:val="auto"/>
              </w:rPr>
            </w:pPr>
          </w:p>
        </w:tc>
        <w:tc>
          <w:tcPr>
            <w:tcW w:w="600" w:type="dxa"/>
            <w:vAlign w:val="bottom"/>
            <w:tcBorders>
              <w:bottom w:val="single" w:sz="8" w:color="auto"/>
              <w:right w:val="single" w:sz="8" w:color="auto"/>
            </w:tcBorders>
            <w:shd w:val="clear" w:color="auto" w:fill="CCEBFF"/>
          </w:tcPr>
          <w:p>
            <w:pPr>
              <w:spacing w:after="0"/>
              <w:rPr>
                <w:sz w:val="18"/>
                <w:szCs w:val="18"/>
                <w:color w:val="auto"/>
              </w:rPr>
            </w:pPr>
          </w:p>
        </w:tc>
        <w:tc>
          <w:tcPr>
            <w:tcW w:w="380" w:type="dxa"/>
            <w:vAlign w:val="bottom"/>
            <w:tcBorders>
              <w:bottom w:val="single" w:sz="8" w:color="auto"/>
            </w:tcBorders>
            <w:shd w:val="clear" w:color="auto" w:fill="CCEBFF"/>
          </w:tcPr>
          <w:p>
            <w:pPr>
              <w:spacing w:after="0"/>
              <w:rPr>
                <w:sz w:val="18"/>
                <w:szCs w:val="18"/>
                <w:color w:val="auto"/>
              </w:rPr>
            </w:pPr>
          </w:p>
        </w:tc>
        <w:tc>
          <w:tcPr>
            <w:tcW w:w="760" w:type="dxa"/>
            <w:vAlign w:val="bottom"/>
            <w:tcBorders>
              <w:bottom w:val="single" w:sz="8" w:color="auto"/>
              <w:right w:val="single" w:sz="8" w:color="auto"/>
            </w:tcBorders>
            <w:shd w:val="clear" w:color="auto" w:fill="CCEBFF"/>
          </w:tcPr>
          <w:p>
            <w:pPr>
              <w:spacing w:after="0"/>
              <w:rPr>
                <w:sz w:val="18"/>
                <w:szCs w:val="18"/>
                <w:color w:val="auto"/>
              </w:rPr>
            </w:pPr>
          </w:p>
        </w:tc>
        <w:tc>
          <w:tcPr>
            <w:tcW w:w="860" w:type="dxa"/>
            <w:vAlign w:val="bottom"/>
            <w:tcBorders>
              <w:bottom w:val="single" w:sz="8" w:color="auto"/>
              <w:right w:val="single" w:sz="8" w:color="auto"/>
            </w:tcBorders>
            <w:shd w:val="clear" w:color="auto" w:fill="CCEB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600" w:type="dxa"/>
            <w:vAlign w:val="bottom"/>
            <w:tcBorders>
              <w:left w:val="single" w:sz="8" w:color="auto"/>
              <w:right w:val="single" w:sz="8" w:color="auto"/>
            </w:tcBorders>
            <w:vMerge w:val="continue"/>
            <w:shd w:val="clear" w:color="auto" w:fill="CCEBFF"/>
          </w:tcPr>
          <w:p>
            <w:pPr>
              <w:spacing w:after="0"/>
              <w:rPr>
                <w:sz w:val="15"/>
                <w:szCs w:val="15"/>
                <w:color w:val="auto"/>
              </w:rPr>
            </w:pPr>
          </w:p>
        </w:tc>
        <w:tc>
          <w:tcPr>
            <w:tcW w:w="6320" w:type="dxa"/>
            <w:vAlign w:val="bottom"/>
            <w:tcBorders>
              <w:right w:val="single" w:sz="8" w:color="auto"/>
            </w:tcBorders>
            <w:gridSpan w:val="7"/>
            <w:shd w:val="clear" w:color="auto" w:fill="CCEBFF"/>
          </w:tcPr>
          <w:p>
            <w:pPr>
              <w:spacing w:after="0" w:line="176" w:lineRule="exact"/>
              <w:rPr>
                <w:sz w:val="20"/>
                <w:szCs w:val="20"/>
                <w:color w:val="auto"/>
              </w:rPr>
            </w:pPr>
            <w:r>
              <w:rPr>
                <w:rFonts w:ascii="Arial" w:cs="Arial" w:eastAsia="Arial" w:hAnsi="Arial"/>
                <w:sz w:val="16"/>
                <w:szCs w:val="16"/>
                <w:color w:val="auto"/>
                <w:w w:val="97"/>
              </w:rPr>
              <w:t>Enwrap is a newly formed company dedicated to the logistics and packaging business of its</w:t>
            </w:r>
          </w:p>
        </w:tc>
        <w:tc>
          <w:tcPr>
            <w:tcW w:w="0" w:type="dxa"/>
            <w:vAlign w:val="bottom"/>
          </w:tcPr>
          <w:p>
            <w:pPr>
              <w:spacing w:after="0"/>
              <w:rPr>
                <w:sz w:val="1"/>
                <w:szCs w:val="1"/>
                <w:color w:val="auto"/>
              </w:rPr>
            </w:pPr>
          </w:p>
        </w:tc>
      </w:tr>
      <w:tr>
        <w:trPr>
          <w:trHeight w:val="216"/>
        </w:trPr>
        <w:tc>
          <w:tcPr>
            <w:tcW w:w="2600" w:type="dxa"/>
            <w:vAlign w:val="bottom"/>
            <w:tcBorders>
              <w:left w:val="single" w:sz="8" w:color="auto"/>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92"/>
              </w:rPr>
              <w:t>(Enwrap)</w:t>
            </w:r>
          </w:p>
        </w:tc>
        <w:tc>
          <w:tcPr>
            <w:tcW w:w="6320" w:type="dxa"/>
            <w:vAlign w:val="bottom"/>
            <w:tcBorders>
              <w:right w:val="single" w:sz="8" w:color="auto"/>
            </w:tcBorders>
            <w:gridSpan w:val="7"/>
            <w:shd w:val="clear" w:color="auto" w:fill="CCEBFF"/>
          </w:tcPr>
          <w:p>
            <w:pPr>
              <w:spacing w:after="0"/>
              <w:rPr>
                <w:sz w:val="20"/>
                <w:szCs w:val="20"/>
                <w:color w:val="auto"/>
              </w:rPr>
            </w:pPr>
            <w:r>
              <w:rPr>
                <w:rFonts w:ascii="Arial" w:cs="Arial" w:eastAsia="Arial" w:hAnsi="Arial"/>
                <w:sz w:val="16"/>
                <w:szCs w:val="16"/>
                <w:color w:val="auto"/>
                <w:w w:val="96"/>
              </w:rPr>
              <w:t>predecessor, Job Service S.p.A. Headquartered in Milan, Italy, Enwrap provides high-value,</w:t>
            </w:r>
          </w:p>
        </w:tc>
        <w:tc>
          <w:tcPr>
            <w:tcW w:w="0" w:type="dxa"/>
            <w:vAlign w:val="bottom"/>
          </w:tcPr>
          <w:p>
            <w:pPr>
              <w:spacing w:after="0"/>
              <w:rPr>
                <w:sz w:val="1"/>
                <w:szCs w:val="1"/>
                <w:color w:val="auto"/>
              </w:rPr>
            </w:pPr>
          </w:p>
        </w:tc>
      </w:tr>
      <w:tr>
        <w:trPr>
          <w:trHeight w:val="203"/>
        </w:trPr>
        <w:tc>
          <w:tcPr>
            <w:tcW w:w="2600" w:type="dxa"/>
            <w:vAlign w:val="bottom"/>
            <w:tcBorders>
              <w:left w:val="single" w:sz="8" w:color="auto"/>
              <w:right w:val="single" w:sz="8" w:color="auto"/>
            </w:tcBorders>
            <w:shd w:val="clear" w:color="auto" w:fill="CCEBFF"/>
          </w:tcPr>
          <w:p>
            <w:pPr>
              <w:spacing w:after="0"/>
              <w:rPr>
                <w:sz w:val="17"/>
                <w:szCs w:val="17"/>
                <w:color w:val="auto"/>
              </w:rPr>
            </w:pPr>
          </w:p>
        </w:tc>
        <w:tc>
          <w:tcPr>
            <w:tcW w:w="6320" w:type="dxa"/>
            <w:vAlign w:val="bottom"/>
            <w:tcBorders>
              <w:right w:val="single" w:sz="8" w:color="auto"/>
            </w:tcBorders>
            <w:gridSpan w:val="7"/>
            <w:shd w:val="clear" w:color="auto" w:fill="CCEBFF"/>
          </w:tcPr>
          <w:p>
            <w:pPr>
              <w:spacing w:after="0"/>
              <w:rPr>
                <w:sz w:val="20"/>
                <w:szCs w:val="20"/>
                <w:color w:val="auto"/>
              </w:rPr>
            </w:pPr>
            <w:r>
              <w:rPr>
                <w:rFonts w:ascii="Arial" w:cs="Arial" w:eastAsia="Arial" w:hAnsi="Arial"/>
                <w:sz w:val="16"/>
                <w:szCs w:val="16"/>
                <w:color w:val="auto"/>
                <w:w w:val="93"/>
              </w:rPr>
              <w:t>mixed material industrial packaging and logistics services through eight locations in Italy. These</w:t>
            </w:r>
          </w:p>
        </w:tc>
        <w:tc>
          <w:tcPr>
            <w:tcW w:w="0" w:type="dxa"/>
            <w:vAlign w:val="bottom"/>
          </w:tcPr>
          <w:p>
            <w:pPr>
              <w:spacing w:after="0"/>
              <w:rPr>
                <w:sz w:val="1"/>
                <w:szCs w:val="1"/>
                <w:color w:val="auto"/>
              </w:rPr>
            </w:pPr>
          </w:p>
        </w:tc>
      </w:tr>
      <w:tr>
        <w:trPr>
          <w:trHeight w:val="219"/>
        </w:trPr>
        <w:tc>
          <w:tcPr>
            <w:tcW w:w="2600" w:type="dxa"/>
            <w:vAlign w:val="bottom"/>
            <w:tcBorders>
              <w:left w:val="single" w:sz="8" w:color="auto"/>
              <w:bottom w:val="single" w:sz="8" w:color="auto"/>
              <w:right w:val="single" w:sz="8" w:color="auto"/>
            </w:tcBorders>
            <w:shd w:val="clear" w:color="auto" w:fill="CCEBFF"/>
          </w:tcPr>
          <w:p>
            <w:pPr>
              <w:spacing w:after="0"/>
              <w:rPr>
                <w:sz w:val="19"/>
                <w:szCs w:val="19"/>
                <w:color w:val="auto"/>
              </w:rPr>
            </w:pPr>
          </w:p>
        </w:tc>
        <w:tc>
          <w:tcPr>
            <w:tcW w:w="4700" w:type="dxa"/>
            <w:vAlign w:val="bottom"/>
            <w:tcBorders>
              <w:bottom w:val="single" w:sz="8" w:color="auto"/>
            </w:tcBorders>
            <w:gridSpan w:val="5"/>
            <w:shd w:val="clear" w:color="auto" w:fill="CCEBFF"/>
          </w:tcPr>
          <w:p>
            <w:pPr>
              <w:spacing w:after="0"/>
              <w:rPr>
                <w:sz w:val="20"/>
                <w:szCs w:val="20"/>
                <w:color w:val="auto"/>
              </w:rPr>
            </w:pPr>
            <w:r>
              <w:rPr>
                <w:rFonts w:ascii="Arial" w:cs="Arial" w:eastAsia="Arial" w:hAnsi="Arial"/>
                <w:sz w:val="16"/>
                <w:szCs w:val="16"/>
                <w:color w:val="auto"/>
              </w:rPr>
              <w:t>locations generated annual sales of approximately $14 million.</w:t>
            </w:r>
          </w:p>
        </w:tc>
        <w:tc>
          <w:tcPr>
            <w:tcW w:w="760" w:type="dxa"/>
            <w:vAlign w:val="bottom"/>
            <w:tcBorders>
              <w:bottom w:val="single" w:sz="8" w:color="auto"/>
              <w:right w:val="single" w:sz="8" w:color="CCEBFF"/>
            </w:tcBorders>
            <w:shd w:val="clear" w:color="auto" w:fill="CCEBFF"/>
          </w:tcPr>
          <w:p>
            <w:pPr>
              <w:spacing w:after="0"/>
              <w:rPr>
                <w:sz w:val="19"/>
                <w:szCs w:val="19"/>
                <w:color w:val="auto"/>
              </w:rPr>
            </w:pPr>
          </w:p>
        </w:tc>
        <w:tc>
          <w:tcPr>
            <w:tcW w:w="860" w:type="dxa"/>
            <w:vAlign w:val="bottom"/>
            <w:tcBorders>
              <w:bottom w:val="single" w:sz="8" w:color="auto"/>
              <w:right w:val="single" w:sz="8" w:color="auto"/>
            </w:tcBorders>
            <w:shd w:val="clear" w:color="auto" w:fill="CCEBFF"/>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600" w:type="dxa"/>
            <w:vAlign w:val="bottom"/>
            <w:tcBorders>
              <w:left w:val="single" w:sz="8" w:color="auto"/>
              <w:right w:val="single" w:sz="8" w:color="auto"/>
            </w:tcBorders>
          </w:tcPr>
          <w:p>
            <w:pPr>
              <w:spacing w:after="0"/>
              <w:rPr>
                <w:sz w:val="16"/>
                <w:szCs w:val="16"/>
                <w:color w:val="auto"/>
              </w:rPr>
            </w:pPr>
          </w:p>
        </w:tc>
        <w:tc>
          <w:tcPr>
            <w:tcW w:w="1420" w:type="dxa"/>
            <w:vAlign w:val="bottom"/>
            <w:tcBorders>
              <w:right w:val="single" w:sz="8" w:color="auto"/>
            </w:tcBorders>
          </w:tcPr>
          <w:p>
            <w:pPr>
              <w:spacing w:after="0"/>
              <w:rPr>
                <w:sz w:val="16"/>
                <w:szCs w:val="16"/>
                <w:color w:val="auto"/>
              </w:rPr>
            </w:pP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$19,136</w:t>
            </w:r>
          </w:p>
        </w:tc>
        <w:tc>
          <w:tcPr>
            <w:tcW w:w="540" w:type="dxa"/>
            <w:vAlign w:val="bottom"/>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2600" w:type="dxa"/>
            <w:vAlign w:val="bottom"/>
            <w:tcBorders>
              <w:left w:val="single" w:sz="8" w:color="auto"/>
              <w:right w:val="single" w:sz="8" w:color="auto"/>
            </w:tcBorders>
          </w:tcPr>
          <w:p>
            <w:pPr>
              <w:spacing w:after="0"/>
              <w:rPr>
                <w:sz w:val="21"/>
                <w:szCs w:val="21"/>
                <w:color w:val="auto"/>
              </w:rPr>
            </w:pP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July 14, 2020</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0"/>
              </w:rPr>
              <w:t>cash paid for 100% asset</w:t>
            </w:r>
          </w:p>
        </w:tc>
        <w:tc>
          <w:tcPr>
            <w:tcW w:w="540" w:type="dxa"/>
            <w:vAlign w:val="bottom"/>
          </w:tcPr>
          <w:p>
            <w:pPr>
              <w:jc w:val="right"/>
              <w:ind w:right="384"/>
              <w:spacing w:after="0"/>
              <w:rPr>
                <w:sz w:val="20"/>
                <w:szCs w:val="20"/>
                <w:color w:val="auto"/>
              </w:rPr>
            </w:pPr>
            <w:r>
              <w:rPr>
                <w:rFonts w:ascii="Arial" w:cs="Arial" w:eastAsia="Arial" w:hAnsi="Arial"/>
                <w:sz w:val="15"/>
                <w:szCs w:val="15"/>
                <w:color w:val="auto"/>
                <w:w w:val="71"/>
              </w:rPr>
              <w:t>$</w:t>
            </w:r>
          </w:p>
        </w:tc>
        <w:tc>
          <w:tcPr>
            <w:tcW w:w="6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13,098</w:t>
            </w:r>
          </w:p>
        </w:tc>
        <w:tc>
          <w:tcPr>
            <w:tcW w:w="380" w:type="dxa"/>
            <w:vAlign w:val="bottom"/>
          </w:tcPr>
          <w:p>
            <w:pPr>
              <w:jc w:val="right"/>
              <w:ind w:right="224"/>
              <w:spacing w:after="0"/>
              <w:rPr>
                <w:sz w:val="20"/>
                <w:szCs w:val="20"/>
                <w:color w:val="auto"/>
              </w:rPr>
            </w:pPr>
            <w:r>
              <w:rPr>
                <w:rFonts w:ascii="Arial" w:cs="Arial" w:eastAsia="Arial" w:hAnsi="Arial"/>
                <w:sz w:val="15"/>
                <w:szCs w:val="15"/>
                <w:color w:val="auto"/>
                <w:w w:val="71"/>
              </w:rPr>
              <w:t>$</w:t>
            </w:r>
          </w:p>
        </w:tc>
        <w:tc>
          <w:tcPr>
            <w:tcW w:w="7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6,038</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5"/>
              </w:rPr>
              <w:t>Industrial</w:t>
            </w:r>
          </w:p>
        </w:tc>
        <w:tc>
          <w:tcPr>
            <w:tcW w:w="0" w:type="dxa"/>
            <w:vAlign w:val="bottom"/>
          </w:tcPr>
          <w:p>
            <w:pPr>
              <w:spacing w:after="0"/>
              <w:rPr>
                <w:sz w:val="1"/>
                <w:szCs w:val="1"/>
                <w:color w:val="auto"/>
              </w:rPr>
            </w:pPr>
          </w:p>
        </w:tc>
      </w:tr>
      <w:tr>
        <w:trPr>
          <w:trHeight w:val="152"/>
        </w:trPr>
        <w:tc>
          <w:tcPr>
            <w:tcW w:w="2600" w:type="dxa"/>
            <w:vAlign w:val="bottom"/>
            <w:tcBorders>
              <w:left w:val="single" w:sz="8" w:color="auto"/>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1760" w:type="dxa"/>
            <w:vAlign w:val="bottom"/>
            <w:tcBorders>
              <w:right w:val="single" w:sz="8" w:color="auto"/>
            </w:tcBorders>
          </w:tcPr>
          <w:p>
            <w:pPr>
              <w:jc w:val="center"/>
              <w:spacing w:after="0" w:line="152" w:lineRule="exact"/>
              <w:rPr>
                <w:sz w:val="20"/>
                <w:szCs w:val="20"/>
                <w:color w:val="auto"/>
              </w:rPr>
            </w:pPr>
            <w:r>
              <w:rPr>
                <w:rFonts w:ascii="Arial" w:cs="Arial" w:eastAsia="Arial" w:hAnsi="Arial"/>
                <w:sz w:val="16"/>
                <w:szCs w:val="16"/>
                <w:color w:val="auto"/>
                <w:w w:val="87"/>
              </w:rPr>
              <w:t>purchase and estimated</w:t>
            </w:r>
          </w:p>
        </w:tc>
        <w:tc>
          <w:tcPr>
            <w:tcW w:w="540" w:type="dxa"/>
            <w:vAlign w:val="bottom"/>
          </w:tcPr>
          <w:p>
            <w:pPr>
              <w:spacing w:after="0"/>
              <w:rPr>
                <w:sz w:val="13"/>
                <w:szCs w:val="13"/>
                <w:color w:val="auto"/>
              </w:rPr>
            </w:pPr>
          </w:p>
        </w:tc>
        <w:tc>
          <w:tcPr>
            <w:tcW w:w="600" w:type="dxa"/>
            <w:vAlign w:val="bottom"/>
            <w:tcBorders>
              <w:right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6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7"/>
              </w:rPr>
              <w:t>T&amp;R Lumber Company ("T&amp;R")</w:t>
            </w:r>
          </w:p>
        </w:tc>
        <w:tc>
          <w:tcPr>
            <w:tcW w:w="142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contingent consideration</w:t>
            </w:r>
          </w:p>
        </w:tc>
        <w:tc>
          <w:tcPr>
            <w:tcW w:w="540" w:type="dxa"/>
            <w:vAlign w:val="bottom"/>
            <w:tcBorders>
              <w:bottom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600" w:type="dxa"/>
            <w:vAlign w:val="bottom"/>
            <w:tcBorders>
              <w:left w:val="single" w:sz="8" w:color="auto"/>
              <w:right w:val="single" w:sz="8" w:color="auto"/>
            </w:tcBorders>
            <w:vMerge w:val="continue"/>
          </w:tcPr>
          <w:p>
            <w:pPr>
              <w:spacing w:after="0"/>
              <w:rPr>
                <w:sz w:val="16"/>
                <w:szCs w:val="16"/>
                <w:color w:val="auto"/>
              </w:rPr>
            </w:pPr>
          </w:p>
        </w:tc>
        <w:tc>
          <w:tcPr>
            <w:tcW w:w="6320" w:type="dxa"/>
            <w:vAlign w:val="bottom"/>
            <w:tcBorders>
              <w:right w:val="single" w:sz="8" w:color="auto"/>
            </w:tcBorders>
            <w:gridSpan w:val="7"/>
          </w:tcPr>
          <w:p>
            <w:pPr>
              <w:spacing w:after="0"/>
              <w:rPr>
                <w:sz w:val="20"/>
                <w:szCs w:val="20"/>
                <w:color w:val="auto"/>
              </w:rPr>
            </w:pPr>
            <w:r>
              <w:rPr>
                <w:rFonts w:ascii="Arial" w:cs="Arial" w:eastAsia="Arial" w:hAnsi="Arial"/>
                <w:sz w:val="16"/>
                <w:szCs w:val="16"/>
                <w:color w:val="auto"/>
                <w:w w:val="97"/>
              </w:rPr>
              <w:t>A manufacturer and distributor of a range of products used primarily by nurseries, including</w:t>
            </w:r>
          </w:p>
        </w:tc>
        <w:tc>
          <w:tcPr>
            <w:tcW w:w="0" w:type="dxa"/>
            <w:vAlign w:val="bottom"/>
          </w:tcPr>
          <w:p>
            <w:pPr>
              <w:spacing w:after="0"/>
              <w:rPr>
                <w:sz w:val="1"/>
                <w:szCs w:val="1"/>
                <w:color w:val="auto"/>
              </w:rPr>
            </w:pPr>
          </w:p>
        </w:tc>
      </w:tr>
      <w:tr>
        <w:trPr>
          <w:trHeight w:val="203"/>
        </w:trPr>
        <w:tc>
          <w:tcPr>
            <w:tcW w:w="2600" w:type="dxa"/>
            <w:vAlign w:val="bottom"/>
            <w:tcBorders>
              <w:left w:val="single" w:sz="8" w:color="auto"/>
              <w:right w:val="single" w:sz="8" w:color="auto"/>
            </w:tcBorders>
          </w:tcPr>
          <w:p>
            <w:pPr>
              <w:spacing w:after="0"/>
              <w:rPr>
                <w:sz w:val="17"/>
                <w:szCs w:val="17"/>
                <w:color w:val="auto"/>
              </w:rPr>
            </w:pPr>
          </w:p>
        </w:tc>
        <w:tc>
          <w:tcPr>
            <w:tcW w:w="6320" w:type="dxa"/>
            <w:vAlign w:val="bottom"/>
            <w:tcBorders>
              <w:right w:val="single" w:sz="8" w:color="auto"/>
            </w:tcBorders>
            <w:gridSpan w:val="7"/>
          </w:tcPr>
          <w:p>
            <w:pPr>
              <w:spacing w:after="0"/>
              <w:rPr>
                <w:sz w:val="20"/>
                <w:szCs w:val="20"/>
                <w:color w:val="auto"/>
              </w:rPr>
            </w:pPr>
            <w:r>
              <w:rPr>
                <w:rFonts w:ascii="Arial" w:cs="Arial" w:eastAsia="Arial" w:hAnsi="Arial"/>
                <w:sz w:val="16"/>
                <w:szCs w:val="16"/>
                <w:color w:val="auto"/>
                <w:w w:val="93"/>
              </w:rPr>
              <w:t>plastic growing containers, pots and trays; wooden stakes; trellises; tree boxes; shipping racks;</w:t>
            </w:r>
          </w:p>
        </w:tc>
        <w:tc>
          <w:tcPr>
            <w:tcW w:w="0" w:type="dxa"/>
            <w:vAlign w:val="bottom"/>
          </w:tcPr>
          <w:p>
            <w:pPr>
              <w:spacing w:after="0"/>
              <w:rPr>
                <w:sz w:val="1"/>
                <w:szCs w:val="1"/>
                <w:color w:val="auto"/>
              </w:rPr>
            </w:pPr>
          </w:p>
        </w:tc>
      </w:tr>
      <w:tr>
        <w:trPr>
          <w:trHeight w:val="203"/>
        </w:trPr>
        <w:tc>
          <w:tcPr>
            <w:tcW w:w="2600" w:type="dxa"/>
            <w:vAlign w:val="bottom"/>
            <w:tcBorders>
              <w:left w:val="single" w:sz="8" w:color="auto"/>
              <w:right w:val="single" w:sz="8" w:color="auto"/>
            </w:tcBorders>
          </w:tcPr>
          <w:p>
            <w:pPr>
              <w:spacing w:after="0"/>
              <w:rPr>
                <w:sz w:val="17"/>
                <w:szCs w:val="17"/>
                <w:color w:val="auto"/>
              </w:rPr>
            </w:pPr>
          </w:p>
        </w:tc>
        <w:tc>
          <w:tcPr>
            <w:tcW w:w="6320" w:type="dxa"/>
            <w:vAlign w:val="bottom"/>
            <w:tcBorders>
              <w:right w:val="single" w:sz="8" w:color="auto"/>
            </w:tcBorders>
            <w:gridSpan w:val="7"/>
          </w:tcPr>
          <w:p>
            <w:pPr>
              <w:spacing w:after="0"/>
              <w:rPr>
                <w:sz w:val="20"/>
                <w:szCs w:val="20"/>
                <w:color w:val="auto"/>
              </w:rPr>
            </w:pPr>
            <w:r>
              <w:rPr>
                <w:rFonts w:ascii="Arial" w:cs="Arial" w:eastAsia="Arial" w:hAnsi="Arial"/>
                <w:sz w:val="16"/>
                <w:szCs w:val="16"/>
                <w:color w:val="auto"/>
                <w:w w:val="94"/>
              </w:rPr>
              <w:t>and other nursery supplies based in Rancho Cucamonga, California. T&amp;R had annual sales of</w:t>
            </w:r>
          </w:p>
        </w:tc>
        <w:tc>
          <w:tcPr>
            <w:tcW w:w="0" w:type="dxa"/>
            <w:vAlign w:val="bottom"/>
          </w:tcPr>
          <w:p>
            <w:pPr>
              <w:spacing w:after="0"/>
              <w:rPr>
                <w:sz w:val="1"/>
                <w:szCs w:val="1"/>
                <w:color w:val="auto"/>
              </w:rPr>
            </w:pPr>
          </w:p>
        </w:tc>
      </w:tr>
      <w:tr>
        <w:trPr>
          <w:trHeight w:val="203"/>
        </w:trPr>
        <w:tc>
          <w:tcPr>
            <w:tcW w:w="2600" w:type="dxa"/>
            <w:vAlign w:val="bottom"/>
            <w:tcBorders>
              <w:left w:val="single" w:sz="8" w:color="auto"/>
              <w:right w:val="single" w:sz="8" w:color="auto"/>
            </w:tcBorders>
          </w:tcPr>
          <w:p>
            <w:pPr>
              <w:spacing w:after="0"/>
              <w:rPr>
                <w:sz w:val="17"/>
                <w:szCs w:val="17"/>
                <w:color w:val="auto"/>
              </w:rPr>
            </w:pPr>
          </w:p>
        </w:tc>
        <w:tc>
          <w:tcPr>
            <w:tcW w:w="6320" w:type="dxa"/>
            <w:vAlign w:val="bottom"/>
            <w:tcBorders>
              <w:right w:val="single" w:sz="8" w:color="auto"/>
            </w:tcBorders>
            <w:gridSpan w:val="7"/>
          </w:tcPr>
          <w:p>
            <w:pPr>
              <w:spacing w:after="0"/>
              <w:rPr>
                <w:sz w:val="20"/>
                <w:szCs w:val="20"/>
                <w:color w:val="auto"/>
              </w:rPr>
            </w:pPr>
            <w:r>
              <w:rPr>
                <w:rFonts w:ascii="Arial" w:cs="Arial" w:eastAsia="Arial" w:hAnsi="Arial"/>
                <w:sz w:val="16"/>
                <w:szCs w:val="16"/>
                <w:color w:val="auto"/>
                <w:w w:val="99"/>
              </w:rPr>
              <w:t>approximately $31 million. The acquisition of T&amp;R will allow us to leverage their expertise</w:t>
            </w:r>
          </w:p>
        </w:tc>
        <w:tc>
          <w:tcPr>
            <w:tcW w:w="0" w:type="dxa"/>
            <w:vAlign w:val="bottom"/>
          </w:tcPr>
          <w:p>
            <w:pPr>
              <w:spacing w:after="0"/>
              <w:rPr>
                <w:sz w:val="1"/>
                <w:szCs w:val="1"/>
                <w:color w:val="auto"/>
              </w:rPr>
            </w:pPr>
          </w:p>
        </w:tc>
      </w:tr>
      <w:tr>
        <w:trPr>
          <w:trHeight w:val="203"/>
        </w:trPr>
        <w:tc>
          <w:tcPr>
            <w:tcW w:w="2600" w:type="dxa"/>
            <w:vAlign w:val="bottom"/>
            <w:tcBorders>
              <w:left w:val="single" w:sz="8" w:color="auto"/>
              <w:right w:val="single" w:sz="8" w:color="auto"/>
            </w:tcBorders>
          </w:tcPr>
          <w:p>
            <w:pPr>
              <w:spacing w:after="0"/>
              <w:rPr>
                <w:sz w:val="17"/>
                <w:szCs w:val="17"/>
                <w:color w:val="auto"/>
              </w:rPr>
            </w:pPr>
          </w:p>
        </w:tc>
        <w:tc>
          <w:tcPr>
            <w:tcW w:w="6320" w:type="dxa"/>
            <w:vAlign w:val="bottom"/>
            <w:tcBorders>
              <w:right w:val="single" w:sz="8" w:color="auto"/>
            </w:tcBorders>
            <w:gridSpan w:val="7"/>
          </w:tcPr>
          <w:p>
            <w:pPr>
              <w:spacing w:after="0"/>
              <w:rPr>
                <w:sz w:val="20"/>
                <w:szCs w:val="20"/>
                <w:color w:val="auto"/>
              </w:rPr>
            </w:pPr>
            <w:r>
              <w:rPr>
                <w:rFonts w:ascii="Arial" w:cs="Arial" w:eastAsia="Arial" w:hAnsi="Arial"/>
                <w:sz w:val="16"/>
                <w:szCs w:val="16"/>
                <w:color w:val="auto"/>
              </w:rPr>
              <w:t>using our national manufacturing capacity to grow our agricultural product offerings and</w:t>
            </w:r>
          </w:p>
        </w:tc>
        <w:tc>
          <w:tcPr>
            <w:tcW w:w="0" w:type="dxa"/>
            <w:vAlign w:val="bottom"/>
          </w:tcPr>
          <w:p>
            <w:pPr>
              <w:spacing w:after="0"/>
              <w:rPr>
                <w:sz w:val="1"/>
                <w:szCs w:val="1"/>
                <w:color w:val="auto"/>
              </w:rPr>
            </w:pPr>
          </w:p>
        </w:tc>
      </w:tr>
      <w:tr>
        <w:trPr>
          <w:trHeight w:val="219"/>
        </w:trPr>
        <w:tc>
          <w:tcPr>
            <w:tcW w:w="2600" w:type="dxa"/>
            <w:vAlign w:val="bottom"/>
            <w:tcBorders>
              <w:left w:val="single" w:sz="8" w:color="auto"/>
              <w:bottom w:val="single" w:sz="8" w:color="auto"/>
              <w:right w:val="single" w:sz="8" w:color="auto"/>
            </w:tcBorders>
          </w:tcPr>
          <w:p>
            <w:pPr>
              <w:spacing w:after="0"/>
              <w:rPr>
                <w:sz w:val="19"/>
                <w:szCs w:val="19"/>
                <w:color w:val="auto"/>
              </w:rPr>
            </w:pPr>
          </w:p>
        </w:tc>
        <w:tc>
          <w:tcPr>
            <w:tcW w:w="372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rPr>
              <w:t>customer base across the country.</w:t>
            </w:r>
          </w:p>
        </w:tc>
        <w:tc>
          <w:tcPr>
            <w:tcW w:w="6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8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600" w:type="dxa"/>
            <w:vAlign w:val="bottom"/>
            <w:tcBorders>
              <w:left w:val="single" w:sz="8" w:color="auto"/>
              <w:right w:val="single" w:sz="8" w:color="auto"/>
            </w:tcBorders>
            <w:shd w:val="clear" w:color="auto" w:fill="CCEBFF"/>
          </w:tcPr>
          <w:p>
            <w:pPr>
              <w:spacing w:after="0"/>
              <w:rPr>
                <w:sz w:val="16"/>
                <w:szCs w:val="16"/>
                <w:color w:val="auto"/>
              </w:rPr>
            </w:pPr>
          </w:p>
        </w:tc>
        <w:tc>
          <w:tcPr>
            <w:tcW w:w="1420" w:type="dxa"/>
            <w:vAlign w:val="bottom"/>
            <w:tcBorders>
              <w:right w:val="single" w:sz="8" w:color="auto"/>
            </w:tcBorders>
            <w:shd w:val="clear" w:color="auto" w:fill="CCEBFF"/>
          </w:tcPr>
          <w:p>
            <w:pPr>
              <w:spacing w:after="0"/>
              <w:rPr>
                <w:sz w:val="16"/>
                <w:szCs w:val="16"/>
                <w:color w:val="auto"/>
              </w:rPr>
            </w:pPr>
          </w:p>
        </w:tc>
        <w:tc>
          <w:tcPr>
            <w:tcW w:w="176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93"/>
              </w:rPr>
              <w:t>$21,787</w:t>
            </w:r>
          </w:p>
        </w:tc>
        <w:tc>
          <w:tcPr>
            <w:tcW w:w="540" w:type="dxa"/>
            <w:vAlign w:val="bottom"/>
            <w:shd w:val="clear" w:color="auto" w:fill="CCEBFF"/>
          </w:tcPr>
          <w:p>
            <w:pPr>
              <w:spacing w:after="0"/>
              <w:rPr>
                <w:sz w:val="16"/>
                <w:szCs w:val="16"/>
                <w:color w:val="auto"/>
              </w:rPr>
            </w:pPr>
          </w:p>
        </w:tc>
        <w:tc>
          <w:tcPr>
            <w:tcW w:w="600" w:type="dxa"/>
            <w:vAlign w:val="bottom"/>
            <w:tcBorders>
              <w:right w:val="single" w:sz="8" w:color="auto"/>
            </w:tcBorders>
            <w:shd w:val="clear" w:color="auto" w:fill="CCEBFF"/>
          </w:tcPr>
          <w:p>
            <w:pPr>
              <w:spacing w:after="0"/>
              <w:rPr>
                <w:sz w:val="16"/>
                <w:szCs w:val="16"/>
                <w:color w:val="auto"/>
              </w:rPr>
            </w:pPr>
          </w:p>
        </w:tc>
        <w:tc>
          <w:tcPr>
            <w:tcW w:w="380" w:type="dxa"/>
            <w:vAlign w:val="bottom"/>
            <w:shd w:val="clear" w:color="auto" w:fill="CCEBFF"/>
          </w:tcPr>
          <w:p>
            <w:pPr>
              <w:spacing w:after="0"/>
              <w:rPr>
                <w:sz w:val="16"/>
                <w:szCs w:val="16"/>
                <w:color w:val="auto"/>
              </w:rPr>
            </w:pPr>
          </w:p>
        </w:tc>
        <w:tc>
          <w:tcPr>
            <w:tcW w:w="760" w:type="dxa"/>
            <w:vAlign w:val="bottom"/>
            <w:tcBorders>
              <w:right w:val="single" w:sz="8" w:color="auto"/>
            </w:tcBorders>
            <w:shd w:val="clear" w:color="auto" w:fill="CCEBFF"/>
          </w:tcPr>
          <w:p>
            <w:pPr>
              <w:spacing w:after="0"/>
              <w:rPr>
                <w:sz w:val="16"/>
                <w:szCs w:val="16"/>
                <w:color w:val="auto"/>
              </w:rPr>
            </w:pPr>
          </w:p>
        </w:tc>
        <w:tc>
          <w:tcPr>
            <w:tcW w:w="860" w:type="dxa"/>
            <w:vAlign w:val="bottom"/>
            <w:tcBorders>
              <w:right w:val="single" w:sz="8" w:color="auto"/>
            </w:tcBorders>
            <w:shd w:val="clear" w:color="auto" w:fill="CCEBFF"/>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2600" w:type="dxa"/>
            <w:vAlign w:val="bottom"/>
            <w:tcBorders>
              <w:left w:val="single" w:sz="8" w:color="auto"/>
              <w:right w:val="single" w:sz="8" w:color="auto"/>
            </w:tcBorders>
            <w:shd w:val="clear" w:color="auto" w:fill="CCEBFF"/>
          </w:tcPr>
          <w:p>
            <w:pPr>
              <w:spacing w:after="0"/>
              <w:rPr>
                <w:sz w:val="21"/>
                <w:szCs w:val="21"/>
                <w:color w:val="auto"/>
              </w:rPr>
            </w:pPr>
          </w:p>
        </w:tc>
        <w:tc>
          <w:tcPr>
            <w:tcW w:w="142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93"/>
              </w:rPr>
              <w:t>March 13, 2020</w:t>
            </w:r>
          </w:p>
        </w:tc>
        <w:tc>
          <w:tcPr>
            <w:tcW w:w="176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90"/>
              </w:rPr>
              <w:t>cash paid for 100% asset</w:t>
            </w:r>
          </w:p>
        </w:tc>
        <w:tc>
          <w:tcPr>
            <w:tcW w:w="540" w:type="dxa"/>
            <w:vAlign w:val="bottom"/>
            <w:shd w:val="clear" w:color="auto" w:fill="CCEBFF"/>
          </w:tcPr>
          <w:p>
            <w:pPr>
              <w:jc w:val="right"/>
              <w:ind w:right="384"/>
              <w:spacing w:after="0"/>
              <w:rPr>
                <w:sz w:val="20"/>
                <w:szCs w:val="20"/>
                <w:color w:val="auto"/>
              </w:rPr>
            </w:pPr>
            <w:r>
              <w:rPr>
                <w:rFonts w:ascii="Arial" w:cs="Arial" w:eastAsia="Arial" w:hAnsi="Arial"/>
                <w:sz w:val="15"/>
                <w:szCs w:val="15"/>
                <w:color w:val="auto"/>
                <w:w w:val="71"/>
              </w:rPr>
              <w:t>$</w:t>
            </w:r>
          </w:p>
        </w:tc>
        <w:tc>
          <w:tcPr>
            <w:tcW w:w="600" w:type="dxa"/>
            <w:vAlign w:val="bottom"/>
            <w:tcBorders>
              <w:right w:val="single" w:sz="8" w:color="auto"/>
            </w:tcBorders>
            <w:shd w:val="clear" w:color="auto" w:fill="CCEBFF"/>
          </w:tcPr>
          <w:p>
            <w:pPr>
              <w:jc w:val="right"/>
              <w:spacing w:after="0"/>
              <w:rPr>
                <w:sz w:val="20"/>
                <w:szCs w:val="20"/>
                <w:color w:val="auto"/>
              </w:rPr>
            </w:pPr>
            <w:r>
              <w:rPr>
                <w:rFonts w:ascii="Arial" w:cs="Arial" w:eastAsia="Arial" w:hAnsi="Arial"/>
                <w:sz w:val="16"/>
                <w:szCs w:val="16"/>
                <w:color w:val="auto"/>
              </w:rPr>
              <w:t>19,098</w:t>
            </w:r>
          </w:p>
        </w:tc>
        <w:tc>
          <w:tcPr>
            <w:tcW w:w="380" w:type="dxa"/>
            <w:vAlign w:val="bottom"/>
            <w:shd w:val="clear" w:color="auto" w:fill="CCEBFF"/>
          </w:tcPr>
          <w:p>
            <w:pPr>
              <w:jc w:val="right"/>
              <w:ind w:right="224"/>
              <w:spacing w:after="0"/>
              <w:rPr>
                <w:sz w:val="20"/>
                <w:szCs w:val="20"/>
                <w:color w:val="auto"/>
              </w:rPr>
            </w:pPr>
            <w:r>
              <w:rPr>
                <w:rFonts w:ascii="Arial" w:cs="Arial" w:eastAsia="Arial" w:hAnsi="Arial"/>
                <w:sz w:val="15"/>
                <w:szCs w:val="15"/>
                <w:color w:val="auto"/>
                <w:w w:val="71"/>
              </w:rPr>
              <w:t>$</w:t>
            </w:r>
          </w:p>
        </w:tc>
        <w:tc>
          <w:tcPr>
            <w:tcW w:w="760" w:type="dxa"/>
            <w:vAlign w:val="bottom"/>
            <w:tcBorders>
              <w:right w:val="single" w:sz="8" w:color="auto"/>
            </w:tcBorders>
            <w:shd w:val="clear" w:color="auto" w:fill="CCEBFF"/>
          </w:tcPr>
          <w:p>
            <w:pPr>
              <w:jc w:val="right"/>
              <w:spacing w:after="0"/>
              <w:rPr>
                <w:sz w:val="20"/>
                <w:szCs w:val="20"/>
                <w:color w:val="auto"/>
              </w:rPr>
            </w:pPr>
            <w:r>
              <w:rPr>
                <w:rFonts w:ascii="Arial" w:cs="Arial" w:eastAsia="Arial" w:hAnsi="Arial"/>
                <w:sz w:val="16"/>
                <w:szCs w:val="16"/>
                <w:color w:val="auto"/>
              </w:rPr>
              <w:t>2,689</w:t>
            </w:r>
          </w:p>
        </w:tc>
        <w:tc>
          <w:tcPr>
            <w:tcW w:w="86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93"/>
              </w:rPr>
              <w:t>Construction</w:t>
            </w:r>
          </w:p>
        </w:tc>
        <w:tc>
          <w:tcPr>
            <w:tcW w:w="0" w:type="dxa"/>
            <w:vAlign w:val="bottom"/>
          </w:tcPr>
          <w:p>
            <w:pPr>
              <w:spacing w:after="0"/>
              <w:rPr>
                <w:sz w:val="1"/>
                <w:szCs w:val="1"/>
                <w:color w:val="auto"/>
              </w:rPr>
            </w:pPr>
          </w:p>
        </w:tc>
      </w:tr>
      <w:tr>
        <w:trPr>
          <w:trHeight w:val="152"/>
        </w:trPr>
        <w:tc>
          <w:tcPr>
            <w:tcW w:w="2600" w:type="dxa"/>
            <w:vAlign w:val="bottom"/>
            <w:tcBorders>
              <w:left w:val="single" w:sz="8" w:color="auto"/>
              <w:right w:val="single" w:sz="8" w:color="auto"/>
            </w:tcBorders>
            <w:shd w:val="clear" w:color="auto" w:fill="CCEBFF"/>
          </w:tcPr>
          <w:p>
            <w:pPr>
              <w:spacing w:after="0"/>
              <w:rPr>
                <w:sz w:val="13"/>
                <w:szCs w:val="13"/>
                <w:color w:val="auto"/>
              </w:rPr>
            </w:pPr>
          </w:p>
        </w:tc>
        <w:tc>
          <w:tcPr>
            <w:tcW w:w="1420" w:type="dxa"/>
            <w:vAlign w:val="bottom"/>
            <w:tcBorders>
              <w:right w:val="single" w:sz="8" w:color="auto"/>
            </w:tcBorders>
            <w:shd w:val="clear" w:color="auto" w:fill="CCEBFF"/>
          </w:tcPr>
          <w:p>
            <w:pPr>
              <w:spacing w:after="0"/>
              <w:rPr>
                <w:sz w:val="13"/>
                <w:szCs w:val="13"/>
                <w:color w:val="auto"/>
              </w:rPr>
            </w:pPr>
          </w:p>
        </w:tc>
        <w:tc>
          <w:tcPr>
            <w:tcW w:w="1760" w:type="dxa"/>
            <w:vAlign w:val="bottom"/>
            <w:tcBorders>
              <w:right w:val="single" w:sz="8" w:color="auto"/>
            </w:tcBorders>
            <w:shd w:val="clear" w:color="auto" w:fill="CCEBFF"/>
          </w:tcPr>
          <w:p>
            <w:pPr>
              <w:jc w:val="center"/>
              <w:spacing w:after="0" w:line="152" w:lineRule="exact"/>
              <w:rPr>
                <w:sz w:val="20"/>
                <w:szCs w:val="20"/>
                <w:color w:val="auto"/>
              </w:rPr>
            </w:pPr>
            <w:r>
              <w:rPr>
                <w:rFonts w:ascii="Arial" w:cs="Arial" w:eastAsia="Arial" w:hAnsi="Arial"/>
                <w:sz w:val="16"/>
                <w:szCs w:val="16"/>
                <w:color w:val="auto"/>
                <w:w w:val="87"/>
              </w:rPr>
              <w:t>purchase and estimated</w:t>
            </w:r>
          </w:p>
        </w:tc>
        <w:tc>
          <w:tcPr>
            <w:tcW w:w="540" w:type="dxa"/>
            <w:vAlign w:val="bottom"/>
            <w:shd w:val="clear" w:color="auto" w:fill="CCEBFF"/>
          </w:tcPr>
          <w:p>
            <w:pPr>
              <w:spacing w:after="0"/>
              <w:rPr>
                <w:sz w:val="13"/>
                <w:szCs w:val="13"/>
                <w:color w:val="auto"/>
              </w:rPr>
            </w:pPr>
          </w:p>
        </w:tc>
        <w:tc>
          <w:tcPr>
            <w:tcW w:w="600" w:type="dxa"/>
            <w:vAlign w:val="bottom"/>
            <w:tcBorders>
              <w:right w:val="single" w:sz="8" w:color="auto"/>
            </w:tcBorders>
            <w:shd w:val="clear" w:color="auto" w:fill="CCEBFF"/>
          </w:tcPr>
          <w:p>
            <w:pPr>
              <w:spacing w:after="0"/>
              <w:rPr>
                <w:sz w:val="13"/>
                <w:szCs w:val="13"/>
                <w:color w:val="auto"/>
              </w:rPr>
            </w:pPr>
          </w:p>
        </w:tc>
        <w:tc>
          <w:tcPr>
            <w:tcW w:w="380" w:type="dxa"/>
            <w:vAlign w:val="bottom"/>
            <w:shd w:val="clear" w:color="auto" w:fill="CCEBFF"/>
          </w:tcPr>
          <w:p>
            <w:pPr>
              <w:spacing w:after="0"/>
              <w:rPr>
                <w:sz w:val="13"/>
                <w:szCs w:val="13"/>
                <w:color w:val="auto"/>
              </w:rPr>
            </w:pPr>
          </w:p>
        </w:tc>
        <w:tc>
          <w:tcPr>
            <w:tcW w:w="760" w:type="dxa"/>
            <w:vAlign w:val="bottom"/>
            <w:tcBorders>
              <w:right w:val="single" w:sz="8" w:color="auto"/>
            </w:tcBorders>
            <w:shd w:val="clear" w:color="auto" w:fill="CCEBFF"/>
          </w:tcPr>
          <w:p>
            <w:pPr>
              <w:spacing w:after="0"/>
              <w:rPr>
                <w:sz w:val="13"/>
                <w:szCs w:val="13"/>
                <w:color w:val="auto"/>
              </w:rPr>
            </w:pPr>
          </w:p>
        </w:tc>
        <w:tc>
          <w:tcPr>
            <w:tcW w:w="860" w:type="dxa"/>
            <w:vAlign w:val="bottom"/>
            <w:tcBorders>
              <w:right w:val="single" w:sz="8" w:color="auto"/>
            </w:tcBorders>
            <w:shd w:val="clear" w:color="auto" w:fill="CCEBFF"/>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600" w:type="dxa"/>
            <w:vAlign w:val="bottom"/>
            <w:tcBorders>
              <w:left w:val="single" w:sz="8" w:color="auto"/>
              <w:bottom w:val="single" w:sz="8" w:color="CCEBFF"/>
              <w:right w:val="single" w:sz="8" w:color="auto"/>
            </w:tcBorders>
            <w:vMerge w:val="restart"/>
            <w:shd w:val="clear" w:color="auto" w:fill="CCEBFF"/>
          </w:tcPr>
          <w:p>
            <w:pPr>
              <w:jc w:val="center"/>
              <w:spacing w:after="0"/>
              <w:rPr>
                <w:sz w:val="20"/>
                <w:szCs w:val="20"/>
                <w:color w:val="auto"/>
              </w:rPr>
            </w:pPr>
            <w:r>
              <w:rPr>
                <w:rFonts w:ascii="Arial" w:cs="Arial" w:eastAsia="Arial" w:hAnsi="Arial"/>
                <w:sz w:val="16"/>
                <w:szCs w:val="16"/>
                <w:color w:val="auto"/>
                <w:w w:val="91"/>
              </w:rPr>
              <w:t>Quest Design &amp; Fabrication and Quest</w:t>
            </w:r>
          </w:p>
        </w:tc>
        <w:tc>
          <w:tcPr>
            <w:tcW w:w="1420" w:type="dxa"/>
            <w:vAlign w:val="bottom"/>
            <w:tcBorders>
              <w:bottom w:val="single" w:sz="8" w:color="auto"/>
              <w:right w:val="single" w:sz="8" w:color="auto"/>
            </w:tcBorders>
            <w:shd w:val="clear" w:color="auto" w:fill="CCEBFF"/>
          </w:tcPr>
          <w:p>
            <w:pPr>
              <w:spacing w:after="0"/>
              <w:rPr>
                <w:sz w:val="18"/>
                <w:szCs w:val="18"/>
                <w:color w:val="auto"/>
              </w:rPr>
            </w:pPr>
          </w:p>
        </w:tc>
        <w:tc>
          <w:tcPr>
            <w:tcW w:w="1760" w:type="dxa"/>
            <w:vAlign w:val="bottom"/>
            <w:tcBorders>
              <w:bottom w:val="single" w:sz="8" w:color="auto"/>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91"/>
              </w:rPr>
              <w:t>contingent consideration</w:t>
            </w:r>
          </w:p>
        </w:tc>
        <w:tc>
          <w:tcPr>
            <w:tcW w:w="540" w:type="dxa"/>
            <w:vAlign w:val="bottom"/>
            <w:tcBorders>
              <w:bottom w:val="single" w:sz="8" w:color="auto"/>
            </w:tcBorders>
            <w:shd w:val="clear" w:color="auto" w:fill="CCEBFF"/>
          </w:tcPr>
          <w:p>
            <w:pPr>
              <w:spacing w:after="0"/>
              <w:rPr>
                <w:sz w:val="18"/>
                <w:szCs w:val="18"/>
                <w:color w:val="auto"/>
              </w:rPr>
            </w:pPr>
          </w:p>
        </w:tc>
        <w:tc>
          <w:tcPr>
            <w:tcW w:w="600" w:type="dxa"/>
            <w:vAlign w:val="bottom"/>
            <w:tcBorders>
              <w:bottom w:val="single" w:sz="8" w:color="auto"/>
              <w:right w:val="single" w:sz="8" w:color="auto"/>
            </w:tcBorders>
            <w:shd w:val="clear" w:color="auto" w:fill="CCEBFF"/>
          </w:tcPr>
          <w:p>
            <w:pPr>
              <w:spacing w:after="0"/>
              <w:rPr>
                <w:sz w:val="18"/>
                <w:szCs w:val="18"/>
                <w:color w:val="auto"/>
              </w:rPr>
            </w:pPr>
          </w:p>
        </w:tc>
        <w:tc>
          <w:tcPr>
            <w:tcW w:w="380" w:type="dxa"/>
            <w:vAlign w:val="bottom"/>
            <w:tcBorders>
              <w:bottom w:val="single" w:sz="8" w:color="auto"/>
            </w:tcBorders>
            <w:shd w:val="clear" w:color="auto" w:fill="CCEBFF"/>
          </w:tcPr>
          <w:p>
            <w:pPr>
              <w:spacing w:after="0"/>
              <w:rPr>
                <w:sz w:val="18"/>
                <w:szCs w:val="18"/>
                <w:color w:val="auto"/>
              </w:rPr>
            </w:pPr>
          </w:p>
        </w:tc>
        <w:tc>
          <w:tcPr>
            <w:tcW w:w="760" w:type="dxa"/>
            <w:vAlign w:val="bottom"/>
            <w:tcBorders>
              <w:bottom w:val="single" w:sz="8" w:color="auto"/>
              <w:right w:val="single" w:sz="8" w:color="auto"/>
            </w:tcBorders>
            <w:shd w:val="clear" w:color="auto" w:fill="CCEBFF"/>
          </w:tcPr>
          <w:p>
            <w:pPr>
              <w:spacing w:after="0"/>
              <w:rPr>
                <w:sz w:val="18"/>
                <w:szCs w:val="18"/>
                <w:color w:val="auto"/>
              </w:rPr>
            </w:pPr>
          </w:p>
        </w:tc>
        <w:tc>
          <w:tcPr>
            <w:tcW w:w="860" w:type="dxa"/>
            <w:vAlign w:val="bottom"/>
            <w:tcBorders>
              <w:bottom w:val="single" w:sz="8" w:color="auto"/>
              <w:right w:val="single" w:sz="8" w:color="auto"/>
            </w:tcBorders>
            <w:shd w:val="clear" w:color="auto" w:fill="CCEB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600" w:type="dxa"/>
            <w:vAlign w:val="bottom"/>
            <w:tcBorders>
              <w:left w:val="single" w:sz="8" w:color="auto"/>
              <w:right w:val="single" w:sz="8" w:color="auto"/>
            </w:tcBorders>
            <w:vMerge w:val="continue"/>
            <w:shd w:val="clear" w:color="auto" w:fill="CCEBFF"/>
          </w:tcPr>
          <w:p>
            <w:pPr>
              <w:spacing w:after="0"/>
              <w:rPr>
                <w:sz w:val="15"/>
                <w:szCs w:val="15"/>
                <w:color w:val="auto"/>
              </w:rPr>
            </w:pPr>
          </w:p>
        </w:tc>
        <w:tc>
          <w:tcPr>
            <w:tcW w:w="6320" w:type="dxa"/>
            <w:vAlign w:val="bottom"/>
            <w:tcBorders>
              <w:right w:val="single" w:sz="8" w:color="auto"/>
            </w:tcBorders>
            <w:gridSpan w:val="7"/>
            <w:shd w:val="clear" w:color="auto" w:fill="CCEBFF"/>
          </w:tcPr>
          <w:p>
            <w:pPr>
              <w:spacing w:after="0" w:line="176" w:lineRule="exact"/>
              <w:rPr>
                <w:sz w:val="20"/>
                <w:szCs w:val="20"/>
                <w:color w:val="auto"/>
              </w:rPr>
            </w:pPr>
            <w:r>
              <w:rPr>
                <w:rFonts w:ascii="Arial" w:cs="Arial" w:eastAsia="Arial" w:hAnsi="Arial"/>
                <w:sz w:val="16"/>
                <w:szCs w:val="16"/>
                <w:color w:val="auto"/>
              </w:rPr>
              <w:t>A designer, fabricator, and installer of premium millwork and case goods for a variety of</w:t>
            </w:r>
          </w:p>
        </w:tc>
        <w:tc>
          <w:tcPr>
            <w:tcW w:w="0" w:type="dxa"/>
            <w:vAlign w:val="bottom"/>
          </w:tcPr>
          <w:p>
            <w:pPr>
              <w:spacing w:after="0"/>
              <w:rPr>
                <w:sz w:val="1"/>
                <w:szCs w:val="1"/>
                <w:color w:val="auto"/>
              </w:rPr>
            </w:pPr>
          </w:p>
        </w:tc>
      </w:tr>
      <w:tr>
        <w:trPr>
          <w:trHeight w:val="216"/>
        </w:trPr>
        <w:tc>
          <w:tcPr>
            <w:tcW w:w="2600" w:type="dxa"/>
            <w:vAlign w:val="bottom"/>
            <w:tcBorders>
              <w:left w:val="single" w:sz="8" w:color="auto"/>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98"/>
              </w:rPr>
              <w:t>Architectural Millwork ("Quest")</w:t>
            </w:r>
          </w:p>
        </w:tc>
        <w:tc>
          <w:tcPr>
            <w:tcW w:w="6320" w:type="dxa"/>
            <w:vAlign w:val="bottom"/>
            <w:tcBorders>
              <w:right w:val="single" w:sz="8" w:color="auto"/>
            </w:tcBorders>
            <w:gridSpan w:val="7"/>
            <w:shd w:val="clear" w:color="auto" w:fill="CCEBFF"/>
          </w:tcPr>
          <w:p>
            <w:pPr>
              <w:spacing w:after="0"/>
              <w:rPr>
                <w:sz w:val="20"/>
                <w:szCs w:val="20"/>
                <w:color w:val="auto"/>
              </w:rPr>
            </w:pPr>
            <w:r>
              <w:rPr>
                <w:rFonts w:ascii="Arial" w:cs="Arial" w:eastAsia="Arial" w:hAnsi="Arial"/>
                <w:sz w:val="16"/>
                <w:szCs w:val="16"/>
                <w:color w:val="auto"/>
                <w:w w:val="92"/>
              </w:rPr>
              <w:t>commercial uses. Quest had annual sales of approximately $22 million. The acquisition of Quest</w:t>
            </w:r>
          </w:p>
        </w:tc>
        <w:tc>
          <w:tcPr>
            <w:tcW w:w="0" w:type="dxa"/>
            <w:vAlign w:val="bottom"/>
          </w:tcPr>
          <w:p>
            <w:pPr>
              <w:spacing w:after="0"/>
              <w:rPr>
                <w:sz w:val="1"/>
                <w:szCs w:val="1"/>
                <w:color w:val="auto"/>
              </w:rPr>
            </w:pPr>
          </w:p>
        </w:tc>
      </w:tr>
      <w:tr>
        <w:trPr>
          <w:trHeight w:val="203"/>
        </w:trPr>
        <w:tc>
          <w:tcPr>
            <w:tcW w:w="2600" w:type="dxa"/>
            <w:vAlign w:val="bottom"/>
            <w:tcBorders>
              <w:left w:val="single" w:sz="8" w:color="auto"/>
              <w:right w:val="single" w:sz="8" w:color="auto"/>
            </w:tcBorders>
            <w:shd w:val="clear" w:color="auto" w:fill="CCEBFF"/>
          </w:tcPr>
          <w:p>
            <w:pPr>
              <w:spacing w:after="0"/>
              <w:rPr>
                <w:sz w:val="17"/>
                <w:szCs w:val="17"/>
                <w:color w:val="auto"/>
              </w:rPr>
            </w:pPr>
          </w:p>
        </w:tc>
        <w:tc>
          <w:tcPr>
            <w:tcW w:w="6320" w:type="dxa"/>
            <w:vAlign w:val="bottom"/>
            <w:tcBorders>
              <w:right w:val="single" w:sz="8" w:color="auto"/>
            </w:tcBorders>
            <w:gridSpan w:val="7"/>
            <w:shd w:val="clear" w:color="auto" w:fill="CCEBFF"/>
          </w:tcPr>
          <w:p>
            <w:pPr>
              <w:spacing w:after="0"/>
              <w:rPr>
                <w:sz w:val="20"/>
                <w:szCs w:val="20"/>
                <w:color w:val="auto"/>
              </w:rPr>
            </w:pPr>
            <w:r>
              <w:rPr>
                <w:rFonts w:ascii="Arial" w:cs="Arial" w:eastAsia="Arial" w:hAnsi="Arial"/>
                <w:sz w:val="16"/>
                <w:szCs w:val="16"/>
                <w:color w:val="auto"/>
                <w:w w:val="97"/>
              </w:rPr>
              <w:t>expands our architectural millwork capabilities and expertise in our commercial construction</w:t>
            </w:r>
          </w:p>
        </w:tc>
        <w:tc>
          <w:tcPr>
            <w:tcW w:w="0" w:type="dxa"/>
            <w:vAlign w:val="bottom"/>
          </w:tcPr>
          <w:p>
            <w:pPr>
              <w:spacing w:after="0"/>
              <w:rPr>
                <w:sz w:val="1"/>
                <w:szCs w:val="1"/>
                <w:color w:val="auto"/>
              </w:rPr>
            </w:pPr>
          </w:p>
        </w:tc>
      </w:tr>
      <w:tr>
        <w:trPr>
          <w:trHeight w:val="203"/>
        </w:trPr>
        <w:tc>
          <w:tcPr>
            <w:tcW w:w="2600" w:type="dxa"/>
            <w:vAlign w:val="bottom"/>
            <w:tcBorders>
              <w:left w:val="single" w:sz="8" w:color="auto"/>
              <w:right w:val="single" w:sz="8" w:color="auto"/>
            </w:tcBorders>
            <w:shd w:val="clear" w:color="auto" w:fill="CCEBFF"/>
          </w:tcPr>
          <w:p>
            <w:pPr>
              <w:spacing w:after="0"/>
              <w:rPr>
                <w:sz w:val="17"/>
                <w:szCs w:val="17"/>
                <w:color w:val="auto"/>
              </w:rPr>
            </w:pPr>
          </w:p>
        </w:tc>
        <w:tc>
          <w:tcPr>
            <w:tcW w:w="6320" w:type="dxa"/>
            <w:vAlign w:val="bottom"/>
            <w:tcBorders>
              <w:right w:val="single" w:sz="8" w:color="auto"/>
            </w:tcBorders>
            <w:gridSpan w:val="7"/>
            <w:shd w:val="clear" w:color="auto" w:fill="CCEBFF"/>
          </w:tcPr>
          <w:p>
            <w:pPr>
              <w:spacing w:after="0"/>
              <w:rPr>
                <w:sz w:val="20"/>
                <w:szCs w:val="20"/>
                <w:color w:val="auto"/>
              </w:rPr>
            </w:pPr>
            <w:r>
              <w:rPr>
                <w:rFonts w:ascii="Arial" w:cs="Arial" w:eastAsia="Arial" w:hAnsi="Arial"/>
                <w:sz w:val="16"/>
                <w:szCs w:val="16"/>
                <w:color w:val="auto"/>
                <w:w w:val="93"/>
              </w:rPr>
              <w:t>business unit, and will allow us to use our national manufacturing capacity to grow and diversify</w:t>
            </w:r>
          </w:p>
        </w:tc>
        <w:tc>
          <w:tcPr>
            <w:tcW w:w="0" w:type="dxa"/>
            <w:vAlign w:val="bottom"/>
          </w:tcPr>
          <w:p>
            <w:pPr>
              <w:spacing w:after="0"/>
              <w:rPr>
                <w:sz w:val="1"/>
                <w:szCs w:val="1"/>
                <w:color w:val="auto"/>
              </w:rPr>
            </w:pPr>
          </w:p>
        </w:tc>
      </w:tr>
      <w:tr>
        <w:trPr>
          <w:trHeight w:val="219"/>
        </w:trPr>
        <w:tc>
          <w:tcPr>
            <w:tcW w:w="2600" w:type="dxa"/>
            <w:vAlign w:val="bottom"/>
            <w:tcBorders>
              <w:left w:val="single" w:sz="8" w:color="auto"/>
              <w:bottom w:val="single" w:sz="8" w:color="auto"/>
              <w:right w:val="single" w:sz="8" w:color="auto"/>
            </w:tcBorders>
            <w:shd w:val="clear" w:color="auto" w:fill="CCEBFF"/>
          </w:tcPr>
          <w:p>
            <w:pPr>
              <w:spacing w:after="0"/>
              <w:rPr>
                <w:sz w:val="19"/>
                <w:szCs w:val="19"/>
                <w:color w:val="auto"/>
              </w:rPr>
            </w:pPr>
          </w:p>
        </w:tc>
        <w:tc>
          <w:tcPr>
            <w:tcW w:w="3720" w:type="dxa"/>
            <w:vAlign w:val="bottom"/>
            <w:tcBorders>
              <w:bottom w:val="single" w:sz="8" w:color="auto"/>
            </w:tcBorders>
            <w:gridSpan w:val="3"/>
            <w:shd w:val="clear" w:color="auto" w:fill="CCEBFF"/>
          </w:tcPr>
          <w:p>
            <w:pPr>
              <w:spacing w:after="0"/>
              <w:rPr>
                <w:sz w:val="20"/>
                <w:szCs w:val="20"/>
                <w:color w:val="auto"/>
              </w:rPr>
            </w:pPr>
            <w:r>
              <w:rPr>
                <w:rFonts w:ascii="Arial" w:cs="Arial" w:eastAsia="Arial" w:hAnsi="Arial"/>
                <w:sz w:val="16"/>
                <w:szCs w:val="16"/>
                <w:color w:val="auto"/>
              </w:rPr>
              <w:t>our sales to this end market</w:t>
            </w:r>
          </w:p>
        </w:tc>
        <w:tc>
          <w:tcPr>
            <w:tcW w:w="600" w:type="dxa"/>
            <w:vAlign w:val="bottom"/>
            <w:tcBorders>
              <w:bottom w:val="single" w:sz="8" w:color="auto"/>
              <w:right w:val="single" w:sz="8" w:color="CCEBFF"/>
            </w:tcBorders>
            <w:shd w:val="clear" w:color="auto" w:fill="CCEBFF"/>
          </w:tcPr>
          <w:p>
            <w:pPr>
              <w:spacing w:after="0"/>
              <w:rPr>
                <w:sz w:val="19"/>
                <w:szCs w:val="19"/>
                <w:color w:val="auto"/>
              </w:rPr>
            </w:pPr>
          </w:p>
        </w:tc>
        <w:tc>
          <w:tcPr>
            <w:tcW w:w="380" w:type="dxa"/>
            <w:vAlign w:val="bottom"/>
            <w:tcBorders>
              <w:bottom w:val="single" w:sz="8" w:color="auto"/>
            </w:tcBorders>
            <w:shd w:val="clear" w:color="auto" w:fill="CCEBFF"/>
          </w:tcPr>
          <w:p>
            <w:pPr>
              <w:spacing w:after="0"/>
              <w:rPr>
                <w:sz w:val="19"/>
                <w:szCs w:val="19"/>
                <w:color w:val="auto"/>
              </w:rPr>
            </w:pPr>
          </w:p>
        </w:tc>
        <w:tc>
          <w:tcPr>
            <w:tcW w:w="760" w:type="dxa"/>
            <w:vAlign w:val="bottom"/>
            <w:tcBorders>
              <w:bottom w:val="single" w:sz="8" w:color="auto"/>
              <w:right w:val="single" w:sz="8" w:color="CCEBFF"/>
            </w:tcBorders>
            <w:shd w:val="clear" w:color="auto" w:fill="CCEBFF"/>
          </w:tcPr>
          <w:p>
            <w:pPr>
              <w:spacing w:after="0"/>
              <w:rPr>
                <w:sz w:val="19"/>
                <w:szCs w:val="19"/>
                <w:color w:val="auto"/>
              </w:rPr>
            </w:pPr>
          </w:p>
        </w:tc>
        <w:tc>
          <w:tcPr>
            <w:tcW w:w="860" w:type="dxa"/>
            <w:vAlign w:val="bottom"/>
            <w:tcBorders>
              <w:bottom w:val="single" w:sz="8" w:color="auto"/>
              <w:right w:val="single" w:sz="8" w:color="auto"/>
            </w:tcBorders>
            <w:shd w:val="clear" w:color="auto" w:fill="CCEBFF"/>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600" w:type="dxa"/>
            <w:vAlign w:val="bottom"/>
            <w:tcBorders>
              <w:left w:val="single" w:sz="8" w:color="auto"/>
              <w:right w:val="single" w:sz="8" w:color="auto"/>
            </w:tcBorders>
          </w:tcPr>
          <w:p>
            <w:pPr>
              <w:spacing w:after="0"/>
              <w:rPr>
                <w:sz w:val="16"/>
                <w:szCs w:val="16"/>
                <w:color w:val="auto"/>
              </w:rPr>
            </w:pPr>
          </w:p>
        </w:tc>
        <w:tc>
          <w:tcPr>
            <w:tcW w:w="1420" w:type="dxa"/>
            <w:vAlign w:val="bottom"/>
            <w:tcBorders>
              <w:right w:val="single" w:sz="8" w:color="auto"/>
            </w:tcBorders>
          </w:tcPr>
          <w:p>
            <w:pPr>
              <w:spacing w:after="0"/>
              <w:rPr>
                <w:sz w:val="16"/>
                <w:szCs w:val="16"/>
                <w:color w:val="auto"/>
              </w:rPr>
            </w:pP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$12,422</w:t>
            </w:r>
          </w:p>
        </w:tc>
        <w:tc>
          <w:tcPr>
            <w:tcW w:w="540" w:type="dxa"/>
            <w:vAlign w:val="bottom"/>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00" w:type="dxa"/>
            <w:vAlign w:val="bottom"/>
            <w:tcBorders>
              <w:left w:val="single" w:sz="8" w:color="auto"/>
              <w:right w:val="single" w:sz="8" w:color="auto"/>
            </w:tcBorders>
          </w:tcPr>
          <w:p>
            <w:pPr>
              <w:spacing w:after="0"/>
              <w:rPr>
                <w:sz w:val="17"/>
                <w:szCs w:val="17"/>
                <w:color w:val="auto"/>
              </w:rPr>
            </w:pP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September 16, 2019</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0"/>
              </w:rPr>
              <w:t>cash paid for 100% asset</w:t>
            </w:r>
          </w:p>
        </w:tc>
        <w:tc>
          <w:tcPr>
            <w:tcW w:w="540" w:type="dxa"/>
            <w:vAlign w:val="bottom"/>
          </w:tcPr>
          <w:p>
            <w:pPr>
              <w:jc w:val="right"/>
              <w:ind w:right="384"/>
              <w:spacing w:after="0"/>
              <w:rPr>
                <w:sz w:val="20"/>
                <w:szCs w:val="20"/>
                <w:color w:val="auto"/>
              </w:rPr>
            </w:pPr>
            <w:r>
              <w:rPr>
                <w:rFonts w:ascii="Arial" w:cs="Arial" w:eastAsia="Arial" w:hAnsi="Arial"/>
                <w:sz w:val="15"/>
                <w:szCs w:val="15"/>
                <w:color w:val="auto"/>
                <w:w w:val="71"/>
              </w:rPr>
              <w:t>$</w:t>
            </w:r>
          </w:p>
        </w:tc>
        <w:tc>
          <w:tcPr>
            <w:tcW w:w="6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7,464</w:t>
            </w:r>
          </w:p>
        </w:tc>
        <w:tc>
          <w:tcPr>
            <w:tcW w:w="380" w:type="dxa"/>
            <w:vAlign w:val="bottom"/>
          </w:tcPr>
          <w:p>
            <w:pPr>
              <w:jc w:val="right"/>
              <w:ind w:right="224"/>
              <w:spacing w:after="0"/>
              <w:rPr>
                <w:sz w:val="20"/>
                <w:szCs w:val="20"/>
                <w:color w:val="auto"/>
              </w:rPr>
            </w:pPr>
            <w:r>
              <w:rPr>
                <w:rFonts w:ascii="Arial" w:cs="Arial" w:eastAsia="Arial" w:hAnsi="Arial"/>
                <w:sz w:val="15"/>
                <w:szCs w:val="15"/>
                <w:color w:val="auto"/>
                <w:w w:val="71"/>
              </w:rPr>
              <w:t>$</w:t>
            </w:r>
          </w:p>
        </w:tc>
        <w:tc>
          <w:tcPr>
            <w:tcW w:w="7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4,958</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5"/>
              </w:rPr>
              <w:t>Industrial</w:t>
            </w:r>
          </w:p>
        </w:tc>
        <w:tc>
          <w:tcPr>
            <w:tcW w:w="0" w:type="dxa"/>
            <w:vAlign w:val="bottom"/>
          </w:tcPr>
          <w:p>
            <w:pPr>
              <w:spacing w:after="0"/>
              <w:rPr>
                <w:sz w:val="1"/>
                <w:szCs w:val="1"/>
                <w:color w:val="auto"/>
              </w:rPr>
            </w:pPr>
          </w:p>
        </w:tc>
      </w:tr>
      <w:tr>
        <w:trPr>
          <w:trHeight w:val="209"/>
        </w:trPr>
        <w:tc>
          <w:tcPr>
            <w:tcW w:w="26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6"/>
              </w:rPr>
              <w:t>Pallet USA, LLC ("Pallet USA")</w:t>
            </w:r>
          </w:p>
        </w:tc>
        <w:tc>
          <w:tcPr>
            <w:tcW w:w="142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purchase</w:t>
            </w:r>
          </w:p>
        </w:tc>
        <w:tc>
          <w:tcPr>
            <w:tcW w:w="540" w:type="dxa"/>
            <w:vAlign w:val="bottom"/>
            <w:tcBorders>
              <w:bottom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600" w:type="dxa"/>
            <w:vAlign w:val="bottom"/>
            <w:tcBorders>
              <w:left w:val="single" w:sz="8" w:color="auto"/>
              <w:right w:val="single" w:sz="8" w:color="auto"/>
            </w:tcBorders>
            <w:vMerge w:val="continue"/>
          </w:tcPr>
          <w:p>
            <w:pPr>
              <w:spacing w:after="0"/>
              <w:rPr>
                <w:sz w:val="16"/>
                <w:szCs w:val="16"/>
                <w:color w:val="auto"/>
              </w:rPr>
            </w:pPr>
          </w:p>
        </w:tc>
        <w:tc>
          <w:tcPr>
            <w:tcW w:w="6320" w:type="dxa"/>
            <w:vAlign w:val="bottom"/>
            <w:tcBorders>
              <w:right w:val="single" w:sz="8" w:color="auto"/>
            </w:tcBorders>
            <w:gridSpan w:val="7"/>
          </w:tcPr>
          <w:p>
            <w:pPr>
              <w:spacing w:after="0"/>
              <w:rPr>
                <w:sz w:val="20"/>
                <w:szCs w:val="20"/>
                <w:color w:val="auto"/>
              </w:rPr>
            </w:pPr>
            <w:r>
              <w:rPr>
                <w:rFonts w:ascii="Arial" w:cs="Arial" w:eastAsia="Arial" w:hAnsi="Arial"/>
                <w:sz w:val="16"/>
                <w:szCs w:val="16"/>
                <w:color w:val="auto"/>
                <w:w w:val="92"/>
              </w:rPr>
              <w:t>A manufacturer and recycler of wood pallet and crating products in the Midwest. Pallet USA had</w:t>
            </w:r>
          </w:p>
        </w:tc>
        <w:tc>
          <w:tcPr>
            <w:tcW w:w="0" w:type="dxa"/>
            <w:vAlign w:val="bottom"/>
          </w:tcPr>
          <w:p>
            <w:pPr>
              <w:spacing w:after="0"/>
              <w:rPr>
                <w:sz w:val="1"/>
                <w:szCs w:val="1"/>
                <w:color w:val="auto"/>
              </w:rPr>
            </w:pPr>
          </w:p>
        </w:tc>
      </w:tr>
      <w:tr>
        <w:trPr>
          <w:trHeight w:val="203"/>
        </w:trPr>
        <w:tc>
          <w:tcPr>
            <w:tcW w:w="2600" w:type="dxa"/>
            <w:vAlign w:val="bottom"/>
            <w:tcBorders>
              <w:left w:val="single" w:sz="8" w:color="auto"/>
              <w:right w:val="single" w:sz="8" w:color="auto"/>
            </w:tcBorders>
          </w:tcPr>
          <w:p>
            <w:pPr>
              <w:spacing w:after="0"/>
              <w:rPr>
                <w:sz w:val="17"/>
                <w:szCs w:val="17"/>
                <w:color w:val="auto"/>
              </w:rPr>
            </w:pPr>
          </w:p>
        </w:tc>
        <w:tc>
          <w:tcPr>
            <w:tcW w:w="6320" w:type="dxa"/>
            <w:vAlign w:val="bottom"/>
            <w:tcBorders>
              <w:right w:val="single" w:sz="8" w:color="auto"/>
            </w:tcBorders>
            <w:gridSpan w:val="7"/>
          </w:tcPr>
          <w:p>
            <w:pPr>
              <w:spacing w:after="0"/>
              <w:rPr>
                <w:sz w:val="20"/>
                <w:szCs w:val="20"/>
                <w:color w:val="auto"/>
              </w:rPr>
            </w:pPr>
            <w:r>
              <w:rPr>
                <w:rFonts w:ascii="Arial" w:cs="Arial" w:eastAsia="Arial" w:hAnsi="Arial"/>
                <w:sz w:val="16"/>
                <w:szCs w:val="16"/>
                <w:color w:val="auto"/>
                <w:w w:val="96"/>
              </w:rPr>
              <w:t>annual sales of approximately $18 million. The acquisition of Pallet USA allows us to expand</w:t>
            </w:r>
          </w:p>
        </w:tc>
        <w:tc>
          <w:tcPr>
            <w:tcW w:w="0" w:type="dxa"/>
            <w:vAlign w:val="bottom"/>
          </w:tcPr>
          <w:p>
            <w:pPr>
              <w:spacing w:after="0"/>
              <w:rPr>
                <w:sz w:val="1"/>
                <w:szCs w:val="1"/>
                <w:color w:val="auto"/>
              </w:rPr>
            </w:pPr>
          </w:p>
        </w:tc>
      </w:tr>
      <w:tr>
        <w:trPr>
          <w:trHeight w:val="203"/>
        </w:trPr>
        <w:tc>
          <w:tcPr>
            <w:tcW w:w="2600" w:type="dxa"/>
            <w:vAlign w:val="bottom"/>
            <w:tcBorders>
              <w:left w:val="single" w:sz="8" w:color="auto"/>
              <w:right w:val="single" w:sz="8" w:color="auto"/>
            </w:tcBorders>
          </w:tcPr>
          <w:p>
            <w:pPr>
              <w:spacing w:after="0"/>
              <w:rPr>
                <w:sz w:val="17"/>
                <w:szCs w:val="17"/>
                <w:color w:val="auto"/>
              </w:rPr>
            </w:pPr>
          </w:p>
        </w:tc>
        <w:tc>
          <w:tcPr>
            <w:tcW w:w="6320" w:type="dxa"/>
            <w:vAlign w:val="bottom"/>
            <w:tcBorders>
              <w:right w:val="single" w:sz="8" w:color="auto"/>
            </w:tcBorders>
            <w:gridSpan w:val="7"/>
          </w:tcPr>
          <w:p>
            <w:pPr>
              <w:spacing w:after="0"/>
              <w:rPr>
                <w:sz w:val="20"/>
                <w:szCs w:val="20"/>
                <w:color w:val="auto"/>
              </w:rPr>
            </w:pPr>
            <w:r>
              <w:rPr>
                <w:rFonts w:ascii="Arial" w:cs="Arial" w:eastAsia="Arial" w:hAnsi="Arial"/>
                <w:sz w:val="16"/>
                <w:szCs w:val="16"/>
                <w:color w:val="auto"/>
                <w:w w:val="91"/>
              </w:rPr>
              <w:t>our capacity to manufacture wood-based industrial packaging products and offer new services to</w:t>
            </w:r>
          </w:p>
        </w:tc>
        <w:tc>
          <w:tcPr>
            <w:tcW w:w="0" w:type="dxa"/>
            <w:vAlign w:val="bottom"/>
          </w:tcPr>
          <w:p>
            <w:pPr>
              <w:spacing w:after="0"/>
              <w:rPr>
                <w:sz w:val="1"/>
                <w:szCs w:val="1"/>
                <w:color w:val="auto"/>
              </w:rPr>
            </w:pPr>
          </w:p>
        </w:tc>
      </w:tr>
      <w:tr>
        <w:trPr>
          <w:trHeight w:val="219"/>
        </w:trPr>
        <w:tc>
          <w:tcPr>
            <w:tcW w:w="2600" w:type="dxa"/>
            <w:vAlign w:val="bottom"/>
            <w:tcBorders>
              <w:left w:val="single" w:sz="8" w:color="auto"/>
              <w:bottom w:val="single" w:sz="8" w:color="auto"/>
              <w:right w:val="single" w:sz="8" w:color="auto"/>
            </w:tcBorders>
          </w:tcPr>
          <w:p>
            <w:pPr>
              <w:spacing w:after="0"/>
              <w:rPr>
                <w:sz w:val="19"/>
                <w:szCs w:val="19"/>
                <w:color w:val="auto"/>
              </w:rPr>
            </w:pPr>
          </w:p>
        </w:tc>
        <w:tc>
          <w:tcPr>
            <w:tcW w:w="372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rPr>
              <w:t>customers in the Midwest.</w:t>
            </w:r>
          </w:p>
        </w:tc>
        <w:tc>
          <w:tcPr>
            <w:tcW w:w="6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8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600" w:type="dxa"/>
            <w:vAlign w:val="bottom"/>
            <w:tcBorders>
              <w:left w:val="single" w:sz="8" w:color="auto"/>
              <w:right w:val="single" w:sz="8" w:color="auto"/>
            </w:tcBorders>
            <w:shd w:val="clear" w:color="auto" w:fill="CCEBFF"/>
          </w:tcPr>
          <w:p>
            <w:pPr>
              <w:spacing w:after="0"/>
              <w:rPr>
                <w:sz w:val="16"/>
                <w:szCs w:val="16"/>
                <w:color w:val="auto"/>
              </w:rPr>
            </w:pPr>
          </w:p>
        </w:tc>
        <w:tc>
          <w:tcPr>
            <w:tcW w:w="1420" w:type="dxa"/>
            <w:vAlign w:val="bottom"/>
            <w:tcBorders>
              <w:right w:val="single" w:sz="8" w:color="auto"/>
            </w:tcBorders>
            <w:shd w:val="clear" w:color="auto" w:fill="CCEBFF"/>
          </w:tcPr>
          <w:p>
            <w:pPr>
              <w:spacing w:after="0"/>
              <w:rPr>
                <w:sz w:val="16"/>
                <w:szCs w:val="16"/>
                <w:color w:val="auto"/>
              </w:rPr>
            </w:pPr>
          </w:p>
        </w:tc>
        <w:tc>
          <w:tcPr>
            <w:tcW w:w="176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93"/>
              </w:rPr>
              <w:t>$17,809</w:t>
            </w:r>
          </w:p>
        </w:tc>
        <w:tc>
          <w:tcPr>
            <w:tcW w:w="540" w:type="dxa"/>
            <w:vAlign w:val="bottom"/>
            <w:shd w:val="clear" w:color="auto" w:fill="CCEBFF"/>
          </w:tcPr>
          <w:p>
            <w:pPr>
              <w:spacing w:after="0"/>
              <w:rPr>
                <w:sz w:val="16"/>
                <w:szCs w:val="16"/>
                <w:color w:val="auto"/>
              </w:rPr>
            </w:pPr>
          </w:p>
        </w:tc>
        <w:tc>
          <w:tcPr>
            <w:tcW w:w="600" w:type="dxa"/>
            <w:vAlign w:val="bottom"/>
            <w:tcBorders>
              <w:right w:val="single" w:sz="8" w:color="auto"/>
            </w:tcBorders>
            <w:shd w:val="clear" w:color="auto" w:fill="CCEBFF"/>
          </w:tcPr>
          <w:p>
            <w:pPr>
              <w:spacing w:after="0"/>
              <w:rPr>
                <w:sz w:val="16"/>
                <w:szCs w:val="16"/>
                <w:color w:val="auto"/>
              </w:rPr>
            </w:pPr>
          </w:p>
        </w:tc>
        <w:tc>
          <w:tcPr>
            <w:tcW w:w="380" w:type="dxa"/>
            <w:vAlign w:val="bottom"/>
            <w:shd w:val="clear" w:color="auto" w:fill="CCEBFF"/>
          </w:tcPr>
          <w:p>
            <w:pPr>
              <w:spacing w:after="0"/>
              <w:rPr>
                <w:sz w:val="16"/>
                <w:szCs w:val="16"/>
                <w:color w:val="auto"/>
              </w:rPr>
            </w:pPr>
          </w:p>
        </w:tc>
        <w:tc>
          <w:tcPr>
            <w:tcW w:w="760" w:type="dxa"/>
            <w:vAlign w:val="bottom"/>
            <w:tcBorders>
              <w:right w:val="single" w:sz="8" w:color="auto"/>
            </w:tcBorders>
            <w:shd w:val="clear" w:color="auto" w:fill="CCEBFF"/>
          </w:tcPr>
          <w:p>
            <w:pPr>
              <w:spacing w:after="0"/>
              <w:rPr>
                <w:sz w:val="16"/>
                <w:szCs w:val="16"/>
                <w:color w:val="auto"/>
              </w:rPr>
            </w:pPr>
          </w:p>
        </w:tc>
        <w:tc>
          <w:tcPr>
            <w:tcW w:w="860" w:type="dxa"/>
            <w:vAlign w:val="bottom"/>
            <w:tcBorders>
              <w:right w:val="single" w:sz="8" w:color="auto"/>
            </w:tcBorders>
            <w:shd w:val="clear" w:color="auto" w:fill="CCEBFF"/>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2600" w:type="dxa"/>
            <w:vAlign w:val="bottom"/>
            <w:tcBorders>
              <w:left w:val="single" w:sz="8" w:color="auto"/>
              <w:right w:val="single" w:sz="8" w:color="auto"/>
            </w:tcBorders>
            <w:shd w:val="clear" w:color="auto" w:fill="CCEBFF"/>
          </w:tcPr>
          <w:p>
            <w:pPr>
              <w:spacing w:after="0"/>
              <w:rPr>
                <w:sz w:val="21"/>
                <w:szCs w:val="21"/>
                <w:color w:val="auto"/>
              </w:rPr>
            </w:pPr>
          </w:p>
        </w:tc>
        <w:tc>
          <w:tcPr>
            <w:tcW w:w="142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92"/>
              </w:rPr>
              <w:t>August 12, 2019</w:t>
            </w:r>
          </w:p>
        </w:tc>
        <w:tc>
          <w:tcPr>
            <w:tcW w:w="176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90"/>
              </w:rPr>
              <w:t>cash paid for 100% asset</w:t>
            </w:r>
          </w:p>
        </w:tc>
        <w:tc>
          <w:tcPr>
            <w:tcW w:w="540" w:type="dxa"/>
            <w:vAlign w:val="bottom"/>
            <w:shd w:val="clear" w:color="auto" w:fill="CCEBFF"/>
          </w:tcPr>
          <w:p>
            <w:pPr>
              <w:jc w:val="right"/>
              <w:ind w:right="384"/>
              <w:spacing w:after="0"/>
              <w:rPr>
                <w:sz w:val="20"/>
                <w:szCs w:val="20"/>
                <w:color w:val="auto"/>
              </w:rPr>
            </w:pPr>
            <w:r>
              <w:rPr>
                <w:rFonts w:ascii="Arial" w:cs="Arial" w:eastAsia="Arial" w:hAnsi="Arial"/>
                <w:sz w:val="15"/>
                <w:szCs w:val="15"/>
                <w:color w:val="auto"/>
                <w:w w:val="71"/>
              </w:rPr>
              <w:t>$</w:t>
            </w:r>
          </w:p>
        </w:tc>
        <w:tc>
          <w:tcPr>
            <w:tcW w:w="600" w:type="dxa"/>
            <w:vAlign w:val="bottom"/>
            <w:tcBorders>
              <w:right w:val="single" w:sz="8" w:color="auto"/>
            </w:tcBorders>
            <w:shd w:val="clear" w:color="auto" w:fill="CCEBFF"/>
          </w:tcPr>
          <w:p>
            <w:pPr>
              <w:jc w:val="right"/>
              <w:spacing w:after="0"/>
              <w:rPr>
                <w:sz w:val="20"/>
                <w:szCs w:val="20"/>
                <w:color w:val="auto"/>
              </w:rPr>
            </w:pPr>
            <w:r>
              <w:rPr>
                <w:rFonts w:ascii="Arial" w:cs="Arial" w:eastAsia="Arial" w:hAnsi="Arial"/>
                <w:sz w:val="16"/>
                <w:szCs w:val="16"/>
                <w:color w:val="auto"/>
              </w:rPr>
              <w:t>8,089</w:t>
            </w:r>
          </w:p>
        </w:tc>
        <w:tc>
          <w:tcPr>
            <w:tcW w:w="380" w:type="dxa"/>
            <w:vAlign w:val="bottom"/>
            <w:shd w:val="clear" w:color="auto" w:fill="CCEBFF"/>
          </w:tcPr>
          <w:p>
            <w:pPr>
              <w:jc w:val="right"/>
              <w:ind w:right="224"/>
              <w:spacing w:after="0"/>
              <w:rPr>
                <w:sz w:val="20"/>
                <w:szCs w:val="20"/>
                <w:color w:val="auto"/>
              </w:rPr>
            </w:pPr>
            <w:r>
              <w:rPr>
                <w:rFonts w:ascii="Arial" w:cs="Arial" w:eastAsia="Arial" w:hAnsi="Arial"/>
                <w:sz w:val="15"/>
                <w:szCs w:val="15"/>
                <w:color w:val="auto"/>
                <w:w w:val="71"/>
              </w:rPr>
              <w:t>$</w:t>
            </w:r>
          </w:p>
        </w:tc>
        <w:tc>
          <w:tcPr>
            <w:tcW w:w="760" w:type="dxa"/>
            <w:vAlign w:val="bottom"/>
            <w:tcBorders>
              <w:right w:val="single" w:sz="8" w:color="auto"/>
            </w:tcBorders>
            <w:shd w:val="clear" w:color="auto" w:fill="CCEBFF"/>
          </w:tcPr>
          <w:p>
            <w:pPr>
              <w:jc w:val="right"/>
              <w:spacing w:after="0"/>
              <w:rPr>
                <w:sz w:val="20"/>
                <w:szCs w:val="20"/>
                <w:color w:val="auto"/>
              </w:rPr>
            </w:pPr>
            <w:r>
              <w:rPr>
                <w:rFonts w:ascii="Arial" w:cs="Arial" w:eastAsia="Arial" w:hAnsi="Arial"/>
                <w:sz w:val="16"/>
                <w:szCs w:val="16"/>
                <w:color w:val="auto"/>
              </w:rPr>
              <w:t>9,720</w:t>
            </w:r>
          </w:p>
        </w:tc>
        <w:tc>
          <w:tcPr>
            <w:tcW w:w="86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92"/>
              </w:rPr>
              <w:t>Retail</w:t>
            </w:r>
          </w:p>
        </w:tc>
        <w:tc>
          <w:tcPr>
            <w:tcW w:w="0" w:type="dxa"/>
            <w:vAlign w:val="bottom"/>
          </w:tcPr>
          <w:p>
            <w:pPr>
              <w:spacing w:after="0"/>
              <w:rPr>
                <w:sz w:val="1"/>
                <w:szCs w:val="1"/>
                <w:color w:val="auto"/>
              </w:rPr>
            </w:pPr>
          </w:p>
        </w:tc>
      </w:tr>
      <w:tr>
        <w:trPr>
          <w:trHeight w:val="152"/>
        </w:trPr>
        <w:tc>
          <w:tcPr>
            <w:tcW w:w="2600" w:type="dxa"/>
            <w:vAlign w:val="bottom"/>
            <w:tcBorders>
              <w:left w:val="single" w:sz="8" w:color="auto"/>
              <w:right w:val="single" w:sz="8" w:color="auto"/>
            </w:tcBorders>
            <w:shd w:val="clear" w:color="auto" w:fill="CCEBFF"/>
          </w:tcPr>
          <w:p>
            <w:pPr>
              <w:spacing w:after="0"/>
              <w:rPr>
                <w:sz w:val="13"/>
                <w:szCs w:val="13"/>
                <w:color w:val="auto"/>
              </w:rPr>
            </w:pPr>
          </w:p>
        </w:tc>
        <w:tc>
          <w:tcPr>
            <w:tcW w:w="1420" w:type="dxa"/>
            <w:vAlign w:val="bottom"/>
            <w:tcBorders>
              <w:right w:val="single" w:sz="8" w:color="auto"/>
            </w:tcBorders>
            <w:shd w:val="clear" w:color="auto" w:fill="CCEBFF"/>
          </w:tcPr>
          <w:p>
            <w:pPr>
              <w:spacing w:after="0"/>
              <w:rPr>
                <w:sz w:val="13"/>
                <w:szCs w:val="13"/>
                <w:color w:val="auto"/>
              </w:rPr>
            </w:pPr>
          </w:p>
        </w:tc>
        <w:tc>
          <w:tcPr>
            <w:tcW w:w="1760" w:type="dxa"/>
            <w:vAlign w:val="bottom"/>
            <w:tcBorders>
              <w:right w:val="single" w:sz="8" w:color="auto"/>
            </w:tcBorders>
            <w:shd w:val="clear" w:color="auto" w:fill="CCEBFF"/>
          </w:tcPr>
          <w:p>
            <w:pPr>
              <w:jc w:val="center"/>
              <w:spacing w:after="0" w:line="152" w:lineRule="exact"/>
              <w:rPr>
                <w:sz w:val="20"/>
                <w:szCs w:val="20"/>
                <w:color w:val="auto"/>
              </w:rPr>
            </w:pPr>
            <w:r>
              <w:rPr>
                <w:rFonts w:ascii="Arial" w:cs="Arial" w:eastAsia="Arial" w:hAnsi="Arial"/>
                <w:sz w:val="16"/>
                <w:szCs w:val="16"/>
                <w:color w:val="auto"/>
                <w:w w:val="87"/>
              </w:rPr>
              <w:t>purchase and estimated</w:t>
            </w:r>
          </w:p>
        </w:tc>
        <w:tc>
          <w:tcPr>
            <w:tcW w:w="540" w:type="dxa"/>
            <w:vAlign w:val="bottom"/>
            <w:shd w:val="clear" w:color="auto" w:fill="CCEBFF"/>
          </w:tcPr>
          <w:p>
            <w:pPr>
              <w:spacing w:after="0"/>
              <w:rPr>
                <w:sz w:val="13"/>
                <w:szCs w:val="13"/>
                <w:color w:val="auto"/>
              </w:rPr>
            </w:pPr>
          </w:p>
        </w:tc>
        <w:tc>
          <w:tcPr>
            <w:tcW w:w="600" w:type="dxa"/>
            <w:vAlign w:val="bottom"/>
            <w:tcBorders>
              <w:right w:val="single" w:sz="8" w:color="auto"/>
            </w:tcBorders>
            <w:shd w:val="clear" w:color="auto" w:fill="CCEBFF"/>
          </w:tcPr>
          <w:p>
            <w:pPr>
              <w:spacing w:after="0"/>
              <w:rPr>
                <w:sz w:val="13"/>
                <w:szCs w:val="13"/>
                <w:color w:val="auto"/>
              </w:rPr>
            </w:pPr>
          </w:p>
        </w:tc>
        <w:tc>
          <w:tcPr>
            <w:tcW w:w="380" w:type="dxa"/>
            <w:vAlign w:val="bottom"/>
            <w:shd w:val="clear" w:color="auto" w:fill="CCEBFF"/>
          </w:tcPr>
          <w:p>
            <w:pPr>
              <w:spacing w:after="0"/>
              <w:rPr>
                <w:sz w:val="13"/>
                <w:szCs w:val="13"/>
                <w:color w:val="auto"/>
              </w:rPr>
            </w:pPr>
          </w:p>
        </w:tc>
        <w:tc>
          <w:tcPr>
            <w:tcW w:w="760" w:type="dxa"/>
            <w:vAlign w:val="bottom"/>
            <w:tcBorders>
              <w:right w:val="single" w:sz="8" w:color="auto"/>
            </w:tcBorders>
            <w:shd w:val="clear" w:color="auto" w:fill="CCEBFF"/>
          </w:tcPr>
          <w:p>
            <w:pPr>
              <w:spacing w:after="0"/>
              <w:rPr>
                <w:sz w:val="13"/>
                <w:szCs w:val="13"/>
                <w:color w:val="auto"/>
              </w:rPr>
            </w:pPr>
          </w:p>
        </w:tc>
        <w:tc>
          <w:tcPr>
            <w:tcW w:w="860" w:type="dxa"/>
            <w:vAlign w:val="bottom"/>
            <w:tcBorders>
              <w:right w:val="single" w:sz="8" w:color="auto"/>
            </w:tcBorders>
            <w:shd w:val="clear" w:color="auto" w:fill="CCEBFF"/>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600" w:type="dxa"/>
            <w:vAlign w:val="bottom"/>
            <w:tcBorders>
              <w:left w:val="single" w:sz="8" w:color="auto"/>
              <w:bottom w:val="single" w:sz="8" w:color="CCEBFF"/>
              <w:right w:val="single" w:sz="8" w:color="auto"/>
            </w:tcBorders>
            <w:vMerge w:val="restart"/>
            <w:shd w:val="clear" w:color="auto" w:fill="CCEBFF"/>
          </w:tcPr>
          <w:p>
            <w:pPr>
              <w:jc w:val="center"/>
              <w:spacing w:after="0"/>
              <w:rPr>
                <w:sz w:val="20"/>
                <w:szCs w:val="20"/>
                <w:color w:val="auto"/>
              </w:rPr>
            </w:pPr>
            <w:r>
              <w:rPr>
                <w:rFonts w:ascii="Arial" w:cs="Arial" w:eastAsia="Arial" w:hAnsi="Arial"/>
                <w:sz w:val="16"/>
                <w:szCs w:val="16"/>
                <w:color w:val="auto"/>
                <w:w w:val="94"/>
              </w:rPr>
              <w:t>Northwest Painting, Inc. ("Northwest")</w:t>
            </w:r>
          </w:p>
        </w:tc>
        <w:tc>
          <w:tcPr>
            <w:tcW w:w="1420" w:type="dxa"/>
            <w:vAlign w:val="bottom"/>
            <w:tcBorders>
              <w:bottom w:val="single" w:sz="8" w:color="auto"/>
              <w:right w:val="single" w:sz="8" w:color="auto"/>
            </w:tcBorders>
            <w:shd w:val="clear" w:color="auto" w:fill="CCEBFF"/>
          </w:tcPr>
          <w:p>
            <w:pPr>
              <w:spacing w:after="0"/>
              <w:rPr>
                <w:sz w:val="18"/>
                <w:szCs w:val="18"/>
                <w:color w:val="auto"/>
              </w:rPr>
            </w:pPr>
          </w:p>
        </w:tc>
        <w:tc>
          <w:tcPr>
            <w:tcW w:w="1760" w:type="dxa"/>
            <w:vAlign w:val="bottom"/>
            <w:tcBorders>
              <w:bottom w:val="single" w:sz="8" w:color="auto"/>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91"/>
              </w:rPr>
              <w:t>contingent consideration</w:t>
            </w:r>
          </w:p>
        </w:tc>
        <w:tc>
          <w:tcPr>
            <w:tcW w:w="540" w:type="dxa"/>
            <w:vAlign w:val="bottom"/>
            <w:tcBorders>
              <w:bottom w:val="single" w:sz="8" w:color="auto"/>
            </w:tcBorders>
            <w:shd w:val="clear" w:color="auto" w:fill="CCEBFF"/>
          </w:tcPr>
          <w:p>
            <w:pPr>
              <w:spacing w:after="0"/>
              <w:rPr>
                <w:sz w:val="18"/>
                <w:szCs w:val="18"/>
                <w:color w:val="auto"/>
              </w:rPr>
            </w:pPr>
          </w:p>
        </w:tc>
        <w:tc>
          <w:tcPr>
            <w:tcW w:w="600" w:type="dxa"/>
            <w:vAlign w:val="bottom"/>
            <w:tcBorders>
              <w:bottom w:val="single" w:sz="8" w:color="auto"/>
              <w:right w:val="single" w:sz="8" w:color="auto"/>
            </w:tcBorders>
            <w:shd w:val="clear" w:color="auto" w:fill="CCEBFF"/>
          </w:tcPr>
          <w:p>
            <w:pPr>
              <w:spacing w:after="0"/>
              <w:rPr>
                <w:sz w:val="18"/>
                <w:szCs w:val="18"/>
                <w:color w:val="auto"/>
              </w:rPr>
            </w:pPr>
          </w:p>
        </w:tc>
        <w:tc>
          <w:tcPr>
            <w:tcW w:w="380" w:type="dxa"/>
            <w:vAlign w:val="bottom"/>
            <w:tcBorders>
              <w:bottom w:val="single" w:sz="8" w:color="auto"/>
            </w:tcBorders>
            <w:shd w:val="clear" w:color="auto" w:fill="CCEBFF"/>
          </w:tcPr>
          <w:p>
            <w:pPr>
              <w:spacing w:after="0"/>
              <w:rPr>
                <w:sz w:val="18"/>
                <w:szCs w:val="18"/>
                <w:color w:val="auto"/>
              </w:rPr>
            </w:pPr>
          </w:p>
        </w:tc>
        <w:tc>
          <w:tcPr>
            <w:tcW w:w="760" w:type="dxa"/>
            <w:vAlign w:val="bottom"/>
            <w:tcBorders>
              <w:bottom w:val="single" w:sz="8" w:color="auto"/>
              <w:right w:val="single" w:sz="8" w:color="auto"/>
            </w:tcBorders>
            <w:shd w:val="clear" w:color="auto" w:fill="CCEBFF"/>
          </w:tcPr>
          <w:p>
            <w:pPr>
              <w:spacing w:after="0"/>
              <w:rPr>
                <w:sz w:val="18"/>
                <w:szCs w:val="18"/>
                <w:color w:val="auto"/>
              </w:rPr>
            </w:pPr>
          </w:p>
        </w:tc>
        <w:tc>
          <w:tcPr>
            <w:tcW w:w="860" w:type="dxa"/>
            <w:vAlign w:val="bottom"/>
            <w:tcBorders>
              <w:bottom w:val="single" w:sz="8" w:color="auto"/>
              <w:right w:val="single" w:sz="8" w:color="auto"/>
            </w:tcBorders>
            <w:shd w:val="clear" w:color="auto" w:fill="CCEB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600" w:type="dxa"/>
            <w:vAlign w:val="bottom"/>
            <w:tcBorders>
              <w:left w:val="single" w:sz="8" w:color="auto"/>
              <w:right w:val="single" w:sz="8" w:color="auto"/>
            </w:tcBorders>
            <w:vMerge w:val="continue"/>
            <w:shd w:val="clear" w:color="auto" w:fill="CCEBFF"/>
          </w:tcPr>
          <w:p>
            <w:pPr>
              <w:spacing w:after="0"/>
              <w:rPr>
                <w:sz w:val="16"/>
                <w:szCs w:val="16"/>
                <w:color w:val="auto"/>
              </w:rPr>
            </w:pPr>
          </w:p>
        </w:tc>
        <w:tc>
          <w:tcPr>
            <w:tcW w:w="6320" w:type="dxa"/>
            <w:vAlign w:val="bottom"/>
            <w:tcBorders>
              <w:right w:val="single" w:sz="8" w:color="auto"/>
            </w:tcBorders>
            <w:gridSpan w:val="7"/>
            <w:shd w:val="clear" w:color="auto" w:fill="CCEBFF"/>
          </w:tcPr>
          <w:p>
            <w:pPr>
              <w:spacing w:after="0"/>
              <w:rPr>
                <w:sz w:val="20"/>
                <w:szCs w:val="20"/>
                <w:color w:val="auto"/>
              </w:rPr>
            </w:pPr>
            <w:r>
              <w:rPr>
                <w:rFonts w:ascii="Arial" w:cs="Arial" w:eastAsia="Arial" w:hAnsi="Arial"/>
                <w:sz w:val="16"/>
                <w:szCs w:val="16"/>
                <w:color w:val="auto"/>
                <w:w w:val="95"/>
              </w:rPr>
              <w:t>A supplier of pre-painted building materials, including composite lap siding, soffit, panels and</w:t>
            </w:r>
          </w:p>
        </w:tc>
        <w:tc>
          <w:tcPr>
            <w:tcW w:w="0" w:type="dxa"/>
            <w:vAlign w:val="bottom"/>
          </w:tcPr>
          <w:p>
            <w:pPr>
              <w:spacing w:after="0"/>
              <w:rPr>
                <w:sz w:val="1"/>
                <w:szCs w:val="1"/>
                <w:color w:val="auto"/>
              </w:rPr>
            </w:pPr>
          </w:p>
        </w:tc>
      </w:tr>
      <w:tr>
        <w:trPr>
          <w:trHeight w:val="203"/>
        </w:trPr>
        <w:tc>
          <w:tcPr>
            <w:tcW w:w="2600" w:type="dxa"/>
            <w:vAlign w:val="bottom"/>
            <w:tcBorders>
              <w:left w:val="single" w:sz="8" w:color="auto"/>
              <w:right w:val="single" w:sz="8" w:color="auto"/>
            </w:tcBorders>
            <w:shd w:val="clear" w:color="auto" w:fill="CCEBFF"/>
          </w:tcPr>
          <w:p>
            <w:pPr>
              <w:spacing w:after="0"/>
              <w:rPr>
                <w:sz w:val="17"/>
                <w:szCs w:val="17"/>
                <w:color w:val="auto"/>
              </w:rPr>
            </w:pPr>
          </w:p>
        </w:tc>
        <w:tc>
          <w:tcPr>
            <w:tcW w:w="6320" w:type="dxa"/>
            <w:vAlign w:val="bottom"/>
            <w:tcBorders>
              <w:right w:val="single" w:sz="8" w:color="auto"/>
            </w:tcBorders>
            <w:gridSpan w:val="7"/>
            <w:shd w:val="clear" w:color="auto" w:fill="CCEBFF"/>
          </w:tcPr>
          <w:p>
            <w:pPr>
              <w:spacing w:after="0"/>
              <w:rPr>
                <w:sz w:val="20"/>
                <w:szCs w:val="20"/>
                <w:color w:val="auto"/>
              </w:rPr>
            </w:pPr>
            <w:r>
              <w:rPr>
                <w:rFonts w:ascii="Arial" w:cs="Arial" w:eastAsia="Arial" w:hAnsi="Arial"/>
                <w:sz w:val="16"/>
                <w:szCs w:val="16"/>
                <w:color w:val="auto"/>
              </w:rPr>
              <w:t>trim to the Western U.S. Northwest had annual sales of approximately $14 million. The</w:t>
            </w:r>
          </w:p>
        </w:tc>
        <w:tc>
          <w:tcPr>
            <w:tcW w:w="0" w:type="dxa"/>
            <w:vAlign w:val="bottom"/>
          </w:tcPr>
          <w:p>
            <w:pPr>
              <w:spacing w:after="0"/>
              <w:rPr>
                <w:sz w:val="1"/>
                <w:szCs w:val="1"/>
                <w:color w:val="auto"/>
              </w:rPr>
            </w:pPr>
          </w:p>
        </w:tc>
      </w:tr>
      <w:tr>
        <w:trPr>
          <w:trHeight w:val="203"/>
        </w:trPr>
        <w:tc>
          <w:tcPr>
            <w:tcW w:w="2600" w:type="dxa"/>
            <w:vAlign w:val="bottom"/>
            <w:tcBorders>
              <w:left w:val="single" w:sz="8" w:color="auto"/>
              <w:right w:val="single" w:sz="8" w:color="auto"/>
            </w:tcBorders>
            <w:shd w:val="clear" w:color="auto" w:fill="CCEBFF"/>
          </w:tcPr>
          <w:p>
            <w:pPr>
              <w:spacing w:after="0"/>
              <w:rPr>
                <w:sz w:val="17"/>
                <w:szCs w:val="17"/>
                <w:color w:val="auto"/>
              </w:rPr>
            </w:pPr>
          </w:p>
        </w:tc>
        <w:tc>
          <w:tcPr>
            <w:tcW w:w="6320" w:type="dxa"/>
            <w:vAlign w:val="bottom"/>
            <w:tcBorders>
              <w:right w:val="single" w:sz="8" w:color="auto"/>
            </w:tcBorders>
            <w:gridSpan w:val="7"/>
            <w:shd w:val="clear" w:color="auto" w:fill="CCEBFF"/>
          </w:tcPr>
          <w:p>
            <w:pPr>
              <w:spacing w:after="0"/>
              <w:rPr>
                <w:sz w:val="20"/>
                <w:szCs w:val="20"/>
                <w:color w:val="auto"/>
              </w:rPr>
            </w:pPr>
            <w:r>
              <w:rPr>
                <w:rFonts w:ascii="Arial" w:cs="Arial" w:eastAsia="Arial" w:hAnsi="Arial"/>
                <w:sz w:val="16"/>
                <w:szCs w:val="16"/>
                <w:color w:val="auto"/>
              </w:rPr>
              <w:t>acquisition of Northwest will expand our capacity to produce coated siding and trim for</w:t>
            </w:r>
          </w:p>
        </w:tc>
        <w:tc>
          <w:tcPr>
            <w:tcW w:w="0" w:type="dxa"/>
            <w:vAlign w:val="bottom"/>
          </w:tcPr>
          <w:p>
            <w:pPr>
              <w:spacing w:after="0"/>
              <w:rPr>
                <w:sz w:val="1"/>
                <w:szCs w:val="1"/>
                <w:color w:val="auto"/>
              </w:rPr>
            </w:pPr>
          </w:p>
        </w:tc>
      </w:tr>
      <w:tr>
        <w:trPr>
          <w:trHeight w:val="219"/>
        </w:trPr>
        <w:tc>
          <w:tcPr>
            <w:tcW w:w="2600" w:type="dxa"/>
            <w:vAlign w:val="bottom"/>
            <w:tcBorders>
              <w:left w:val="single" w:sz="8" w:color="auto"/>
              <w:bottom w:val="single" w:sz="8" w:color="auto"/>
              <w:right w:val="single" w:sz="8" w:color="auto"/>
            </w:tcBorders>
            <w:shd w:val="clear" w:color="auto" w:fill="CCEBFF"/>
          </w:tcPr>
          <w:p>
            <w:pPr>
              <w:spacing w:after="0"/>
              <w:rPr>
                <w:sz w:val="19"/>
                <w:szCs w:val="19"/>
                <w:color w:val="auto"/>
              </w:rPr>
            </w:pPr>
          </w:p>
        </w:tc>
        <w:tc>
          <w:tcPr>
            <w:tcW w:w="3720" w:type="dxa"/>
            <w:vAlign w:val="bottom"/>
            <w:tcBorders>
              <w:bottom w:val="single" w:sz="8" w:color="auto"/>
            </w:tcBorders>
            <w:gridSpan w:val="3"/>
            <w:shd w:val="clear" w:color="auto" w:fill="CCEBFF"/>
          </w:tcPr>
          <w:p>
            <w:pPr>
              <w:spacing w:after="0"/>
              <w:rPr>
                <w:sz w:val="20"/>
                <w:szCs w:val="20"/>
                <w:color w:val="auto"/>
              </w:rPr>
            </w:pPr>
            <w:r>
              <w:rPr>
                <w:rFonts w:ascii="Arial" w:cs="Arial" w:eastAsia="Arial" w:hAnsi="Arial"/>
                <w:sz w:val="16"/>
                <w:szCs w:val="16"/>
                <w:color w:val="auto"/>
                <w:w w:val="93"/>
              </w:rPr>
              <w:t>customers in the Northwest and Mountain West regions.</w:t>
            </w:r>
          </w:p>
        </w:tc>
        <w:tc>
          <w:tcPr>
            <w:tcW w:w="600" w:type="dxa"/>
            <w:vAlign w:val="bottom"/>
            <w:tcBorders>
              <w:bottom w:val="single" w:sz="8" w:color="auto"/>
              <w:right w:val="single" w:sz="8" w:color="CCEBFF"/>
            </w:tcBorders>
            <w:shd w:val="clear" w:color="auto" w:fill="CCEBFF"/>
          </w:tcPr>
          <w:p>
            <w:pPr>
              <w:spacing w:after="0"/>
              <w:rPr>
                <w:sz w:val="19"/>
                <w:szCs w:val="19"/>
                <w:color w:val="auto"/>
              </w:rPr>
            </w:pPr>
          </w:p>
        </w:tc>
        <w:tc>
          <w:tcPr>
            <w:tcW w:w="380" w:type="dxa"/>
            <w:vAlign w:val="bottom"/>
            <w:tcBorders>
              <w:bottom w:val="single" w:sz="8" w:color="auto"/>
            </w:tcBorders>
            <w:shd w:val="clear" w:color="auto" w:fill="CCEBFF"/>
          </w:tcPr>
          <w:p>
            <w:pPr>
              <w:spacing w:after="0"/>
              <w:rPr>
                <w:sz w:val="19"/>
                <w:szCs w:val="19"/>
                <w:color w:val="auto"/>
              </w:rPr>
            </w:pPr>
          </w:p>
        </w:tc>
        <w:tc>
          <w:tcPr>
            <w:tcW w:w="760" w:type="dxa"/>
            <w:vAlign w:val="bottom"/>
            <w:tcBorders>
              <w:bottom w:val="single" w:sz="8" w:color="auto"/>
              <w:right w:val="single" w:sz="8" w:color="CCEBFF"/>
            </w:tcBorders>
            <w:shd w:val="clear" w:color="auto" w:fill="CCEBFF"/>
          </w:tcPr>
          <w:p>
            <w:pPr>
              <w:spacing w:after="0"/>
              <w:rPr>
                <w:sz w:val="19"/>
                <w:szCs w:val="19"/>
                <w:color w:val="auto"/>
              </w:rPr>
            </w:pPr>
          </w:p>
        </w:tc>
        <w:tc>
          <w:tcPr>
            <w:tcW w:w="860" w:type="dxa"/>
            <w:vAlign w:val="bottom"/>
            <w:tcBorders>
              <w:bottom w:val="single" w:sz="8" w:color="auto"/>
              <w:right w:val="single" w:sz="8" w:color="auto"/>
            </w:tcBorders>
            <w:shd w:val="clear" w:color="auto" w:fill="CCEBFF"/>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600" w:type="dxa"/>
            <w:vAlign w:val="bottom"/>
            <w:tcBorders>
              <w:left w:val="single" w:sz="8" w:color="auto"/>
              <w:right w:val="single" w:sz="8" w:color="auto"/>
            </w:tcBorders>
          </w:tcPr>
          <w:p>
            <w:pPr>
              <w:spacing w:after="0"/>
              <w:rPr>
                <w:sz w:val="16"/>
                <w:szCs w:val="16"/>
                <w:color w:val="auto"/>
              </w:rPr>
            </w:pPr>
          </w:p>
        </w:tc>
        <w:tc>
          <w:tcPr>
            <w:tcW w:w="1420" w:type="dxa"/>
            <w:vAlign w:val="bottom"/>
            <w:tcBorders>
              <w:right w:val="single" w:sz="8" w:color="auto"/>
            </w:tcBorders>
          </w:tcPr>
          <w:p>
            <w:pPr>
              <w:spacing w:after="0"/>
              <w:rPr>
                <w:sz w:val="16"/>
                <w:szCs w:val="16"/>
                <w:color w:val="auto"/>
              </w:rPr>
            </w:pP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$7,168</w:t>
            </w:r>
          </w:p>
        </w:tc>
        <w:tc>
          <w:tcPr>
            <w:tcW w:w="540" w:type="dxa"/>
            <w:vAlign w:val="bottom"/>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2600" w:type="dxa"/>
            <w:vAlign w:val="bottom"/>
            <w:tcBorders>
              <w:left w:val="single" w:sz="8" w:color="auto"/>
              <w:right w:val="single" w:sz="8" w:color="auto"/>
            </w:tcBorders>
          </w:tcPr>
          <w:p>
            <w:pPr>
              <w:spacing w:after="0"/>
              <w:rPr>
                <w:sz w:val="21"/>
                <w:szCs w:val="21"/>
                <w:color w:val="auto"/>
              </w:rPr>
            </w:pP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May 1, 2019</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0"/>
              </w:rPr>
              <w:t>cash paid for 100% asset</w:t>
            </w:r>
          </w:p>
        </w:tc>
        <w:tc>
          <w:tcPr>
            <w:tcW w:w="540" w:type="dxa"/>
            <w:vAlign w:val="bottom"/>
          </w:tcPr>
          <w:p>
            <w:pPr>
              <w:jc w:val="right"/>
              <w:ind w:right="384"/>
              <w:spacing w:after="0"/>
              <w:rPr>
                <w:sz w:val="20"/>
                <w:szCs w:val="20"/>
                <w:color w:val="auto"/>
              </w:rPr>
            </w:pPr>
            <w:r>
              <w:rPr>
                <w:rFonts w:ascii="Arial" w:cs="Arial" w:eastAsia="Arial" w:hAnsi="Arial"/>
                <w:sz w:val="15"/>
                <w:szCs w:val="15"/>
                <w:color w:val="auto"/>
                <w:w w:val="71"/>
              </w:rPr>
              <w:t>$</w:t>
            </w:r>
          </w:p>
        </w:tc>
        <w:tc>
          <w:tcPr>
            <w:tcW w:w="6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6,180</w:t>
            </w:r>
          </w:p>
        </w:tc>
        <w:tc>
          <w:tcPr>
            <w:tcW w:w="380" w:type="dxa"/>
            <w:vAlign w:val="bottom"/>
          </w:tcPr>
          <w:p>
            <w:pPr>
              <w:jc w:val="right"/>
              <w:ind w:right="224"/>
              <w:spacing w:after="0"/>
              <w:rPr>
                <w:sz w:val="20"/>
                <w:szCs w:val="20"/>
                <w:color w:val="auto"/>
              </w:rPr>
            </w:pPr>
            <w:r>
              <w:rPr>
                <w:rFonts w:ascii="Arial" w:cs="Arial" w:eastAsia="Arial" w:hAnsi="Arial"/>
                <w:sz w:val="15"/>
                <w:szCs w:val="15"/>
                <w:color w:val="auto"/>
                <w:w w:val="71"/>
              </w:rPr>
              <w:t>$</w:t>
            </w:r>
          </w:p>
        </w:tc>
        <w:tc>
          <w:tcPr>
            <w:tcW w:w="7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988</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5"/>
              </w:rPr>
              <w:t>Industrial</w:t>
            </w:r>
          </w:p>
        </w:tc>
        <w:tc>
          <w:tcPr>
            <w:tcW w:w="0" w:type="dxa"/>
            <w:vAlign w:val="bottom"/>
          </w:tcPr>
          <w:p>
            <w:pPr>
              <w:spacing w:after="0"/>
              <w:rPr>
                <w:sz w:val="1"/>
                <w:szCs w:val="1"/>
                <w:color w:val="auto"/>
              </w:rPr>
            </w:pPr>
          </w:p>
        </w:tc>
      </w:tr>
      <w:tr>
        <w:trPr>
          <w:trHeight w:val="152"/>
        </w:trPr>
        <w:tc>
          <w:tcPr>
            <w:tcW w:w="2600" w:type="dxa"/>
            <w:vAlign w:val="bottom"/>
            <w:tcBorders>
              <w:left w:val="single" w:sz="8" w:color="auto"/>
              <w:right w:val="single" w:sz="8" w:color="auto"/>
            </w:tcBorders>
          </w:tcPr>
          <w:p>
            <w:pPr>
              <w:spacing w:after="0"/>
              <w:rPr>
                <w:sz w:val="13"/>
                <w:szCs w:val="13"/>
                <w:color w:val="auto"/>
              </w:rPr>
            </w:pPr>
          </w:p>
        </w:tc>
        <w:tc>
          <w:tcPr>
            <w:tcW w:w="1420" w:type="dxa"/>
            <w:vAlign w:val="bottom"/>
            <w:tcBorders>
              <w:right w:val="single" w:sz="8" w:color="auto"/>
            </w:tcBorders>
          </w:tcPr>
          <w:p>
            <w:pPr>
              <w:spacing w:after="0"/>
              <w:rPr>
                <w:sz w:val="13"/>
                <w:szCs w:val="13"/>
                <w:color w:val="auto"/>
              </w:rPr>
            </w:pPr>
          </w:p>
        </w:tc>
        <w:tc>
          <w:tcPr>
            <w:tcW w:w="1760" w:type="dxa"/>
            <w:vAlign w:val="bottom"/>
            <w:tcBorders>
              <w:right w:val="single" w:sz="8" w:color="auto"/>
            </w:tcBorders>
          </w:tcPr>
          <w:p>
            <w:pPr>
              <w:jc w:val="center"/>
              <w:spacing w:after="0" w:line="152" w:lineRule="exact"/>
              <w:rPr>
                <w:sz w:val="20"/>
                <w:szCs w:val="20"/>
                <w:color w:val="auto"/>
              </w:rPr>
            </w:pPr>
            <w:r>
              <w:rPr>
                <w:rFonts w:ascii="Arial" w:cs="Arial" w:eastAsia="Arial" w:hAnsi="Arial"/>
                <w:sz w:val="16"/>
                <w:szCs w:val="16"/>
                <w:color w:val="auto"/>
                <w:w w:val="87"/>
              </w:rPr>
              <w:t>purchase and estimated</w:t>
            </w:r>
          </w:p>
        </w:tc>
        <w:tc>
          <w:tcPr>
            <w:tcW w:w="540" w:type="dxa"/>
            <w:vAlign w:val="bottom"/>
          </w:tcPr>
          <w:p>
            <w:pPr>
              <w:spacing w:after="0"/>
              <w:rPr>
                <w:sz w:val="13"/>
                <w:szCs w:val="13"/>
                <w:color w:val="auto"/>
              </w:rPr>
            </w:pPr>
          </w:p>
        </w:tc>
        <w:tc>
          <w:tcPr>
            <w:tcW w:w="600" w:type="dxa"/>
            <w:vAlign w:val="bottom"/>
            <w:tcBorders>
              <w:right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26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2"/>
              </w:rPr>
              <w:t>Wolverine Wood Products, Inc.</w:t>
            </w:r>
          </w:p>
        </w:tc>
        <w:tc>
          <w:tcPr>
            <w:tcW w:w="1420" w:type="dxa"/>
            <w:vAlign w:val="bottom"/>
            <w:tcBorders>
              <w:bottom w:val="single" w:sz="8" w:color="auto"/>
              <w:right w:val="single" w:sz="8" w:color="auto"/>
            </w:tcBorders>
          </w:tcPr>
          <w:p>
            <w:pPr>
              <w:spacing w:after="0"/>
              <w:rPr>
                <w:sz w:val="17"/>
                <w:szCs w:val="17"/>
                <w:color w:val="auto"/>
              </w:rPr>
            </w:pP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contingent consideration</w:t>
            </w:r>
          </w:p>
        </w:tc>
        <w:tc>
          <w:tcPr>
            <w:tcW w:w="540" w:type="dxa"/>
            <w:vAlign w:val="bottom"/>
            <w:tcBorders>
              <w:bottom w:val="single" w:sz="8" w:color="auto"/>
            </w:tcBorders>
          </w:tcPr>
          <w:p>
            <w:pPr>
              <w:spacing w:after="0"/>
              <w:rPr>
                <w:sz w:val="17"/>
                <w:szCs w:val="17"/>
                <w:color w:val="auto"/>
              </w:rPr>
            </w:pPr>
          </w:p>
        </w:tc>
        <w:tc>
          <w:tcPr>
            <w:tcW w:w="600" w:type="dxa"/>
            <w:vAlign w:val="bottom"/>
            <w:tcBorders>
              <w:bottom w:val="single" w:sz="8" w:color="auto"/>
              <w:right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6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2600" w:type="dxa"/>
            <w:vAlign w:val="bottom"/>
            <w:tcBorders>
              <w:left w:val="single" w:sz="8" w:color="auto"/>
              <w:right w:val="single" w:sz="8" w:color="auto"/>
            </w:tcBorders>
            <w:vMerge w:val="continue"/>
          </w:tcPr>
          <w:p>
            <w:pPr>
              <w:spacing w:after="0"/>
              <w:rPr>
                <w:sz w:val="15"/>
                <w:szCs w:val="15"/>
                <w:color w:val="auto"/>
              </w:rPr>
            </w:pPr>
          </w:p>
        </w:tc>
        <w:tc>
          <w:tcPr>
            <w:tcW w:w="6320" w:type="dxa"/>
            <w:vAlign w:val="bottom"/>
            <w:tcBorders>
              <w:right w:val="single" w:sz="8" w:color="auto"/>
            </w:tcBorders>
            <w:gridSpan w:val="7"/>
          </w:tcPr>
          <w:p>
            <w:pPr>
              <w:spacing w:after="0" w:line="179" w:lineRule="exact"/>
              <w:rPr>
                <w:sz w:val="20"/>
                <w:szCs w:val="20"/>
                <w:color w:val="auto"/>
              </w:rPr>
            </w:pPr>
            <w:r>
              <w:rPr>
                <w:rFonts w:ascii="Arial" w:cs="Arial" w:eastAsia="Arial" w:hAnsi="Arial"/>
                <w:sz w:val="16"/>
                <w:szCs w:val="16"/>
                <w:color w:val="auto"/>
              </w:rPr>
              <w:t>A manufacturer of wood panel components for furniture, store fixtures and case goods</w:t>
            </w:r>
          </w:p>
        </w:tc>
        <w:tc>
          <w:tcPr>
            <w:tcW w:w="0" w:type="dxa"/>
            <w:vAlign w:val="bottom"/>
          </w:tcPr>
          <w:p>
            <w:pPr>
              <w:spacing w:after="0"/>
              <w:rPr>
                <w:sz w:val="1"/>
                <w:szCs w:val="1"/>
                <w:color w:val="auto"/>
              </w:rPr>
            </w:pPr>
          </w:p>
        </w:tc>
      </w:tr>
      <w:tr>
        <w:trPr>
          <w:trHeight w:val="216"/>
        </w:trPr>
        <w:tc>
          <w:tcPr>
            <w:tcW w:w="26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("Wolverine")</w:t>
            </w:r>
          </w:p>
        </w:tc>
        <w:tc>
          <w:tcPr>
            <w:tcW w:w="6320" w:type="dxa"/>
            <w:vAlign w:val="bottom"/>
            <w:tcBorders>
              <w:right w:val="single" w:sz="8" w:color="auto"/>
            </w:tcBorders>
            <w:gridSpan w:val="7"/>
          </w:tcPr>
          <w:p>
            <w:pPr>
              <w:spacing w:after="0"/>
              <w:rPr>
                <w:sz w:val="20"/>
                <w:szCs w:val="20"/>
                <w:color w:val="auto"/>
              </w:rPr>
            </w:pPr>
            <w:r>
              <w:rPr>
                <w:rFonts w:ascii="Arial" w:cs="Arial" w:eastAsia="Arial" w:hAnsi="Arial"/>
                <w:sz w:val="16"/>
                <w:szCs w:val="16"/>
                <w:color w:val="auto"/>
                <w:w w:val="98"/>
              </w:rPr>
              <w:t>manufacturers. Wolverine had annual sales of approximately $5 million. The acquisition of</w:t>
            </w:r>
          </w:p>
        </w:tc>
        <w:tc>
          <w:tcPr>
            <w:tcW w:w="0" w:type="dxa"/>
            <w:vAlign w:val="bottom"/>
          </w:tcPr>
          <w:p>
            <w:pPr>
              <w:spacing w:after="0"/>
              <w:rPr>
                <w:sz w:val="1"/>
                <w:szCs w:val="1"/>
                <w:color w:val="auto"/>
              </w:rPr>
            </w:pPr>
          </w:p>
        </w:tc>
      </w:tr>
      <w:tr>
        <w:trPr>
          <w:trHeight w:val="203"/>
        </w:trPr>
        <w:tc>
          <w:tcPr>
            <w:tcW w:w="2600" w:type="dxa"/>
            <w:vAlign w:val="bottom"/>
            <w:tcBorders>
              <w:left w:val="single" w:sz="8" w:color="auto"/>
              <w:right w:val="single" w:sz="8" w:color="auto"/>
            </w:tcBorders>
          </w:tcPr>
          <w:p>
            <w:pPr>
              <w:spacing w:after="0"/>
              <w:rPr>
                <w:sz w:val="17"/>
                <w:szCs w:val="17"/>
                <w:color w:val="auto"/>
              </w:rPr>
            </w:pPr>
          </w:p>
        </w:tc>
        <w:tc>
          <w:tcPr>
            <w:tcW w:w="6320" w:type="dxa"/>
            <w:vAlign w:val="bottom"/>
            <w:tcBorders>
              <w:right w:val="single" w:sz="8" w:color="auto"/>
            </w:tcBorders>
            <w:gridSpan w:val="7"/>
          </w:tcPr>
          <w:p>
            <w:pPr>
              <w:spacing w:after="0"/>
              <w:rPr>
                <w:sz w:val="20"/>
                <w:szCs w:val="20"/>
                <w:color w:val="auto"/>
              </w:rPr>
            </w:pPr>
            <w:r>
              <w:rPr>
                <w:rFonts w:ascii="Arial" w:cs="Arial" w:eastAsia="Arial" w:hAnsi="Arial"/>
                <w:sz w:val="16"/>
                <w:szCs w:val="16"/>
                <w:color w:val="auto"/>
                <w:w w:val="91"/>
              </w:rPr>
              <w:t>Wolverine allows us to expand capacity to produce value-added wood components for customers</w:t>
            </w:r>
          </w:p>
        </w:tc>
        <w:tc>
          <w:tcPr>
            <w:tcW w:w="0" w:type="dxa"/>
            <w:vAlign w:val="bottom"/>
          </w:tcPr>
          <w:p>
            <w:pPr>
              <w:spacing w:after="0"/>
              <w:rPr>
                <w:sz w:val="1"/>
                <w:szCs w:val="1"/>
                <w:color w:val="auto"/>
              </w:rPr>
            </w:pPr>
          </w:p>
        </w:tc>
      </w:tr>
      <w:tr>
        <w:trPr>
          <w:trHeight w:val="219"/>
        </w:trPr>
        <w:tc>
          <w:tcPr>
            <w:tcW w:w="2600" w:type="dxa"/>
            <w:vAlign w:val="bottom"/>
            <w:tcBorders>
              <w:left w:val="single" w:sz="8" w:color="auto"/>
              <w:bottom w:val="single" w:sz="8" w:color="auto"/>
              <w:right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in the Midwest.</w:t>
            </w:r>
          </w:p>
        </w:tc>
        <w:tc>
          <w:tcPr>
            <w:tcW w:w="17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8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0" w:right="79" w:firstLine="648"/>
        <w:spacing w:after="0" w:line="259" w:lineRule="auto"/>
        <w:rPr>
          <w:sz w:val="20"/>
          <w:szCs w:val="20"/>
          <w:color w:val="auto"/>
        </w:rPr>
      </w:pPr>
      <w:r>
        <w:rPr>
          <w:rFonts w:ascii="Arial" w:cs="Arial" w:eastAsia="Arial" w:hAnsi="Arial"/>
          <w:sz w:val="18"/>
          <w:szCs w:val="18"/>
          <w:color w:val="auto"/>
        </w:rPr>
        <w:t>The intangible assets for each acquisition were finalized and allocated to their respective identifiable intangible asset and goodwill accounts during 2020, except for our 2020 acquisitions. In aggregate, acquisitions made during 2020, not consolidated with other operations, contributed approximately $37.0 million in net sales and $2.4 million in operating profit during 2020.</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0" w:name="page111"/>
    <w:bookmarkEnd w:id="1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right="79" w:firstLine="648"/>
        <w:spacing w:after="0" w:line="277" w:lineRule="auto"/>
        <w:rPr>
          <w:sz w:val="20"/>
          <w:szCs w:val="20"/>
          <w:color w:val="auto"/>
        </w:rPr>
      </w:pPr>
      <w:r>
        <w:rPr>
          <w:rFonts w:ascii="Arial" w:cs="Arial" w:eastAsia="Arial" w:hAnsi="Arial"/>
          <w:sz w:val="18"/>
          <w:szCs w:val="18"/>
          <w:color w:val="auto"/>
        </w:rPr>
        <w:t>At December 26, 2020, the amounts assigned to major intangible classes for the business combinations mentioned above are as follows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Non-</w:t>
            </w:r>
          </w:p>
        </w:tc>
        <w:tc>
          <w:tcPr>
            <w:tcW w:w="100" w:type="dxa"/>
            <w:vAlign w:val="bottom"/>
          </w:tcPr>
          <w:p>
            <w:pPr>
              <w:spacing w:after="0"/>
              <w:rPr>
                <w:sz w:val="14"/>
                <w:szCs w:val="14"/>
                <w:color w:val="auto"/>
              </w:rPr>
            </w:pPr>
          </w:p>
        </w:tc>
        <w:tc>
          <w:tcPr>
            <w:tcW w:w="74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w w:val="91"/>
              </w:rPr>
              <w:t>Customer</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Intangibles -</w:t>
            </w: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Compete</w:t>
            </w:r>
          </w:p>
        </w:tc>
        <w:tc>
          <w:tcPr>
            <w:tcW w:w="1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0"/>
              </w:rPr>
              <w:t>Tradename</w:t>
            </w:r>
          </w:p>
        </w:tc>
        <w:tc>
          <w:tcPr>
            <w:tcW w:w="10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8"/>
              </w:rPr>
              <w:t>Goodwill</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center"/>
              <w:ind w:right="72"/>
              <w:spacing w:after="0" w:line="149" w:lineRule="exact"/>
              <w:rPr>
                <w:sz w:val="20"/>
                <w:szCs w:val="20"/>
                <w:color w:val="auto"/>
              </w:rPr>
            </w:pPr>
            <w:r>
              <w:rPr>
                <w:rFonts w:ascii="Arial" w:cs="Arial" w:eastAsia="Arial" w:hAnsi="Arial"/>
                <w:sz w:val="14"/>
                <w:szCs w:val="14"/>
                <w:b w:val="1"/>
                <w:bCs w:val="1"/>
                <w:color w:val="auto"/>
                <w:w w:val="90"/>
              </w:rPr>
              <w:t>Tax</w:t>
            </w:r>
          </w:p>
        </w:tc>
        <w:tc>
          <w:tcPr>
            <w:tcW w:w="0" w:type="dxa"/>
            <w:vAlign w:val="bottom"/>
          </w:tcPr>
          <w:p>
            <w:pPr>
              <w:spacing w:after="0"/>
              <w:rPr>
                <w:sz w:val="1"/>
                <w:szCs w:val="1"/>
                <w:color w:val="auto"/>
              </w:rPr>
            </w:pPr>
          </w:p>
        </w:tc>
      </w:tr>
      <w:tr>
        <w:trPr>
          <w:trHeight w:val="178"/>
        </w:trPr>
        <w:tc>
          <w:tcPr>
            <w:tcW w:w="4740" w:type="dxa"/>
            <w:vAlign w:val="bottom"/>
          </w:tcPr>
          <w:p>
            <w:pPr>
              <w:spacing w:after="0"/>
              <w:rPr>
                <w:sz w:val="15"/>
                <w:szCs w:val="15"/>
                <w:color w:val="auto"/>
              </w:rPr>
            </w:pPr>
          </w:p>
        </w:tc>
        <w:tc>
          <w:tcPr>
            <w:tcW w:w="8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Agreements</w:t>
            </w: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w w:val="89"/>
              </w:rPr>
              <w:t>Relationships</w:t>
            </w:r>
          </w:p>
        </w:tc>
        <w:tc>
          <w:tcPr>
            <w:tcW w:w="14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Deductible</w:t>
            </w:r>
          </w:p>
        </w:tc>
        <w:tc>
          <w:tcPr>
            <w:tcW w:w="0" w:type="dxa"/>
            <w:vAlign w:val="bottom"/>
          </w:tcPr>
          <w:p>
            <w:pPr>
              <w:spacing w:after="0"/>
              <w:rPr>
                <w:sz w:val="1"/>
                <w:szCs w:val="1"/>
                <w:color w:val="auto"/>
              </w:rPr>
            </w:pPr>
          </w:p>
        </w:tc>
      </w:tr>
      <w:tr>
        <w:trPr>
          <w:trHeight w:val="216"/>
        </w:trPr>
        <w:tc>
          <w:tcPr>
            <w:tcW w:w="4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Atlantic Prefab</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2,684</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$ 2,684</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5,368</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Exterior Designs</w:t>
            </w:r>
          </w:p>
        </w:tc>
        <w:tc>
          <w:tcPr>
            <w:tcW w:w="100" w:type="dxa"/>
            <w:vAlign w:val="bottom"/>
          </w:tcPr>
          <w:p>
            <w:pPr>
              <w:spacing w:after="0"/>
              <w:rPr>
                <w:sz w:val="18"/>
                <w:szCs w:val="18"/>
                <w:color w:val="auto"/>
              </w:rPr>
            </w:pPr>
          </w:p>
        </w:tc>
        <w:tc>
          <w:tcPr>
            <w:tcW w:w="7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4,294</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4,294</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8,588</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Patriot Building Systems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1,968</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1,971</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3,939</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FRCT</w:t>
            </w:r>
          </w:p>
        </w:tc>
        <w:tc>
          <w:tcPr>
            <w:tcW w:w="100" w:type="dxa"/>
            <w:vAlign w:val="bottom"/>
          </w:tcPr>
          <w:p>
            <w:pPr>
              <w:spacing w:after="0"/>
              <w:rPr>
                <w:sz w:val="18"/>
                <w:szCs w:val="18"/>
                <w:color w:val="auto"/>
              </w:rPr>
            </w:pPr>
          </w:p>
        </w:tc>
        <w:tc>
          <w:tcPr>
            <w:tcW w:w="7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3,579</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3,643</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7,222</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Enwrap</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3,582</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4,441</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8,023</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T&amp;R</w:t>
            </w:r>
          </w:p>
        </w:tc>
        <w:tc>
          <w:tcPr>
            <w:tcW w:w="100" w:type="dxa"/>
            <w:vAlign w:val="bottom"/>
          </w:tcPr>
          <w:p>
            <w:pPr>
              <w:spacing w:after="0"/>
              <w:rPr>
                <w:sz w:val="18"/>
                <w:szCs w:val="18"/>
                <w:color w:val="auto"/>
              </w:rPr>
            </w:pPr>
          </w:p>
        </w:tc>
        <w:tc>
          <w:tcPr>
            <w:tcW w:w="7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6,549</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6,549</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13,098</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Quest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9,145</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9,953</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19,098</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Pallet USA</w:t>
            </w:r>
          </w:p>
        </w:tc>
        <w:tc>
          <w:tcPr>
            <w:tcW w:w="100" w:type="dxa"/>
            <w:vAlign w:val="bottom"/>
          </w:tcPr>
          <w:p>
            <w:pPr>
              <w:spacing w:after="0"/>
              <w:rPr>
                <w:sz w:val="18"/>
                <w:szCs w:val="18"/>
                <w:color w:val="auto"/>
              </w:rPr>
            </w:pPr>
          </w:p>
        </w:tc>
        <w:tc>
          <w:tcPr>
            <w:tcW w:w="7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1,409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1,909</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4,146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7,464</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Northwest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8,290</w:t>
            </w:r>
          </w:p>
        </w:tc>
        <w:tc>
          <w:tcPr>
            <w:tcW w:w="0" w:type="dxa"/>
            <w:vAlign w:val="bottom"/>
          </w:tcPr>
          <w:p>
            <w:pPr>
              <w:spacing w:after="0"/>
              <w:rPr>
                <w:sz w:val="1"/>
                <w:szCs w:val="1"/>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Wolverine</w:t>
            </w:r>
          </w:p>
        </w:tc>
        <w:tc>
          <w:tcPr>
            <w:tcW w:w="100" w:type="dxa"/>
            <w:vAlign w:val="bottom"/>
          </w:tcPr>
          <w:p>
            <w:pPr>
              <w:spacing w:after="0"/>
              <w:rPr>
                <w:sz w:val="20"/>
                <w:szCs w:val="20"/>
                <w:color w:val="auto"/>
              </w:rPr>
            </w:pPr>
          </w:p>
        </w:tc>
        <w:tc>
          <w:tcPr>
            <w:tcW w:w="7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3,209</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865</w:t>
            </w: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2,106</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6,180</w:t>
            </w:r>
          </w:p>
        </w:tc>
        <w:tc>
          <w:tcPr>
            <w:tcW w:w="0" w:type="dxa"/>
            <w:vAlign w:val="bottom"/>
          </w:tcPr>
          <w:p>
            <w:pPr>
              <w:spacing w:after="0"/>
              <w:rPr>
                <w:sz w:val="1"/>
                <w:szCs w:val="1"/>
                <w:color w:val="auto"/>
              </w:rPr>
            </w:pPr>
          </w:p>
        </w:tc>
      </w:tr>
    </w:tbl>
    <w:p>
      <w:pPr>
        <w:spacing w:after="0" w:line="34" w:lineRule="exact"/>
        <w:rPr>
          <w:sz w:val="20"/>
          <w:szCs w:val="20"/>
          <w:color w:val="auto"/>
        </w:rPr>
      </w:pPr>
    </w:p>
    <w:p>
      <w:pPr>
        <w:ind w:left="60"/>
        <w:spacing w:after="0"/>
        <w:rPr>
          <w:sz w:val="20"/>
          <w:szCs w:val="20"/>
          <w:color w:val="auto"/>
        </w:rPr>
      </w:pPr>
      <w:r>
        <w:rPr>
          <w:rFonts w:ascii="Arial" w:cs="Arial" w:eastAsia="Arial" w:hAnsi="Arial"/>
          <w:sz w:val="14"/>
          <w:szCs w:val="14"/>
          <w:color w:val="auto"/>
        </w:rPr>
        <w:t>*(estimate)</w:t>
      </w:r>
    </w:p>
    <w:p>
      <w:pPr>
        <w:spacing w:after="0" w:line="140" w:lineRule="exact"/>
        <w:rPr>
          <w:sz w:val="20"/>
          <w:szCs w:val="20"/>
          <w:color w:val="auto"/>
        </w:rPr>
      </w:pPr>
    </w:p>
    <w:p>
      <w:pPr>
        <w:ind w:left="60" w:right="59" w:firstLine="648"/>
        <w:spacing w:after="0" w:line="277" w:lineRule="auto"/>
        <w:rPr>
          <w:sz w:val="20"/>
          <w:szCs w:val="20"/>
          <w:color w:val="auto"/>
        </w:rPr>
      </w:pPr>
      <w:r>
        <w:rPr>
          <w:rFonts w:ascii="Arial" w:cs="Arial" w:eastAsia="Arial" w:hAnsi="Arial"/>
          <w:sz w:val="18"/>
          <w:szCs w:val="18"/>
          <w:color w:val="auto"/>
        </w:rPr>
        <w:t>The business combinations mentioned above were not significant to our operating results individually or in aggregate, and thus pro forma results for 2020 and 2019 are not presented.</w:t>
      </w:r>
    </w:p>
    <w:p>
      <w:pPr>
        <w:spacing w:after="0" w:line="166" w:lineRule="exact"/>
        <w:rPr>
          <w:sz w:val="20"/>
          <w:szCs w:val="20"/>
          <w:color w:val="auto"/>
        </w:rPr>
      </w:pPr>
    </w:p>
    <w:p>
      <w:pPr>
        <w:ind w:left="700" w:hanging="650"/>
        <w:spacing w:after="0"/>
        <w:tabs>
          <w:tab w:leader="none" w:pos="70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GOODWILL AND OTHER INTANGIBLE ASSETS</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As described in Note M — Segment Reporting, we re-organized around the markets we serve rather than geography and therefore changed our segment structure effective January 1, 2020. As a result, we allocated goodwill to the new segments using a relative fair value approach. In addition, we completed an assessment of any potential goodwill impairment for all reporting units immediately prior to the reallocation and determined that no impairment existed. Further, we have recast the goodwill and indefinite-lived intangible asset tables for the new segment structure. The changes in the net carrying amount of goodwill by reporting segment for the years ended December 26, 2020 and December 28, 2019, are as follows (in thousands):</w:t>
      </w:r>
    </w:p>
    <w:p>
      <w:pPr>
        <w:spacing w:after="0" w:line="200" w:lineRule="exact"/>
        <w:rPr>
          <w:sz w:val="20"/>
          <w:szCs w:val="20"/>
          <w:color w:val="auto"/>
        </w:rPr>
      </w:pPr>
    </w:p>
    <w:tbl>
      <w:tblPr>
        <w:tblLayout w:type="fixed"/>
        <w:tblInd w:w="60" w:type="dxa"/>
        <w:tblCellMar>
          <w:top w:w="0" w:type="dxa"/>
          <w:left w:w="0" w:type="dxa"/>
          <w:bottom w:w="0" w:type="dxa"/>
          <w:right w:w="0" w:type="dxa"/>
        </w:tblCellMar>
      </w:tblPr>
      <w:tr>
        <w:trPr>
          <w:trHeight w:val="178"/>
        </w:trPr>
        <w:tc>
          <w:tcPr>
            <w:tcW w:w="38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jc w:val="right"/>
              <w:ind w:right="93"/>
              <w:spacing w:after="0"/>
              <w:rPr>
                <w:sz w:val="20"/>
                <w:szCs w:val="20"/>
                <w:color w:val="auto"/>
              </w:rPr>
            </w:pPr>
            <w:r>
              <w:rPr>
                <w:rFonts w:ascii="Arial" w:cs="Arial" w:eastAsia="Arial" w:hAnsi="Arial"/>
                <w:sz w:val="14"/>
                <w:szCs w:val="14"/>
                <w:b w:val="1"/>
                <w:bCs w:val="1"/>
                <w:color w:val="auto"/>
              </w:rPr>
              <w:t>Retail</w:t>
            </w: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Industrial</w:t>
            </w:r>
          </w:p>
        </w:tc>
        <w:tc>
          <w:tcPr>
            <w:tcW w:w="960" w:type="dxa"/>
            <w:vAlign w:val="bottom"/>
            <w:gridSpan w:val="3"/>
          </w:tcPr>
          <w:p>
            <w:pPr>
              <w:ind w:left="140"/>
              <w:spacing w:after="0"/>
              <w:rPr>
                <w:sz w:val="20"/>
                <w:szCs w:val="20"/>
                <w:color w:val="auto"/>
              </w:rPr>
            </w:pPr>
            <w:r>
              <w:rPr>
                <w:rFonts w:ascii="Arial" w:cs="Arial" w:eastAsia="Arial" w:hAnsi="Arial"/>
                <w:sz w:val="14"/>
                <w:szCs w:val="14"/>
                <w:b w:val="1"/>
                <w:bCs w:val="1"/>
                <w:color w:val="auto"/>
                <w:w w:val="91"/>
              </w:rPr>
              <w:t>Construction</w:t>
            </w:r>
          </w:p>
        </w:tc>
        <w:tc>
          <w:tcPr>
            <w:tcW w:w="14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rPr>
              <w:t>All Other</w:t>
            </w:r>
          </w:p>
        </w:tc>
        <w:tc>
          <w:tcPr>
            <w:tcW w:w="920" w:type="dxa"/>
            <w:vAlign w:val="bottom"/>
            <w:gridSpan w:val="4"/>
          </w:tcPr>
          <w:p>
            <w:pPr>
              <w:ind w:left="140"/>
              <w:spacing w:after="0"/>
              <w:rPr>
                <w:sz w:val="20"/>
                <w:szCs w:val="20"/>
                <w:color w:val="auto"/>
              </w:rPr>
            </w:pPr>
            <w:r>
              <w:rPr>
                <w:rFonts w:ascii="Arial" w:cs="Arial" w:eastAsia="Arial" w:hAnsi="Arial"/>
                <w:sz w:val="14"/>
                <w:szCs w:val="14"/>
                <w:b w:val="1"/>
                <w:bCs w:val="1"/>
                <w:color w:val="auto"/>
              </w:rPr>
              <w:t>Corporate</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ind w:right="172"/>
              <w:spacing w:after="0"/>
              <w:rPr>
                <w:sz w:val="20"/>
                <w:szCs w:val="20"/>
                <w:color w:val="auto"/>
              </w:rPr>
            </w:pPr>
            <w:r>
              <w:rPr>
                <w:rFonts w:ascii="Arial" w:cs="Arial" w:eastAsia="Arial" w:hAnsi="Arial"/>
                <w:sz w:val="14"/>
                <w:szCs w:val="14"/>
                <w:b w:val="1"/>
                <w:bCs w:val="1"/>
                <w:color w:val="auto"/>
              </w:rPr>
              <w:t>Total</w:t>
            </w:r>
          </w:p>
        </w:tc>
      </w:tr>
      <w:tr>
        <w:trPr>
          <w:trHeight w:val="216"/>
        </w:trPr>
        <w:tc>
          <w:tcPr>
            <w:tcW w:w="33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as of December 29, 2018</w:t>
            </w:r>
          </w:p>
        </w:tc>
        <w:tc>
          <w:tcPr>
            <w:tcW w:w="4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$ 55,509</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$ 78,646</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82,728</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7,234</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224,117</w:t>
            </w: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w w:val="89"/>
              </w:rPr>
              <w:t>2019</w:t>
            </w:r>
          </w:p>
        </w:tc>
        <w:tc>
          <w:tcPr>
            <w:tcW w:w="2940" w:type="dxa"/>
            <w:vAlign w:val="bottom"/>
          </w:tcPr>
          <w:p>
            <w:pPr>
              <w:ind w:left="20"/>
              <w:spacing w:after="0"/>
              <w:rPr>
                <w:sz w:val="20"/>
                <w:szCs w:val="20"/>
                <w:color w:val="auto"/>
              </w:rPr>
            </w:pPr>
            <w:r>
              <w:rPr>
                <w:rFonts w:ascii="Arial" w:cs="Arial" w:eastAsia="Arial" w:hAnsi="Arial"/>
                <w:sz w:val="18"/>
                <w:szCs w:val="18"/>
                <w:color w:val="auto"/>
              </w:rPr>
              <w:t>Acquisitions</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2,589</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6,250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8,839</w:t>
            </w:r>
          </w:p>
        </w:tc>
      </w:tr>
      <w:tr>
        <w:trPr>
          <w:trHeight w:val="216"/>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2019</w:t>
            </w:r>
          </w:p>
        </w:tc>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 Accounting Adjustments</w:t>
            </w: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(3,620)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(3,620)</w:t>
            </w:r>
          </w:p>
        </w:tc>
      </w:tr>
      <w:tr>
        <w:trPr>
          <w:trHeight w:val="223"/>
        </w:trPr>
        <w:tc>
          <w:tcPr>
            <w:tcW w:w="3320" w:type="dxa"/>
            <w:vAlign w:val="bottom"/>
            <w:gridSpan w:val="2"/>
          </w:tcPr>
          <w:p>
            <w:pPr>
              <w:spacing w:after="0"/>
              <w:rPr>
                <w:sz w:val="20"/>
                <w:szCs w:val="20"/>
                <w:color w:val="auto"/>
              </w:rPr>
            </w:pPr>
            <w:r>
              <w:rPr>
                <w:rFonts w:ascii="Arial" w:cs="Arial" w:eastAsia="Arial" w:hAnsi="Arial"/>
                <w:sz w:val="18"/>
                <w:szCs w:val="18"/>
                <w:color w:val="auto"/>
              </w:rPr>
              <w:t>Foreign Exchange, Net</w:t>
            </w: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16"/>
        </w:trPr>
        <w:tc>
          <w:tcPr>
            <w:tcW w:w="33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as of December 28, 2019</w:t>
            </w:r>
          </w:p>
        </w:tc>
        <w:tc>
          <w:tcPr>
            <w:tcW w:w="4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58,098</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81,276</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82,911</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7,251</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229,536</w:t>
            </w: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w w:val="89"/>
              </w:rPr>
              <w:t>2020</w:t>
            </w:r>
          </w:p>
        </w:tc>
        <w:tc>
          <w:tcPr>
            <w:tcW w:w="2940" w:type="dxa"/>
            <w:vAlign w:val="bottom"/>
          </w:tcPr>
          <w:p>
            <w:pPr>
              <w:ind w:left="20"/>
              <w:spacing w:after="0"/>
              <w:rPr>
                <w:sz w:val="20"/>
                <w:szCs w:val="20"/>
                <w:color w:val="auto"/>
              </w:rPr>
            </w:pPr>
            <w:r>
              <w:rPr>
                <w:rFonts w:ascii="Arial" w:cs="Arial" w:eastAsia="Arial" w:hAnsi="Arial"/>
                <w:sz w:val="18"/>
                <w:szCs w:val="18"/>
                <w:color w:val="auto"/>
              </w:rPr>
              <w:t>Acquisitions</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3,643</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6,549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18,902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4,441</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33,535</w:t>
            </w:r>
          </w:p>
        </w:tc>
      </w:tr>
      <w:tr>
        <w:trPr>
          <w:trHeight w:val="216"/>
        </w:trPr>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2020 Purchase Accounting Adjustments</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r>
      <w:tr>
        <w:trPr>
          <w:trHeight w:val="216"/>
        </w:trPr>
        <w:tc>
          <w:tcPr>
            <w:tcW w:w="3320" w:type="dxa"/>
            <w:vAlign w:val="bottom"/>
            <w:gridSpan w:val="2"/>
          </w:tcPr>
          <w:p>
            <w:pPr>
              <w:spacing w:after="0"/>
              <w:rPr>
                <w:sz w:val="20"/>
                <w:szCs w:val="20"/>
                <w:color w:val="auto"/>
              </w:rPr>
            </w:pPr>
            <w:r>
              <w:rPr>
                <w:rFonts w:ascii="Arial" w:cs="Arial" w:eastAsia="Arial" w:hAnsi="Arial"/>
                <w:sz w:val="18"/>
                <w:szCs w:val="18"/>
                <w:color w:val="auto"/>
              </w:rPr>
              <w:t>2020 Impairments</w:t>
            </w:r>
          </w:p>
        </w:tc>
        <w:tc>
          <w:tcPr>
            <w:tcW w:w="4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(11,485)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(11,485)</w:t>
            </w:r>
          </w:p>
        </w:tc>
      </w:tr>
      <w:tr>
        <w:trPr>
          <w:trHeight w:val="236"/>
        </w:trPr>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Exchange, Net</w:t>
            </w:r>
          </w:p>
        </w:tc>
        <w:tc>
          <w:tcPr>
            <w:tcW w:w="4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r>
      <w:tr>
        <w:trPr>
          <w:trHeight w:val="203"/>
        </w:trPr>
        <w:tc>
          <w:tcPr>
            <w:tcW w:w="3320" w:type="dxa"/>
            <w:vAlign w:val="bottom"/>
            <w:tcBorders>
              <w:top w:val="single" w:sz="8" w:color="CCEEFF"/>
            </w:tcBorders>
            <w:gridSpan w:val="2"/>
          </w:tcPr>
          <w:p>
            <w:pPr>
              <w:spacing w:after="0" w:line="203" w:lineRule="exact"/>
              <w:rPr>
                <w:sz w:val="20"/>
                <w:szCs w:val="20"/>
                <w:color w:val="auto"/>
              </w:rPr>
            </w:pPr>
            <w:r>
              <w:rPr>
                <w:rFonts w:ascii="Arial" w:cs="Arial" w:eastAsia="Arial" w:hAnsi="Arial"/>
                <w:sz w:val="18"/>
                <w:szCs w:val="18"/>
                <w:color w:val="auto"/>
              </w:rPr>
              <w:t>Balance as of December 26, 2020</w:t>
            </w:r>
          </w:p>
        </w:tc>
        <w:tc>
          <w:tcPr>
            <w:tcW w:w="440" w:type="dxa"/>
            <w:vAlign w:val="bottom"/>
            <w:tcBorders>
              <w:top w:val="single" w:sz="8" w:color="CCEEFF"/>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8"/>
              </w:rPr>
              <w:t>$ 61,943</w:t>
            </w:r>
          </w:p>
        </w:tc>
        <w:tc>
          <w:tcPr>
            <w:tcW w:w="140" w:type="dxa"/>
            <w:vAlign w:val="bottom"/>
            <w:tcBorders>
              <w:top w:val="single" w:sz="8" w:color="CCEEFF"/>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8"/>
              </w:rPr>
              <w:t>$ 87,827</w:t>
            </w:r>
          </w:p>
        </w:tc>
        <w:tc>
          <w:tcPr>
            <w:tcW w:w="140" w:type="dxa"/>
            <w:vAlign w:val="bottom"/>
            <w:tcBorders>
              <w:top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90,729</w:t>
            </w:r>
          </w:p>
        </w:tc>
        <w:tc>
          <w:tcPr>
            <w:tcW w:w="140" w:type="dxa"/>
            <w:vAlign w:val="bottom"/>
            <w:tcBorders>
              <w:top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0"/>
              </w:rPr>
              <w:t>11,694</w:t>
            </w:r>
          </w:p>
        </w:tc>
        <w:tc>
          <w:tcPr>
            <w:tcW w:w="140" w:type="dxa"/>
            <w:vAlign w:val="bottom"/>
            <w:tcBorders>
              <w:top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tcPr>
          <w:p>
            <w:pPr>
              <w:ind w:left="160"/>
              <w:spacing w:after="0" w:line="203" w:lineRule="exact"/>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tcPr>
          <w:p>
            <w:pPr>
              <w:spacing w:after="0"/>
              <w:rPr>
                <w:sz w:val="17"/>
                <w:szCs w:val="17"/>
                <w:color w:val="auto"/>
              </w:rPr>
            </w:pPr>
          </w:p>
        </w:tc>
        <w:tc>
          <w:tcPr>
            <w:tcW w:w="20" w:type="dxa"/>
            <w:vAlign w:val="bottom"/>
            <w:tcBorders>
              <w:top w:val="single" w:sz="8" w:color="CCEEFF"/>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2"/>
              </w:rPr>
              <w:t>252,193</w:t>
            </w:r>
          </w:p>
        </w:tc>
      </w:tr>
      <w:tr>
        <w:trPr>
          <w:trHeight w:val="20"/>
        </w:trPr>
        <w:tc>
          <w:tcPr>
            <w:tcW w:w="3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In the fourth quarter of 2020, we experienced significantly lower than expected operating results within the commercial reporting unit of our construction segment. In conjunction with our planning process we also noted expectations for lower customer demand for the foreseeable future. As a result, we revised our future cash flow projections for this reporting unit and performed the goodwill impairment test by calculating the fair value of the reporting unit based on its discounted estimated future cash flows. It was determined that the carrying value of the reporting unit exceeded its fair value. Consequently, we recorded a goodwill impairment charge of $11.5 million, which represents the entire amount of the goodwill in the reporting unit. As of the date of the most recent goodwill impairment test, which utilized data and assumptions as of September 26, 2020, all other reporting units had fair values that were substantially in excess of their carrying values.</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1" w:name="page112"/>
    <w:bookmarkEnd w:id="1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60" w:right="79" w:firstLine="648"/>
        <w:spacing w:after="0" w:line="263" w:lineRule="auto"/>
        <w:rPr>
          <w:sz w:val="20"/>
          <w:szCs w:val="20"/>
          <w:color w:val="auto"/>
        </w:rPr>
      </w:pPr>
      <w:r>
        <w:rPr>
          <w:rFonts w:ascii="Arial" w:cs="Arial" w:eastAsia="Arial" w:hAnsi="Arial"/>
          <w:sz w:val="18"/>
          <w:szCs w:val="18"/>
          <w:color w:val="auto"/>
        </w:rPr>
        <w:t>Indefinite-lived intangible assets totaled $7.4 million as of December 26, 2020 and December 28, 2019 related to the commercial unit within the construction segment, the international unit within the all other segment, and the Deckorators unit within the retail segment.</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following amounts were included in other amortizable intangible assets, net as of December 26, 2020 and</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December 28, 2019 (in thousands):</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178"/>
        </w:trPr>
        <w:tc>
          <w:tcPr>
            <w:tcW w:w="37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3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w w:val="87"/>
              </w:rPr>
              <w:t>Assets</w:t>
            </w:r>
          </w:p>
        </w:tc>
        <w:tc>
          <w:tcPr>
            <w:tcW w:w="980" w:type="dxa"/>
            <w:vAlign w:val="bottom"/>
            <w:gridSpan w:val="3"/>
          </w:tcPr>
          <w:p>
            <w:pPr>
              <w:ind w:left="140"/>
              <w:spacing w:after="0" w:line="126" w:lineRule="exact"/>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0"/>
                <w:szCs w:val="10"/>
                <w:color w:val="auto"/>
              </w:rPr>
            </w:pPr>
          </w:p>
        </w:tc>
        <w:tc>
          <w:tcPr>
            <w:tcW w:w="7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Net Value</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w w:val="91"/>
              </w:rPr>
              <w:t>Assets</w:t>
            </w:r>
          </w:p>
        </w:tc>
        <w:tc>
          <w:tcPr>
            <w:tcW w:w="160" w:type="dxa"/>
            <w:vAlign w:val="bottom"/>
          </w:tcPr>
          <w:p>
            <w:pPr>
              <w:spacing w:after="0"/>
              <w:rPr>
                <w:sz w:val="10"/>
                <w:szCs w:val="10"/>
                <w:color w:val="auto"/>
              </w:rPr>
            </w:pPr>
          </w:p>
        </w:tc>
        <w:tc>
          <w:tcPr>
            <w:tcW w:w="840" w:type="dxa"/>
            <w:vAlign w:val="bottom"/>
            <w:gridSpan w:val="2"/>
          </w:tcPr>
          <w:p>
            <w:pPr>
              <w:spacing w:after="0" w:line="126" w:lineRule="exact"/>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0"/>
                <w:szCs w:val="10"/>
                <w:color w:val="auto"/>
              </w:rPr>
            </w:pPr>
          </w:p>
        </w:tc>
        <w:tc>
          <w:tcPr>
            <w:tcW w:w="7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Net Value</w:t>
            </w:r>
          </w:p>
        </w:tc>
        <w:tc>
          <w:tcPr>
            <w:tcW w:w="0" w:type="dxa"/>
            <w:vAlign w:val="bottom"/>
          </w:tcPr>
          <w:p>
            <w:pPr>
              <w:spacing w:after="0"/>
              <w:rPr>
                <w:sz w:val="1"/>
                <w:szCs w:val="1"/>
                <w:color w:val="auto"/>
              </w:rPr>
            </w:pPr>
          </w:p>
        </w:tc>
      </w:tr>
      <w:tr>
        <w:trPr>
          <w:trHeight w:val="178"/>
        </w:trPr>
        <w:tc>
          <w:tcPr>
            <w:tcW w:w="3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980" w:type="dxa"/>
            <w:vAlign w:val="bottom"/>
            <w:gridSpan w:val="3"/>
          </w:tcPr>
          <w:p>
            <w:pPr>
              <w:ind w:left="140"/>
              <w:spacing w:after="0"/>
              <w:rPr>
                <w:sz w:val="20"/>
                <w:szCs w:val="20"/>
                <w:color w:val="auto"/>
              </w:rPr>
            </w:pPr>
            <w:r>
              <w:rPr>
                <w:rFonts w:ascii="Arial" w:cs="Arial" w:eastAsia="Arial" w:hAnsi="Arial"/>
                <w:sz w:val="14"/>
                <w:szCs w:val="14"/>
                <w:b w:val="1"/>
                <w:bCs w:val="1"/>
                <w:color w:val="auto"/>
                <w:w w:val="95"/>
              </w:rPr>
              <w:t>Amortization</w:t>
            </w:r>
          </w:p>
        </w:tc>
        <w:tc>
          <w:tcPr>
            <w:tcW w:w="14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w w:val="95"/>
              </w:rPr>
              <w:t>Amortization</w:t>
            </w:r>
          </w:p>
        </w:tc>
        <w:tc>
          <w:tcPr>
            <w:tcW w:w="14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4,847</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(2,728)</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2,119</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5,092</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(2,262)</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2,830</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80,343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5"/>
              </w:rPr>
              <w:t>(17,021)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63,322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48,084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8"/>
              </w:rPr>
              <w:t>(10,079)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38,005</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Licensing agreements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Patents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965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(509)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914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Tradename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6,764</w:t>
            </w:r>
          </w:p>
        </w:tc>
        <w:tc>
          <w:tcPr>
            <w:tcW w:w="0" w:type="dxa"/>
            <w:vAlign w:val="bottom"/>
          </w:tcPr>
          <w:p>
            <w:pPr>
              <w:spacing w:after="0"/>
              <w:rPr>
                <w:sz w:val="1"/>
                <w:szCs w:val="1"/>
                <w:color w:val="auto"/>
              </w:rPr>
            </w:pPr>
          </w:p>
        </w:tc>
      </w:tr>
      <w:tr>
        <w:trPr>
          <w:trHeight w:val="223"/>
        </w:trPr>
        <w:tc>
          <w:tcPr>
            <w:tcW w:w="3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Software</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w:t>
            </w: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99,268</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(27,016)</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72,252</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66,645</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(18,332)</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48,313</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Amortization is computed principally by the straight-line method over the estimated useful lives of the intangible assets as follows:</w:t>
      </w:r>
    </w:p>
    <w:p>
      <w:pPr>
        <w:spacing w:after="0" w:line="163"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4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Intangible Asset Type</w:t>
            </w:r>
          </w:p>
        </w:tc>
        <w:tc>
          <w:tcPr>
            <w:tcW w:w="1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Estimated Useful Life</w:t>
            </w:r>
          </w:p>
        </w:tc>
        <w:tc>
          <w:tcPr>
            <w:tcW w:w="1280" w:type="dxa"/>
            <w:vAlign w:val="bottom"/>
          </w:tcPr>
          <w:p>
            <w:pPr>
              <w:jc w:val="right"/>
              <w:ind w:right="15"/>
              <w:spacing w:after="0"/>
              <w:rPr>
                <w:sz w:val="20"/>
                <w:szCs w:val="20"/>
                <w:color w:val="auto"/>
              </w:rPr>
            </w:pPr>
            <w:r>
              <w:rPr>
                <w:rFonts w:ascii="Arial" w:cs="Arial" w:eastAsia="Arial" w:hAnsi="Arial"/>
                <w:sz w:val="14"/>
                <w:szCs w:val="14"/>
                <w:b w:val="1"/>
                <w:bCs w:val="1"/>
                <w:color w:val="auto"/>
                <w:w w:val="94"/>
              </w:rPr>
              <w:t>Weighted Average</w:t>
            </w:r>
          </w:p>
        </w:tc>
        <w:tc>
          <w:tcPr>
            <w:tcW w:w="0" w:type="dxa"/>
            <w:vAlign w:val="bottom"/>
          </w:tcPr>
          <w:p>
            <w:pPr>
              <w:spacing w:after="0"/>
              <w:rPr>
                <w:sz w:val="1"/>
                <w:szCs w:val="1"/>
                <w:color w:val="auto"/>
              </w:rPr>
            </w:pPr>
          </w:p>
        </w:tc>
      </w:tr>
      <w:tr>
        <w:trPr>
          <w:trHeight w:val="178"/>
        </w:trPr>
        <w:tc>
          <w:tcPr>
            <w:tcW w:w="4340" w:type="dxa"/>
            <w:vAlign w:val="bottom"/>
            <w:gridSpan w:val="3"/>
            <w:vMerge w:val="continue"/>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w w:val="93"/>
              </w:rPr>
              <w:t>Amortization Period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16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 to 15 years</w:t>
            </w:r>
          </w:p>
        </w:tc>
        <w:tc>
          <w:tcPr>
            <w:tcW w:w="16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Customer relationship</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5 to 15 years</w:t>
            </w:r>
          </w:p>
        </w:tc>
        <w:tc>
          <w:tcPr>
            <w:tcW w:w="1280" w:type="dxa"/>
            <w:vAlign w:val="bottom"/>
          </w:tcPr>
          <w:p>
            <w:pPr>
              <w:jc w:val="right"/>
              <w:spacing w:after="0"/>
              <w:rPr>
                <w:sz w:val="20"/>
                <w:szCs w:val="20"/>
                <w:color w:val="auto"/>
              </w:rPr>
            </w:pPr>
            <w:r>
              <w:rPr>
                <w:rFonts w:ascii="Arial" w:cs="Arial" w:eastAsia="Arial" w:hAnsi="Arial"/>
                <w:sz w:val="18"/>
                <w:szCs w:val="18"/>
                <w:color w:val="auto"/>
              </w:rPr>
              <w:t>6.3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Licensing agreements</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 years</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Tradename (amortizable)</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3 to 15 years</w:t>
            </w:r>
          </w:p>
        </w:tc>
        <w:tc>
          <w:tcPr>
            <w:tcW w:w="1280" w:type="dxa"/>
            <w:vAlign w:val="bottom"/>
          </w:tcPr>
          <w:p>
            <w:pPr>
              <w:jc w:val="right"/>
              <w:spacing w:after="0"/>
              <w:rPr>
                <w:sz w:val="20"/>
                <w:szCs w:val="20"/>
                <w:color w:val="auto"/>
              </w:rPr>
            </w:pPr>
            <w:r>
              <w:rPr>
                <w:rFonts w:ascii="Arial" w:cs="Arial" w:eastAsia="Arial" w:hAnsi="Arial"/>
                <w:sz w:val="18"/>
                <w:szCs w:val="18"/>
                <w:color w:val="auto"/>
              </w:rPr>
              <w:t>11.5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Software</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 to 5 years</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 years</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Amortization expense of intangibles totaled $8.7 million, $6.3 million and $6.4 million in 2020, 2019 and 2018, respectively. The estimated amortization expense for intangibles for each of the five succeeding fiscal years is as follows (in thousands):</w:t>
      </w:r>
    </w:p>
    <w:p>
      <w:pPr>
        <w:spacing w:after="0" w:line="211"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384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12,074</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2022</w:t>
            </w:r>
          </w:p>
        </w:tc>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11,759</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3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11,018</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2024</w:t>
            </w:r>
          </w:p>
        </w:tc>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10,795</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3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7,900</w:t>
            </w:r>
          </w:p>
        </w:tc>
      </w:tr>
      <w:tr>
        <w:trPr>
          <w:trHeight w:val="216"/>
        </w:trPr>
        <w:tc>
          <w:tcPr>
            <w:tcW w:w="4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36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18,706</w:t>
            </w:r>
          </w:p>
        </w:tc>
      </w:tr>
      <w:tr>
        <w:trPr>
          <w:trHeight w:val="210"/>
        </w:trPr>
        <w:tc>
          <w:tcPr>
            <w:tcW w:w="4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6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72,252</w:t>
            </w:r>
          </w:p>
        </w:tc>
      </w:tr>
      <w:tr>
        <w:trPr>
          <w:trHeight w:val="20"/>
        </w:trPr>
        <w:tc>
          <w:tcPr>
            <w:tcW w:w="43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700" w:hanging="650"/>
        <w:spacing w:after="0"/>
        <w:tabs>
          <w:tab w:leader="none" w:pos="70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DEBT</w:t>
      </w:r>
    </w:p>
    <w:p>
      <w:pPr>
        <w:spacing w:after="0" w:line="229"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On June 14, 2018, we entered into an unsecured Note Purchase Agreement under which we issued our 4.20% Series 2018 C Senior Notes, due June 14, 2028, in the aggregate principal amount of $40 million and our 4.27% Series 2018 D Senior Notes, due June 14, 2030, in the aggregate principal amount of $35 million. Proceeds from the sale of the Series C Senior Notes and Series D Senior Notes were used to pay down our revolving credit facility.</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2" w:name="page113"/>
    <w:bookmarkEnd w:id="1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On November 1, 2018, we entered into a five-year, $375 million unsecured revolving credit facility with a syndicate of U.S. banks led by JPMorgan Chase Bank, N.A., as administrative agent and Wells Fargo Bank, N.A., as syndication agent. The facilities include up to $40 million which may be advanced in the form of letters of credit, and up to $100 million (U.S. dollar equivalent) which may be advanced in Canadian dollars, Australian dollars, pounds Sterling, Euros and such other foreign currencies as may subsequently be agreed upon among the parties. This facility replaced our $295 million unsecured revolving credit facility. Cash borrowings are charged interest based upon an index selected by the Company, plus a margin that is determined based upon the index selected and upon the financial performance of the Company and certain of its subsidiaries. We are charged a facility fee on the entire amount of the lending commitment, at a per annum rate ranging from 12.5 to 30.0 basis points, also determined based upon our performance. The facility fee is payable quarterly in arrears.</w:t>
      </w:r>
    </w:p>
    <w:p>
      <w:pPr>
        <w:spacing w:after="0" w:line="194"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On August 10, 2020, we entered into an unsecured Note Purchase Agreement under which we issued our 3.04% Series 2020 E Senior Notes, due August 10, 2032, in the aggregate principal amount of $50 million, our 3.08% Series 2020 F Senior Notes, due August 10, 2033, in the aggregate principal amount of $50 million, and our 3.15% Series 2020 G Senior Notes, due August 10, 2035, in the aggregate principal amount of $50 million. Proceeds from the sale of the Series E, F and G Senior Notes have been used to fund working capital needs and the PalletOne, Inc. acquisition. Refer to Note O, “Subsequent Events” for additional information.</w:t>
      </w:r>
    </w:p>
    <w:p>
      <w:pPr>
        <w:spacing w:after="0" w:line="192"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Outstanding letters of credit extended on our behalf on December 26, 2020 and December 28, 2019 aggregated $41.0 million and $37.3 million; respectively, which includes approximately $7.1 million and $9.8 million, respectively, related to industrial development revenue bonds. We had an outstanding balance of $4.7 million and $4.0 million, which includes foreign subsidiary borrowings, on the revolver at December 26, 2020, and December 28, 2019, respectively. After considering letters of credit, we had $363.2 million and $361.2 million in remaining availability on the revolver on December 26, 2020, and December 28, 2019, respectively. Letters of credit have one-year terms, include an automatic renewal clause, and are charged an annual interest rate of 112.5 basis points, based upon our financial performance.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3" w:name="page114"/>
    <w:bookmarkEnd w:id="1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Long-term debt obligations are summarized as follows on December 26, 2020 and December 28, 2019 (amounts in thousands):</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78"/>
        </w:trPr>
        <w:tc>
          <w:tcPr>
            <w:tcW w:w="7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2019</w:t>
            </w: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w w:val="94"/>
              </w:rPr>
              <w:t>Series 2020 Senior Notes E, due on August 10, 2032, interest payable semi-annually at 3.04%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w w:val="94"/>
              </w:rPr>
              <w:t>Series 2020 Senior Notes F, due on August 10, 2033, interest payable semi-annually at 3.08%</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50,000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w w:val="93"/>
              </w:rPr>
              <w:t>Series 2020 Senior Notes G, due on August 10, 2035, interest payable semi-annually at 3.15%</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w w:val="96"/>
              </w:rPr>
              <w:t>Series 2018 Senior Notes C, due on June 14, 2028, interest payable semi-annually at 4.20%</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40,000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40,000</w:t>
            </w: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w w:val="96"/>
              </w:rPr>
              <w:t>Series 2018 Senior Notes D, due on June 14, 2030, interest payable semi-annually at 4.27%</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r>
      <w:tr>
        <w:trPr>
          <w:trHeight w:val="202"/>
        </w:trPr>
        <w:tc>
          <w:tcPr>
            <w:tcW w:w="7100" w:type="dxa"/>
            <w:vAlign w:val="bottom"/>
          </w:tcPr>
          <w:p>
            <w:pPr>
              <w:spacing w:after="0" w:line="201" w:lineRule="exact"/>
              <w:rPr>
                <w:sz w:val="20"/>
                <w:szCs w:val="20"/>
                <w:color w:val="auto"/>
              </w:rPr>
            </w:pPr>
            <w:r>
              <w:rPr>
                <w:rFonts w:ascii="Arial" w:cs="Arial" w:eastAsia="Arial" w:hAnsi="Arial"/>
                <w:sz w:val="18"/>
                <w:szCs w:val="18"/>
                <w:color w:val="auto"/>
              </w:rPr>
              <w:t>Series 2012 Senior Notes Tranche A, due on December 17, 2022, interest payable semi-</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30"/>
        </w:trPr>
        <w:tc>
          <w:tcPr>
            <w:tcW w:w="7100" w:type="dxa"/>
            <w:vAlign w:val="bottom"/>
          </w:tcPr>
          <w:p>
            <w:pPr>
              <w:spacing w:after="0"/>
              <w:rPr>
                <w:sz w:val="20"/>
                <w:szCs w:val="20"/>
                <w:color w:val="auto"/>
              </w:rPr>
            </w:pPr>
            <w:r>
              <w:rPr>
                <w:rFonts w:ascii="Arial" w:cs="Arial" w:eastAsia="Arial" w:hAnsi="Arial"/>
                <w:sz w:val="18"/>
                <w:szCs w:val="18"/>
                <w:color w:val="auto"/>
              </w:rPr>
              <w:t>annually at 3.89%</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35,000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35,000</w:t>
            </w:r>
          </w:p>
        </w:tc>
      </w:tr>
      <w:tr>
        <w:trPr>
          <w:trHeight w:val="202"/>
        </w:trPr>
        <w:tc>
          <w:tcPr>
            <w:tcW w:w="7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Series 2012 Senior Notes Tranche B, due on December 17, 2024, interest payable semi-</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30"/>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annually at 3.98%</w:t>
            </w: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r>
      <w:tr>
        <w:trPr>
          <w:trHeight w:val="202"/>
        </w:trPr>
        <w:tc>
          <w:tcPr>
            <w:tcW w:w="7100" w:type="dxa"/>
            <w:vAlign w:val="bottom"/>
          </w:tcPr>
          <w:p>
            <w:pPr>
              <w:spacing w:after="0" w:line="201" w:lineRule="exact"/>
              <w:rPr>
                <w:sz w:val="20"/>
                <w:szCs w:val="20"/>
                <w:color w:val="auto"/>
              </w:rPr>
            </w:pPr>
            <w:r>
              <w:rPr>
                <w:rFonts w:ascii="Arial" w:cs="Arial" w:eastAsia="Arial" w:hAnsi="Arial"/>
                <w:sz w:val="18"/>
                <w:szCs w:val="18"/>
                <w:color w:val="auto"/>
              </w:rPr>
              <w:t>Revolving credit facility totaling $375 million due on November 1, 2023, interest</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30"/>
        </w:trPr>
        <w:tc>
          <w:tcPr>
            <w:tcW w:w="7100" w:type="dxa"/>
            <w:vAlign w:val="bottom"/>
          </w:tcPr>
          <w:p>
            <w:pPr>
              <w:spacing w:after="0"/>
              <w:rPr>
                <w:sz w:val="20"/>
                <w:szCs w:val="20"/>
                <w:color w:val="auto"/>
              </w:rPr>
            </w:pPr>
            <w:r>
              <w:rPr>
                <w:rFonts w:ascii="Arial" w:cs="Arial" w:eastAsia="Arial" w:hAnsi="Arial"/>
                <w:sz w:val="18"/>
                <w:szCs w:val="18"/>
                <w:color w:val="auto"/>
              </w:rPr>
              <w:t>payable monthly at a floating rate (2.54% on December 28, 2019)</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2"/>
        </w:trPr>
        <w:tc>
          <w:tcPr>
            <w:tcW w:w="7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Foreign subsidiary borrowings under revolving credit facility, due on November 1, 2023,</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interest payable monthly at a floating rate (1.125% on December 26, 2020 and 1.88% on</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30"/>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December 28, 2019)</w:t>
            </w: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4,715</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3,976</w:t>
            </w:r>
          </w:p>
        </w:tc>
      </w:tr>
      <w:tr>
        <w:trPr>
          <w:trHeight w:val="202"/>
        </w:trPr>
        <w:tc>
          <w:tcPr>
            <w:tcW w:w="7100" w:type="dxa"/>
            <w:vAlign w:val="bottom"/>
          </w:tcPr>
          <w:p>
            <w:pPr>
              <w:spacing w:after="0" w:line="201" w:lineRule="exact"/>
              <w:rPr>
                <w:sz w:val="20"/>
                <w:szCs w:val="20"/>
                <w:color w:val="auto"/>
              </w:rPr>
            </w:pPr>
            <w:r>
              <w:rPr>
                <w:rFonts w:ascii="Arial" w:cs="Arial" w:eastAsia="Arial" w:hAnsi="Arial"/>
                <w:sz w:val="18"/>
                <w:szCs w:val="18"/>
                <w:color w:val="auto"/>
              </w:rPr>
              <w:t>Series 1999 Industrial Development Revenue Bonds, due on August 1, 2029, interest</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w w:val="94"/>
              </w:rPr>
              <w:t>payable monthly at a floating rate (0.20% on December 26, 2020 and 1.14% on December 28,</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30"/>
        </w:trPr>
        <w:tc>
          <w:tcPr>
            <w:tcW w:w="7100" w:type="dxa"/>
            <w:vAlign w:val="bottom"/>
          </w:tcPr>
          <w:p>
            <w:pPr>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3,300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3,300</w:t>
            </w:r>
          </w:p>
        </w:tc>
      </w:tr>
      <w:tr>
        <w:trPr>
          <w:trHeight w:val="202"/>
        </w:trPr>
        <w:tc>
          <w:tcPr>
            <w:tcW w:w="7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Series 2000 Industrial Development Revenue Bonds, due on October 1, 2020, interest</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30"/>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payable monthly at a floating rate (1.57% on December 28, 2019)</w:t>
            </w: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2,700</w:t>
            </w:r>
          </w:p>
        </w:tc>
      </w:tr>
      <w:tr>
        <w:trPr>
          <w:trHeight w:val="202"/>
        </w:trPr>
        <w:tc>
          <w:tcPr>
            <w:tcW w:w="7100" w:type="dxa"/>
            <w:vAlign w:val="bottom"/>
          </w:tcPr>
          <w:p>
            <w:pPr>
              <w:spacing w:after="0" w:line="201" w:lineRule="exact"/>
              <w:rPr>
                <w:sz w:val="20"/>
                <w:szCs w:val="20"/>
                <w:color w:val="auto"/>
              </w:rPr>
            </w:pPr>
            <w:r>
              <w:rPr>
                <w:rFonts w:ascii="Arial" w:cs="Arial" w:eastAsia="Arial" w:hAnsi="Arial"/>
                <w:sz w:val="18"/>
                <w:szCs w:val="18"/>
                <w:color w:val="auto"/>
              </w:rPr>
              <w:t>Series 2002 Industrial Development Revenue Bonds, due on December 1, 2022, interest</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w w:val="94"/>
              </w:rPr>
              <w:t>payable monthly at a floating rate (0.22% on December 26, 2020 and 1.79% on December 28,</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30"/>
        </w:trPr>
        <w:tc>
          <w:tcPr>
            <w:tcW w:w="7100" w:type="dxa"/>
            <w:vAlign w:val="bottom"/>
          </w:tcPr>
          <w:p>
            <w:pPr>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3,700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3,700</w:t>
            </w:r>
          </w:p>
        </w:tc>
      </w:tr>
      <w:tr>
        <w:trPr>
          <w:trHeight w:val="223"/>
        </w:trPr>
        <w:tc>
          <w:tcPr>
            <w:tcW w:w="7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Finance leases and foreign affiliate debt</w:t>
            </w: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r>
      <w:tr>
        <w:trPr>
          <w:trHeight w:val="216"/>
        </w:trPr>
        <w:tc>
          <w:tcPr>
            <w:tcW w:w="7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9"/>
              </w:rPr>
              <w:t>311,853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9"/>
              </w:rPr>
              <w:t>163,850</w:t>
            </w: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(2,816)</w:t>
            </w:r>
          </w:p>
        </w:tc>
      </w:tr>
      <w:tr>
        <w:trPr>
          <w:trHeight w:val="223"/>
        </w:trPr>
        <w:tc>
          <w:tcPr>
            <w:tcW w:w="7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debt issuance costs</w:t>
            </w: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r>
      <w:tr>
        <w:trPr>
          <w:trHeight w:val="216"/>
        </w:trPr>
        <w:tc>
          <w:tcPr>
            <w:tcW w:w="7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portion</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311,607</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160,867</w:t>
            </w:r>
          </w:p>
        </w:tc>
      </w:tr>
      <w:tr>
        <w:trPr>
          <w:trHeight w:val="20"/>
        </w:trPr>
        <w:tc>
          <w:tcPr>
            <w:tcW w:w="7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Financial covenants on the unsecured revolving credit facility and unsecured notes include minimum interest coverage tests and a maximum leverage ratio. The agreements also restrict the amount of additional indebtedness we may incur and the amount of assets which may be sold among other industry standard covenants. We were within all of our lending requirements on December 26, 2020 and December 28, 2019.</w:t>
      </w:r>
    </w:p>
    <w:p>
      <w:pPr>
        <w:spacing w:after="0" w:line="187"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On December 26, 2020, the principal maturities of long-term debt and finance lease obligations are as follows (in thousands):</w:t>
      </w:r>
    </w:p>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56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2022</w:t>
            </w:r>
          </w:p>
        </w:tc>
        <w:tc>
          <w:tcPr>
            <w:tcW w:w="5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5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2024</w:t>
            </w:r>
          </w:p>
        </w:tc>
        <w:tc>
          <w:tcPr>
            <w:tcW w:w="5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5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54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228,300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54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311,853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5420" w:type="dxa"/>
            <w:vAlign w:val="bottom"/>
            <w:vMerge w:val="restart"/>
          </w:tcPr>
          <w:p>
            <w:pPr>
              <w:jc w:val="right"/>
              <w:ind w:right="3330"/>
              <w:spacing w:after="0"/>
              <w:rPr>
                <w:sz w:val="20"/>
                <w:szCs w:val="20"/>
                <w:color w:val="auto"/>
              </w:rPr>
            </w:pPr>
            <w:r>
              <w:rPr>
                <w:rFonts w:ascii="Arial" w:cs="Arial" w:eastAsia="Arial" w:hAnsi="Arial"/>
                <w:sz w:val="18"/>
                <w:szCs w:val="18"/>
                <w:color w:val="auto"/>
              </w:rPr>
              <w:t>45</w:t>
            </w: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54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5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14" w:name="page115"/>
    <w:bookmarkEnd w:id="1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On December 26, 2020, the estimated fair value of our long-term debt, including the current portion, was $341.4 million, which was $29.5 million more than the carrying value. The estimated fair value is based on rates anticipated to be available to us for debt with similar terms and maturities. We consider the valuations of our long-term debt, including the current portion, to be Level 2 liabilities which rely on quoted prices in markets that are not active or observable inputs over the full term of the liability.</w:t>
      </w:r>
    </w:p>
    <w:p>
      <w:pPr>
        <w:spacing w:after="0" w:line="184" w:lineRule="exact"/>
        <w:rPr>
          <w:sz w:val="20"/>
          <w:szCs w:val="20"/>
          <w:color w:val="auto"/>
        </w:rPr>
      </w:pPr>
    </w:p>
    <w:p>
      <w:pPr>
        <w:ind w:left="700" w:hanging="650"/>
        <w:spacing w:after="0"/>
        <w:tabs>
          <w:tab w:leader="none" w:pos="70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LEASES</w:t>
      </w:r>
    </w:p>
    <w:p>
      <w:pPr>
        <w:spacing w:after="0" w:line="229" w:lineRule="exact"/>
        <w:rPr>
          <w:sz w:val="20"/>
          <w:szCs w:val="20"/>
          <w:color w:val="auto"/>
        </w:rPr>
      </w:pPr>
    </w:p>
    <w:p>
      <w:pPr>
        <w:jc w:val="both"/>
        <w:ind w:left="60" w:right="59" w:firstLine="492"/>
        <w:spacing w:after="0" w:line="272" w:lineRule="auto"/>
        <w:rPr>
          <w:sz w:val="20"/>
          <w:szCs w:val="20"/>
          <w:color w:val="auto"/>
        </w:rPr>
      </w:pPr>
      <w:r>
        <w:rPr>
          <w:rFonts w:ascii="Arial" w:cs="Arial" w:eastAsia="Arial" w:hAnsi="Arial"/>
          <w:sz w:val="17"/>
          <w:szCs w:val="17"/>
          <w:color w:val="auto"/>
        </w:rPr>
        <w:t>We determine if an arrangement is a lease at inception. We lease certain real estate under non-cancelable operating lease agreements with typical original terms ranging from one to ten years. We are required to pay real estate taxes and other occupancy costs under certain leases, which are variable in nature and not included in the right of use asset or lease liability. Certain leases carry renewal options of five to fifteen years. We believe that future leases will likely have similar terms. We also lease motor vehicles, equipment, and an aircraft under operating lease agreements for periods of one to ten years. We do not typically enter into leases with residual value guarantees. There were no restrictions or covenants imposed by any lease agreements.</w:t>
      </w:r>
    </w:p>
    <w:p>
      <w:pPr>
        <w:spacing w:after="0" w:line="177" w:lineRule="exact"/>
        <w:rPr>
          <w:sz w:val="20"/>
          <w:szCs w:val="20"/>
          <w:color w:val="auto"/>
        </w:rPr>
      </w:pPr>
    </w:p>
    <w:p>
      <w:pPr>
        <w:jc w:val="both"/>
        <w:ind w:left="60" w:right="59" w:firstLine="492"/>
        <w:spacing w:after="0" w:line="277" w:lineRule="auto"/>
        <w:rPr>
          <w:sz w:val="20"/>
          <w:szCs w:val="20"/>
          <w:color w:val="auto"/>
        </w:rPr>
      </w:pPr>
      <w:r>
        <w:rPr>
          <w:rFonts w:ascii="Arial" w:cs="Arial" w:eastAsia="Arial" w:hAnsi="Arial"/>
          <w:sz w:val="18"/>
          <w:szCs w:val="18"/>
          <w:color w:val="auto"/>
        </w:rPr>
        <w:t>We believe finance leases have no significant impact to our consolidated balance sheet and income statement as of December 26, 2020.</w:t>
      </w:r>
    </w:p>
    <w:p>
      <w:pPr>
        <w:spacing w:after="0" w:line="170" w:lineRule="exact"/>
        <w:rPr>
          <w:sz w:val="20"/>
          <w:szCs w:val="20"/>
          <w:color w:val="auto"/>
        </w:rPr>
      </w:pPr>
    </w:p>
    <w:p>
      <w:pPr>
        <w:jc w:val="both"/>
        <w:ind w:left="60" w:right="79" w:firstLine="492"/>
        <w:spacing w:after="0" w:line="277" w:lineRule="auto"/>
        <w:rPr>
          <w:sz w:val="20"/>
          <w:szCs w:val="20"/>
          <w:color w:val="auto"/>
        </w:rPr>
      </w:pPr>
      <w:r>
        <w:rPr>
          <w:rFonts w:ascii="Arial" w:cs="Arial" w:eastAsia="Arial" w:hAnsi="Arial"/>
          <w:sz w:val="18"/>
          <w:szCs w:val="18"/>
          <w:color w:val="auto"/>
        </w:rPr>
        <w:t>As of December 26, 2020, we have no leases that have not yet commenced that would significantly impact the rights, obligations, and our financial position.</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There were no lease transactions between related parties as of December 26, 2020.</w:t>
      </w:r>
    </w:p>
    <w:p>
      <w:pPr>
        <w:spacing w:after="0" w:line="225" w:lineRule="exact"/>
        <w:rPr>
          <w:sz w:val="20"/>
          <w:szCs w:val="20"/>
          <w:color w:val="auto"/>
        </w:rPr>
      </w:pPr>
    </w:p>
    <w:p>
      <w:pPr>
        <w:jc w:val="both"/>
        <w:ind w:left="60" w:right="59" w:firstLine="492"/>
        <w:spacing w:after="0" w:line="259" w:lineRule="auto"/>
        <w:rPr>
          <w:sz w:val="20"/>
          <w:szCs w:val="20"/>
          <w:color w:val="auto"/>
        </w:rPr>
      </w:pPr>
      <w:r>
        <w:rPr>
          <w:rFonts w:ascii="Arial" w:cs="Arial" w:eastAsia="Arial" w:hAnsi="Arial"/>
          <w:sz w:val="18"/>
          <w:szCs w:val="18"/>
          <w:color w:val="auto"/>
        </w:rPr>
        <w:t>The rates implicit in our leases are primarily not readily available. To determine the discount rate used to present value the lease payments, we utilize the 7-year treasury note rate plus a blend of rate spreads associated with our revolver and 10-12-year senior notes along with estimated spreads based on current market conditions. We feel the determined rate is a reasonable representation of our lease population.</w:t>
      </w:r>
    </w:p>
    <w:p>
      <w:pPr>
        <w:spacing w:after="0" w:line="187" w:lineRule="exact"/>
        <w:rPr>
          <w:sz w:val="20"/>
          <w:szCs w:val="20"/>
          <w:color w:val="auto"/>
        </w:rPr>
      </w:pPr>
    </w:p>
    <w:p>
      <w:pPr>
        <w:jc w:val="both"/>
        <w:ind w:left="60" w:right="79" w:firstLine="492"/>
        <w:spacing w:after="0" w:line="277" w:lineRule="auto"/>
        <w:rPr>
          <w:sz w:val="20"/>
          <w:szCs w:val="20"/>
          <w:color w:val="auto"/>
        </w:rPr>
      </w:pPr>
      <w:r>
        <w:rPr>
          <w:rFonts w:ascii="Arial" w:cs="Arial" w:eastAsia="Arial" w:hAnsi="Arial"/>
          <w:sz w:val="18"/>
          <w:szCs w:val="18"/>
          <w:color w:val="auto"/>
        </w:rPr>
        <w:t>Lease costs under non-cancelable operating leases on December 26, 2020 and December 28, 2019 are as follows (in thousands):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08" w:lineRule="exact"/>
        <w:rPr>
          <w:sz w:val="20"/>
          <w:szCs w:val="20"/>
          <w:color w:val="auto"/>
        </w:rPr>
      </w:pPr>
    </w:p>
    <w:p>
      <w:pPr>
        <w:ind w:left="60"/>
        <w:spacing w:after="0"/>
        <w:rPr>
          <w:sz w:val="20"/>
          <w:szCs w:val="20"/>
          <w:color w:val="auto"/>
        </w:rPr>
      </w:pPr>
      <w:r>
        <w:rPr>
          <w:rFonts w:ascii="Arial" w:cs="Arial" w:eastAsia="Arial" w:hAnsi="Arial"/>
          <w:sz w:val="16"/>
          <w:szCs w:val="16"/>
          <w:color w:val="auto"/>
        </w:rPr>
        <w:t>Operating lease cost</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5"/>
          <w:szCs w:val="15"/>
          <w:color w:val="auto"/>
        </w:rPr>
        <w:t>Short-term lease cost</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17"/>
          <w:szCs w:val="17"/>
          <w:color w:val="auto"/>
        </w:rPr>
        <w:t>Variable lease cost</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Sublease income</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Total lease cost</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ind w:left="320"/>
        <w:spacing w:after="0"/>
        <w:tabs>
          <w:tab w:leader="none" w:pos="122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-4540250</wp:posOffset>
            </wp:positionH>
            <wp:positionV relativeFrom="paragraph">
              <wp:posOffset>6350</wp:posOffset>
            </wp:positionV>
            <wp:extent cx="5648960" cy="1543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0">
                      <a:extLst>
                        <a:ext uri="{28A0092B-C50C-407E-A947-70E740481C1C}"/>
                      </a:extLst>
                    </a:blip>
                    <a:srcRect/>
                    <a:stretch>
                      <a:fillRect/>
                    </a:stretch>
                  </pic:blipFill>
                  <pic:spPr bwMode="auto">
                    <a:xfrm>
                      <a:off x="0" y="0"/>
                      <a:ext cx="5648960" cy="154305"/>
                    </a:xfrm>
                    <a:prstGeom prst="rect">
                      <a:avLst/>
                    </a:prstGeom>
                    <a:noFill/>
                  </pic:spPr>
                </pic:pic>
              </a:graphicData>
            </a:graphic>
          </wp:anchor>
        </w:drawing>
      </w:r>
    </w:p>
    <w:p>
      <w:pPr>
        <w:spacing w:after="0" w:line="5" w:lineRule="exact"/>
        <w:rPr>
          <w:sz w:val="20"/>
          <w:szCs w:val="20"/>
          <w:color w:val="auto"/>
        </w:rPr>
      </w:pPr>
    </w:p>
    <w:p>
      <w:pPr>
        <w:spacing w:after="0"/>
        <w:tabs>
          <w:tab w:leader="none" w:pos="240" w:val="left"/>
          <w:tab w:leader="none" w:pos="900" w:val="left"/>
          <w:tab w:leader="none" w:pos="1160" w:val="left"/>
        </w:tabs>
        <w:rPr>
          <w:sz w:val="20"/>
          <w:szCs w:val="20"/>
          <w:color w:val="auto"/>
        </w:rPr>
      </w:pPr>
      <w:r>
        <w:rPr>
          <w:rFonts w:ascii="Arial" w:cs="Arial" w:eastAsia="Arial" w:hAnsi="Arial"/>
          <w:sz w:val="18"/>
          <w:szCs w:val="18"/>
          <w:color w:val="auto"/>
        </w:rPr>
        <w:t>$</w:t>
        <w:tab/>
        <w:t>21,594</w:t>
        <w:tab/>
        <w:t>$</w:t>
      </w:r>
      <w:r>
        <w:rPr>
          <w:sz w:val="20"/>
          <w:szCs w:val="20"/>
          <w:color w:val="auto"/>
        </w:rPr>
        <w:tab/>
      </w:r>
      <w:r>
        <w:rPr>
          <w:rFonts w:ascii="Arial" w:cs="Arial" w:eastAsia="Arial" w:hAnsi="Arial"/>
          <w:sz w:val="16"/>
          <w:szCs w:val="16"/>
          <w:color w:val="auto"/>
        </w:rPr>
        <w:t>20,771</w:t>
      </w:r>
    </w:p>
    <w:p>
      <w:pPr>
        <w:spacing w:after="0" w:line="21" w:lineRule="exact"/>
        <w:rPr>
          <w:sz w:val="20"/>
          <w:szCs w:val="20"/>
          <w:color w:val="auto"/>
        </w:rPr>
      </w:pPr>
    </w:p>
    <w:p>
      <w:pPr>
        <w:ind w:left="340"/>
        <w:spacing w:after="0"/>
        <w:tabs>
          <w:tab w:leader="none" w:pos="1400" w:val="left"/>
        </w:tabs>
        <w:rPr>
          <w:sz w:val="20"/>
          <w:szCs w:val="20"/>
          <w:color w:val="auto"/>
        </w:rPr>
      </w:pPr>
      <w:r>
        <w:rPr>
          <w:rFonts w:ascii="Arial" w:cs="Arial" w:eastAsia="Arial" w:hAnsi="Arial"/>
          <w:sz w:val="18"/>
          <w:szCs w:val="18"/>
          <w:color w:val="auto"/>
        </w:rPr>
        <w:t>2,863</w:t>
      </w:r>
      <w:r>
        <w:rPr>
          <w:sz w:val="20"/>
          <w:szCs w:val="20"/>
          <w:color w:val="auto"/>
        </w:rPr>
        <w:tab/>
      </w: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-4540250</wp:posOffset>
            </wp:positionH>
            <wp:positionV relativeFrom="paragraph">
              <wp:posOffset>5715</wp:posOffset>
            </wp:positionV>
            <wp:extent cx="5648960" cy="13716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1">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ind w:left="340"/>
        <w:spacing w:after="0"/>
        <w:tabs>
          <w:tab w:leader="none" w:pos="1260" w:val="left"/>
        </w:tabs>
        <w:rPr>
          <w:sz w:val="20"/>
          <w:szCs w:val="20"/>
          <w:color w:val="auto"/>
        </w:rPr>
      </w:pPr>
      <w:r>
        <w:rPr>
          <w:rFonts w:ascii="Arial" w:cs="Arial" w:eastAsia="Arial" w:hAnsi="Arial"/>
          <w:sz w:val="18"/>
          <w:szCs w:val="18"/>
          <w:color w:val="auto"/>
        </w:rPr>
        <w:t>3,985</w:t>
      </w:r>
      <w:r>
        <w:rPr>
          <w:sz w:val="20"/>
          <w:szCs w:val="20"/>
          <w:color w:val="auto"/>
        </w:rPr>
        <w:tab/>
      </w:r>
      <w:r>
        <w:rPr>
          <w:rFonts w:ascii="Arial" w:cs="Arial" w:eastAsia="Arial" w:hAnsi="Arial"/>
          <w:sz w:val="18"/>
          <w:szCs w:val="18"/>
          <w:color w:val="auto"/>
        </w:rPr>
        <w:t>1,484</w:t>
      </w:r>
    </w:p>
    <w:p>
      <w:pPr>
        <w:spacing w:after="0" w:line="9" w:lineRule="exact"/>
        <w:rPr>
          <w:sz w:val="20"/>
          <w:szCs w:val="20"/>
          <w:color w:val="auto"/>
        </w:rPr>
      </w:pPr>
    </w:p>
    <w:p>
      <w:pPr>
        <w:jc w:val="both"/>
        <w:ind w:left="300"/>
        <w:spacing w:after="0"/>
        <w:tabs>
          <w:tab w:leader="none" w:pos="134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8"/>
          <w:szCs w:val="18"/>
          <w:color w:val="auto"/>
        </w:rPr>
        <w:t>(676)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-4540250</wp:posOffset>
            </wp:positionH>
            <wp:positionV relativeFrom="paragraph">
              <wp:posOffset>5715</wp:posOffset>
            </wp:positionV>
            <wp:extent cx="5648960" cy="16256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2">
                      <a:extLst>
                        <a:ext uri="{28A0092B-C50C-407E-A947-70E740481C1C}"/>
                      </a:extLst>
                    </a:blip>
                    <a:srcRect/>
                    <a:stretch>
                      <a:fillRect/>
                    </a:stretch>
                  </pic:blipFill>
                  <pic:spPr bwMode="auto">
                    <a:xfrm>
                      <a:off x="0" y="0"/>
                      <a:ext cx="5648960" cy="162560"/>
                    </a:xfrm>
                    <a:prstGeom prst="rect">
                      <a:avLst/>
                    </a:prstGeom>
                    <a:noFill/>
                  </pic:spPr>
                </pic:pic>
              </a:graphicData>
            </a:graphic>
          </wp:anchor>
        </w:drawing>
      </w:r>
    </w:p>
    <w:p>
      <w:pPr>
        <w:spacing w:after="0" w:line="2" w:lineRule="exact"/>
        <w:rPr>
          <w:sz w:val="20"/>
          <w:szCs w:val="20"/>
          <w:color w:val="auto"/>
        </w:rPr>
      </w:pPr>
    </w:p>
    <w:p>
      <w:pPr>
        <w:spacing w:after="0"/>
        <w:tabs>
          <w:tab w:leader="none" w:pos="240" w:val="left"/>
          <w:tab w:leader="none" w:pos="900" w:val="left"/>
          <w:tab w:leader="none" w:pos="1160" w:val="left"/>
        </w:tabs>
        <w:rPr>
          <w:sz w:val="20"/>
          <w:szCs w:val="20"/>
          <w:color w:val="auto"/>
        </w:rPr>
      </w:pPr>
      <w:r>
        <w:rPr>
          <w:rFonts w:ascii="Arial" w:cs="Arial" w:eastAsia="Arial" w:hAnsi="Arial"/>
          <w:sz w:val="18"/>
          <w:szCs w:val="18"/>
          <w:u w:val="single" w:color="auto"/>
          <w:color w:val="auto"/>
        </w:rPr>
        <w:t>$</w:t>
        <w:tab/>
        <w:t>27,429</w:t>
        <w:tab/>
        <w:t>$</w:t>
      </w:r>
      <w:r>
        <w:rPr>
          <w:sz w:val="20"/>
          <w:szCs w:val="20"/>
          <w:color w:val="auto"/>
        </w:rPr>
        <w:tab/>
      </w:r>
      <w:r>
        <w:rPr>
          <w:rFonts w:ascii="Arial" w:cs="Arial" w:eastAsia="Arial" w:hAnsi="Arial"/>
          <w:sz w:val="16"/>
          <w:szCs w:val="16"/>
          <w:u w:val="single" w:color="auto"/>
          <w:color w:val="auto"/>
        </w:rPr>
        <w:t>21,689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31750</wp:posOffset>
            </wp:positionV>
            <wp:extent cx="110617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3">
                      <a:extLst>
                        <a:ext uri="{28A0092B-C50C-407E-A947-70E740481C1C}"/>
                      </a:extLst>
                    </a:blip>
                    <a:srcRect/>
                    <a:stretch>
                      <a:fillRect/>
                    </a:stretch>
                  </pic:blipFill>
                  <pic:spPr bwMode="auto">
                    <a:xfrm>
                      <a:off x="0" y="0"/>
                      <a:ext cx="1106170" cy="8255"/>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2">
            <w:col w:w="6480" w:space="720"/>
            <w:col w:w="1819"/>
          </w:cols>
          <w:pgMar w:left="1440" w:top="517" w:right="1440" w:bottom="1440" w:gutter="0" w:footer="0" w:header="0"/>
          <w:type w:val="continuous"/>
        </w:sectPr>
      </w:pPr>
    </w:p>
    <w:p>
      <w:pPr>
        <w:spacing w:after="0" w:line="52" w:lineRule="exact"/>
        <w:rPr>
          <w:sz w:val="20"/>
          <w:szCs w:val="20"/>
          <w:color w:val="auto"/>
        </w:rPr>
      </w:pPr>
    </w:p>
    <w:p>
      <w:pPr>
        <w:ind w:left="60" w:right="159" w:firstLine="492"/>
        <w:spacing w:after="0" w:line="259" w:lineRule="auto"/>
        <w:rPr>
          <w:sz w:val="20"/>
          <w:szCs w:val="20"/>
          <w:color w:val="auto"/>
        </w:rPr>
      </w:pPr>
      <w:r>
        <w:rPr>
          <w:rFonts w:ascii="Arial" w:cs="Arial" w:eastAsia="Arial" w:hAnsi="Arial"/>
          <w:sz w:val="18"/>
          <w:szCs w:val="18"/>
          <w:color w:val="auto"/>
        </w:rPr>
        <w:t>The amounts paid for operating leases, included in the measurement of lease liabilities, were $20 million for both years ended December 26, 2020 and December 28, 2019. In addition, right-of-use assets obtained in exchange for new operating lease liabilities were approximately $12.8 million and $33.4 million, respectively, for the years ended December 26, 2020 and December 29, 2019.</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5" w:name="page116"/>
    <w:bookmarkEnd w:id="1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60" w:right="59" w:firstLine="492"/>
        <w:spacing w:after="0" w:line="277" w:lineRule="auto"/>
        <w:rPr>
          <w:sz w:val="20"/>
          <w:szCs w:val="20"/>
          <w:color w:val="auto"/>
        </w:rPr>
      </w:pPr>
      <w:r>
        <w:rPr>
          <w:rFonts w:ascii="Arial" w:cs="Arial" w:eastAsia="Arial" w:hAnsi="Arial"/>
          <w:sz w:val="18"/>
          <w:szCs w:val="18"/>
          <w:color w:val="auto"/>
        </w:rPr>
        <w:t>Future minimum payments under non-cancelable operating leases on December 26, 2020 are as follows (in thousands):</w:t>
      </w:r>
    </w:p>
    <w:p>
      <w:pPr>
        <w:spacing w:after="0" w:line="16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53"/>
              <w:spacing w:after="0"/>
              <w:rPr>
                <w:sz w:val="20"/>
                <w:szCs w:val="20"/>
                <w:color w:val="auto"/>
              </w:rPr>
            </w:pPr>
            <w:r>
              <w:rPr>
                <w:rFonts w:ascii="Arial" w:cs="Arial" w:eastAsia="Arial" w:hAnsi="Arial"/>
                <w:sz w:val="14"/>
                <w:szCs w:val="14"/>
                <w:b w:val="1"/>
                <w:bCs w:val="1"/>
                <w:color w:val="auto"/>
                <w:w w:val="93"/>
              </w:rPr>
              <w:t>Operating</w:t>
            </w:r>
          </w:p>
        </w:tc>
      </w:tr>
      <w:tr>
        <w:trPr>
          <w:trHeight w:val="178"/>
        </w:trPr>
        <w:tc>
          <w:tcPr>
            <w:tcW w:w="5120" w:type="dxa"/>
            <w:vAlign w:val="bottom"/>
            <w:tcBorders>
              <w:bottom w:val="single" w:sz="8" w:color="CCEEFF"/>
            </w:tcBorders>
          </w:tcPr>
          <w:p>
            <w:pPr>
              <w:spacing w:after="0"/>
              <w:rPr>
                <w:sz w:val="15"/>
                <w:szCs w:val="15"/>
                <w:color w:val="auto"/>
              </w:rPr>
            </w:pPr>
          </w:p>
        </w:tc>
        <w:tc>
          <w:tcPr>
            <w:tcW w:w="28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Leases</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8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18,671</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2022</w:t>
            </w:r>
          </w:p>
        </w:tc>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15,219</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12,126</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2024</w:t>
            </w:r>
          </w:p>
        </w:tc>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9,594</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2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8,102</w:t>
            </w:r>
          </w:p>
        </w:tc>
      </w:tr>
      <w:tr>
        <w:trPr>
          <w:trHeight w:val="223"/>
        </w:trPr>
        <w:tc>
          <w:tcPr>
            <w:tcW w:w="5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8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25,961</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28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89,673</w:t>
            </w:r>
          </w:p>
        </w:tc>
      </w:tr>
      <w:tr>
        <w:trPr>
          <w:trHeight w:val="216"/>
        </w:trPr>
        <w:tc>
          <w:tcPr>
            <w:tcW w:w="5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present value discount</w:t>
            </w:r>
          </w:p>
        </w:tc>
        <w:tc>
          <w:tcPr>
            <w:tcW w:w="28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(11,615)</w:t>
            </w:r>
          </w:p>
        </w:tc>
      </w:tr>
      <w:tr>
        <w:trPr>
          <w:trHeight w:val="210"/>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Total lease liability</w:t>
            </w:r>
          </w:p>
        </w:tc>
        <w:tc>
          <w:tcPr>
            <w:tcW w:w="3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78,058</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2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79" w:firstLine="492"/>
        <w:spacing w:after="0" w:line="277" w:lineRule="auto"/>
        <w:rPr>
          <w:sz w:val="20"/>
          <w:szCs w:val="20"/>
          <w:color w:val="auto"/>
        </w:rPr>
      </w:pPr>
      <w:r>
        <w:rPr>
          <w:rFonts w:ascii="Arial" w:cs="Arial" w:eastAsia="Arial" w:hAnsi="Arial"/>
          <w:sz w:val="18"/>
          <w:szCs w:val="18"/>
          <w:color w:val="auto"/>
        </w:rPr>
        <w:t>Rent expense was approximately $28.4 million, $29.9 million, and $28.1 million in 2020, 2019, and 2018, respectively.</w:t>
      </w:r>
    </w:p>
    <w:p>
      <w:pPr>
        <w:spacing w:after="0" w:line="170" w:lineRule="exact"/>
        <w:rPr>
          <w:sz w:val="20"/>
          <w:szCs w:val="20"/>
          <w:color w:val="auto"/>
        </w:rPr>
      </w:pPr>
    </w:p>
    <w:p>
      <w:pPr>
        <w:jc w:val="both"/>
        <w:ind w:left="60" w:right="59" w:firstLine="492"/>
        <w:spacing w:after="0" w:line="259" w:lineRule="auto"/>
        <w:rPr>
          <w:sz w:val="20"/>
          <w:szCs w:val="20"/>
          <w:color w:val="auto"/>
        </w:rPr>
      </w:pPr>
      <w:r>
        <w:rPr>
          <w:rFonts w:ascii="Arial" w:cs="Arial" w:eastAsia="Arial" w:hAnsi="Arial"/>
          <w:sz w:val="18"/>
          <w:szCs w:val="18"/>
          <w:color w:val="auto"/>
        </w:rPr>
        <w:t>During the first quarter of 2018, we completed a sale and leaseback transaction related to one facility in Medley, Florida. The sale price for the property was approximately $36 million and created a $7 million pre-tax gain, which was entirely recognized in 2018. We leased back the facility for two years as it executes its long-term plan for Florida and the Southeast region.</w:t>
      </w:r>
    </w:p>
    <w:p>
      <w:pPr>
        <w:spacing w:after="0" w:line="187" w:lineRule="exact"/>
        <w:rPr>
          <w:sz w:val="20"/>
          <w:szCs w:val="20"/>
          <w:color w:val="auto"/>
        </w:rPr>
      </w:pPr>
    </w:p>
    <w:p>
      <w:pPr>
        <w:jc w:val="both"/>
        <w:ind w:left="60" w:right="59" w:firstLine="492"/>
        <w:spacing w:after="0" w:line="263" w:lineRule="auto"/>
        <w:rPr>
          <w:sz w:val="20"/>
          <w:szCs w:val="20"/>
          <w:color w:val="auto"/>
        </w:rPr>
      </w:pPr>
      <w:r>
        <w:rPr>
          <w:rFonts w:ascii="Arial" w:cs="Arial" w:eastAsia="Arial" w:hAnsi="Arial"/>
          <w:sz w:val="18"/>
          <w:szCs w:val="18"/>
          <w:color w:val="auto"/>
        </w:rPr>
        <w:t>As of December 26, 2020 and December 28, 2019, the weighted average lease term for operating leases was 6.84 years and 7.29 years, respectively. Similarly, the weighted average discount rate for operating leases was 3.12% and 3.10%, respectively.</w:t>
      </w:r>
    </w:p>
    <w:p>
      <w:pPr>
        <w:spacing w:after="0" w:line="180" w:lineRule="exact"/>
        <w:rPr>
          <w:sz w:val="20"/>
          <w:szCs w:val="20"/>
          <w:color w:val="auto"/>
        </w:rPr>
      </w:pPr>
    </w:p>
    <w:p>
      <w:pPr>
        <w:ind w:left="700" w:hanging="650"/>
        <w:spacing w:after="0"/>
        <w:tabs>
          <w:tab w:leader="none" w:pos="70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DEFERRED COMPENSATION</w:t>
      </w:r>
    </w:p>
    <w:p>
      <w:pPr>
        <w:spacing w:after="0" w:line="229"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We have a program whereby certain executives irrevocably elected to defer receipt of certain compensation in 1985 through 1988. Deferred compensation payments to these executives will commence upon their retirement. We purchased life insurance on these executives, payable to us in amounts which, if assumptions made as to mortality experience, policy dividends, and other factors are realized, will accumulate cash values adequate to reimburse us for all payments for insurance and deferred compensation obligations. In the event cash values are not sufficient to fund such obligations, the program allows us to reduce benefit payments to such amounts as may be funded by accumulated cash values. Premiums payments, deferred compensation obligations, and accrued interest payments were funded through policy and premium loans provided by the insurer. During 2019, we settled with the program participants and paid out the remaining cash value due to them, with the exception of two participants who chose to take the settlement payment over a five-year period. The deferred compensation liability related to the remaining participant payouts on the balance sheet as of December 26, 2020 and December 28, 2019, was $0.2 million and $0.3 million, respectively. The investment in life insurance contracts as of December 26, 2020 and December 28, 2019, was $13.3 million and $16.6 million, respectively.</w:t>
      </w:r>
    </w:p>
    <w:p>
      <w:pPr>
        <w:spacing w:after="0" w:line="168"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We also maintain a non-qualified deferred compensation plan (the "Plan") for the benefit of senior management employees who may elect to defer a portion of their annual bonus payments and salaries. The Plan provides investment options similar to our 401(k) plan, including our stock. The investment in our stock is funded by the issuance of shares to a Rabbi trust, and may only be distributed in kind. Assets held by the Plan totaled approximately $0.6 million and $1.1 million on December 26, 2020 and December 28, 2019, respectively, and are included in "Other Assets." Related liabilities totaled $36.6 million and $33.1 million on December 26, 2020 and December 28, 2019, respectively, and are included in "Other Liabilities" and "Shareholders’ Equity." Assets associated with the Plan are recorded at fair market value. The related liabilities are recorded at fair market value, with the exception of obligations associated with investments in our stock which are recorded at the market value on the date of deferral.</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6" w:name="page117"/>
    <w:bookmarkEnd w:id="1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700" w:hanging="650"/>
        <w:spacing w:after="0"/>
        <w:tabs>
          <w:tab w:leader="none" w:pos="70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COMMON STOCK</w:t>
      </w:r>
    </w:p>
    <w:p>
      <w:pPr>
        <w:spacing w:after="0" w:line="229"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We maintain and administer our shareholder approved Employee Stock Purchase Plan ("Stock Purchase Plan"). The Stock Purchase Plan allows eligible employees to purchase shares of our stock at a share price equal to 85% of fair market value on the purchase date. We have expensed the fair value of the compensation associated with these awards, which approximates the discount. The amount of expense is nominal.</w:t>
      </w:r>
    </w:p>
    <w:p>
      <w:pPr>
        <w:spacing w:after="0" w:line="171"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We maintain and administer our shareholder approved Directors’ Retainer Stock Plan ("Stock Retainer Plan"). The Stock Retainer Plan allows eligible members of the Board of Directors to defer the cash portion of their retainer and committee fees and receive shares of our stock at the time of or following their retirement, disability or death. The number of shares to be received is equal to the amount of the cash portion of their retainer and committee fees deferred multiplied by 110%, divided by the fair market value of a share of our stock at the time of deferral. The number of units is increased by the amount of dividends paid on our common stock. The units are immediately vested as of the grant date, since they are considered payment for services rendered quarterly. We recognized expense for this plan of $1.8 million in 2020, $1.8 million in 2019, and $1.7 million in 2018. Effective January 1, 2017, this plan was amended to allow directors to defer payment of the annual retainer paid in the form of our common stock. The number of shares to be received for their portion of the retainer that is deferred is equal to the amount of shares plus the number of shares attributable to cash dividends payable on those deferred shares.</w:t>
      </w:r>
    </w:p>
    <w:p>
      <w:pPr>
        <w:spacing w:after="0" w:line="182"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Finally, we maintain and administer our shareholder approved Long Term Stock Incentive Plan (the "LTSIP”). The LTSIP provides for the grant of stock options, stock appreciation rights, restricted stock, performance shares and other stock-based awards.</w:t>
      </w:r>
    </w:p>
    <w:p>
      <w:pPr>
        <w:spacing w:after="0" w:line="184"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Executive Stock Match awards are granted in the year following the requisite service period, which begins at the beginning of each fiscal year, and fully vest on the fifth anniversary of the grant date.</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There is no unrecognized compensation expense remaining for stock options in 2020, 2019, and 2018.</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Below is a summary of common stock issuances for 2020 and 2019:</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380" w:type="dxa"/>
            <w:vAlign w:val="bottom"/>
            <w:gridSpan w:val="3"/>
          </w:tcPr>
          <w:p>
            <w:pPr>
              <w:ind w:left="20"/>
              <w:spacing w:after="0"/>
              <w:rPr>
                <w:sz w:val="20"/>
                <w:szCs w:val="20"/>
                <w:color w:val="auto"/>
              </w:rPr>
            </w:pPr>
            <w:r>
              <w:rPr>
                <w:rFonts w:ascii="Arial" w:cs="Arial" w:eastAsia="Arial" w:hAnsi="Arial"/>
                <w:sz w:val="14"/>
                <w:szCs w:val="14"/>
                <w:b w:val="1"/>
                <w:bCs w:val="1"/>
                <w:color w:val="auto"/>
              </w:rPr>
              <w:t>(in thousands, except per share data)</w:t>
            </w:r>
          </w:p>
        </w:tc>
        <w:tc>
          <w:tcPr>
            <w:tcW w:w="2780" w:type="dxa"/>
            <w:vAlign w:val="bottom"/>
          </w:tcPr>
          <w:p>
            <w:pPr>
              <w:spacing w:after="0"/>
              <w:rPr>
                <w:sz w:val="14"/>
                <w:szCs w:val="14"/>
                <w:color w:val="auto"/>
              </w:rPr>
            </w:pPr>
          </w:p>
        </w:tc>
        <w:tc>
          <w:tcPr>
            <w:tcW w:w="1760" w:type="dxa"/>
            <w:vAlign w:val="bottom"/>
            <w:gridSpan w:val="4"/>
          </w:tcPr>
          <w:p>
            <w:pPr>
              <w:ind w:left="280"/>
              <w:spacing w:after="0"/>
              <w:rPr>
                <w:sz w:val="20"/>
                <w:szCs w:val="20"/>
                <w:color w:val="auto"/>
              </w:rPr>
            </w:pPr>
            <w:r>
              <w:rPr>
                <w:rFonts w:ascii="Arial" w:cs="Arial" w:eastAsia="Arial" w:hAnsi="Arial"/>
                <w:sz w:val="14"/>
                <w:szCs w:val="14"/>
                <w:b w:val="1"/>
                <w:bCs w:val="1"/>
                <w:color w:val="auto"/>
              </w:rPr>
              <w:t>December 26, 2020</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78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5"/>
              </w:rPr>
              <w:t>Common</w:t>
            </w:r>
          </w:p>
        </w:tc>
        <w:tc>
          <w:tcPr>
            <w:tcW w:w="3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7"/>
              </w:rPr>
              <w:t>Average</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2560" w:type="dxa"/>
            <w:vAlign w:val="bottom"/>
          </w:tcPr>
          <w:p>
            <w:pPr>
              <w:spacing w:after="0"/>
              <w:rPr>
                <w:sz w:val="5"/>
                <w:szCs w:val="5"/>
                <w:color w:val="auto"/>
              </w:rPr>
            </w:pPr>
          </w:p>
        </w:tc>
        <w:tc>
          <w:tcPr>
            <w:tcW w:w="278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gridSpan w:val="2"/>
            <w:vMerge w:val="restart"/>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Share</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800" w:type="dxa"/>
            <w:vAlign w:val="bottom"/>
            <w:vMerge w:val="restart"/>
          </w:tcPr>
          <w:p>
            <w:pPr>
              <w:spacing w:after="0" w:line="192" w:lineRule="exact"/>
              <w:rPr>
                <w:sz w:val="20"/>
                <w:szCs w:val="20"/>
                <w:color w:val="auto"/>
              </w:rPr>
            </w:pPr>
            <w:r>
              <w:rPr>
                <w:rFonts w:ascii="Arial" w:cs="Arial" w:eastAsia="Arial" w:hAnsi="Arial"/>
                <w:sz w:val="18"/>
                <w:szCs w:val="18"/>
                <w:b w:val="1"/>
                <w:bCs w:val="1"/>
                <w:color w:val="auto"/>
                <w:w w:val="88"/>
              </w:rPr>
              <w:t>Share Issuance Activity</w:t>
            </w:r>
          </w:p>
        </w:tc>
        <w:tc>
          <w:tcPr>
            <w:tcW w:w="2560" w:type="dxa"/>
            <w:vAlign w:val="bottom"/>
          </w:tcPr>
          <w:p>
            <w:pPr>
              <w:spacing w:after="0"/>
              <w:rPr>
                <w:sz w:val="7"/>
                <w:szCs w:val="7"/>
                <w:color w:val="auto"/>
              </w:rPr>
            </w:pPr>
          </w:p>
        </w:tc>
        <w:tc>
          <w:tcPr>
            <w:tcW w:w="2780" w:type="dxa"/>
            <w:vAlign w:val="bottom"/>
          </w:tcPr>
          <w:p>
            <w:pPr>
              <w:spacing w:after="0"/>
              <w:rPr>
                <w:sz w:val="7"/>
                <w:szCs w:val="7"/>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Stock</w:t>
            </w:r>
          </w:p>
        </w:tc>
        <w:tc>
          <w:tcPr>
            <w:tcW w:w="30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800" w:type="dxa"/>
            <w:vAlign w:val="bottom"/>
            <w:tcBorders>
              <w:bottom w:val="single" w:sz="8" w:color="auto"/>
            </w:tcBorders>
            <w:vMerge w:val="continue"/>
          </w:tcPr>
          <w:p>
            <w:pPr>
              <w:spacing w:after="0"/>
              <w:rPr>
                <w:sz w:val="11"/>
                <w:szCs w:val="11"/>
                <w:color w:val="auto"/>
              </w:rPr>
            </w:pPr>
          </w:p>
        </w:tc>
        <w:tc>
          <w:tcPr>
            <w:tcW w:w="256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gridSpan w:val="2"/>
          </w:tcPr>
          <w:p>
            <w:pPr>
              <w:jc w:val="center"/>
              <w:ind w:right="40"/>
              <w:spacing w:after="0" w:line="125" w:lineRule="exact"/>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2560" w:type="dxa"/>
            <w:vAlign w:val="bottom"/>
            <w:tcBorders>
              <w:bottom w:val="single" w:sz="8" w:color="CCEEFF"/>
            </w:tcBorders>
          </w:tcPr>
          <w:p>
            <w:pPr>
              <w:spacing w:after="0" w:line="20" w:lineRule="exact"/>
              <w:rPr>
                <w:sz w:val="1"/>
                <w:szCs w:val="1"/>
                <w:color w:val="auto"/>
              </w:rPr>
            </w:pPr>
          </w:p>
        </w:tc>
        <w:tc>
          <w:tcPr>
            <w:tcW w:w="27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3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w w:val="97"/>
              </w:rPr>
              <w:t>Shares issued under the employee stock purchase plan</w:t>
            </w:r>
          </w:p>
        </w:tc>
        <w:tc>
          <w:tcPr>
            <w:tcW w:w="278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35</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46.71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7"/>
              </w:rPr>
              <w:t>Shares issued under the employee stock gift program</w:t>
            </w:r>
          </w:p>
        </w:tc>
        <w:tc>
          <w:tcPr>
            <w:tcW w:w="3560" w:type="dxa"/>
            <w:vAlign w:val="bottom"/>
            <w:gridSpan w:val="2"/>
            <w:shd w:val="clear" w:color="auto" w:fill="CCEEFF"/>
          </w:tcPr>
          <w:p>
            <w:pPr>
              <w:jc w:val="center"/>
              <w:ind w:left="2690"/>
              <w:spacing w:after="0"/>
              <w:rPr>
                <w:sz w:val="20"/>
                <w:szCs w:val="20"/>
                <w:color w:val="auto"/>
              </w:rPr>
            </w:pPr>
            <w:r>
              <w:rPr>
                <w:rFonts w:ascii="Arial" w:cs="Arial" w:eastAsia="Arial" w:hAnsi="Arial"/>
                <w:sz w:val="18"/>
                <w:szCs w:val="18"/>
                <w:color w:val="auto"/>
                <w:w w:val="99"/>
              </w:rPr>
              <w:t>3</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48.10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ind w:left="180"/>
              <w:spacing w:after="0"/>
              <w:rPr>
                <w:sz w:val="20"/>
                <w:szCs w:val="20"/>
                <w:color w:val="auto"/>
              </w:rPr>
            </w:pPr>
            <w:r>
              <w:rPr>
                <w:rFonts w:ascii="Arial" w:cs="Arial" w:eastAsia="Arial" w:hAnsi="Arial"/>
                <w:sz w:val="18"/>
                <w:szCs w:val="18"/>
                <w:color w:val="auto"/>
                <w:w w:val="93"/>
              </w:rPr>
              <w:t>Shares issued under the director retainer stock program</w:t>
            </w:r>
          </w:p>
        </w:tc>
        <w:tc>
          <w:tcPr>
            <w:tcW w:w="3560" w:type="dxa"/>
            <w:vAlign w:val="bottom"/>
            <w:gridSpan w:val="2"/>
          </w:tcPr>
          <w:p>
            <w:pPr>
              <w:jc w:val="center"/>
              <w:ind w:left="2690"/>
              <w:spacing w:after="0"/>
              <w:rPr>
                <w:sz w:val="20"/>
                <w:szCs w:val="20"/>
                <w:color w:val="auto"/>
              </w:rPr>
            </w:pPr>
            <w:r>
              <w:rPr>
                <w:rFonts w:ascii="Arial" w:cs="Arial" w:eastAsia="Arial" w:hAnsi="Arial"/>
                <w:sz w:val="18"/>
                <w:szCs w:val="18"/>
                <w:color w:val="auto"/>
                <w:w w:val="89"/>
              </w:rPr>
              <w:t>46</w:t>
            </w:r>
          </w:p>
        </w:tc>
        <w:tc>
          <w:tcPr>
            <w:tcW w:w="30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3"/>
              </w:rPr>
              <w:t>25.31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Shares issued under the bonus plan</w:t>
            </w:r>
          </w:p>
        </w:tc>
        <w:tc>
          <w:tcPr>
            <w:tcW w:w="3560" w:type="dxa"/>
            <w:vAlign w:val="bottom"/>
            <w:gridSpan w:val="2"/>
            <w:shd w:val="clear" w:color="auto" w:fill="CCEEFF"/>
          </w:tcPr>
          <w:p>
            <w:pPr>
              <w:jc w:val="center"/>
              <w:ind w:left="2690"/>
              <w:spacing w:after="0"/>
              <w:rPr>
                <w:sz w:val="20"/>
                <w:szCs w:val="20"/>
                <w:color w:val="auto"/>
              </w:rPr>
            </w:pPr>
            <w:r>
              <w:rPr>
                <w:rFonts w:ascii="Arial" w:cs="Arial" w:eastAsia="Arial" w:hAnsi="Arial"/>
                <w:sz w:val="18"/>
                <w:szCs w:val="18"/>
                <w:color w:val="auto"/>
                <w:w w:val="86"/>
              </w:rPr>
              <w:t>271</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47.52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ind w:left="180"/>
              <w:spacing w:after="0"/>
              <w:rPr>
                <w:sz w:val="20"/>
                <w:szCs w:val="20"/>
                <w:color w:val="auto"/>
              </w:rPr>
            </w:pPr>
            <w:r>
              <w:rPr>
                <w:rFonts w:ascii="Arial" w:cs="Arial" w:eastAsia="Arial" w:hAnsi="Arial"/>
                <w:sz w:val="18"/>
                <w:szCs w:val="18"/>
                <w:color w:val="auto"/>
                <w:w w:val="88"/>
              </w:rPr>
              <w:t>Shares issued under the executive stock match grants plan</w:t>
            </w:r>
          </w:p>
        </w:tc>
        <w:tc>
          <w:tcPr>
            <w:tcW w:w="3560" w:type="dxa"/>
            <w:vAlign w:val="bottom"/>
            <w:gridSpan w:val="2"/>
          </w:tcPr>
          <w:p>
            <w:pPr>
              <w:jc w:val="center"/>
              <w:ind w:left="2690"/>
              <w:spacing w:after="0"/>
              <w:rPr>
                <w:sz w:val="20"/>
                <w:szCs w:val="20"/>
                <w:color w:val="auto"/>
              </w:rPr>
            </w:pPr>
            <w:r>
              <w:rPr>
                <w:rFonts w:ascii="Arial" w:cs="Arial" w:eastAsia="Arial" w:hAnsi="Arial"/>
                <w:sz w:val="18"/>
                <w:szCs w:val="18"/>
                <w:color w:val="auto"/>
                <w:w w:val="89"/>
              </w:rPr>
              <w:t>79</w:t>
            </w:r>
          </w:p>
        </w:tc>
        <w:tc>
          <w:tcPr>
            <w:tcW w:w="30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3"/>
              </w:rPr>
              <w:t>47.60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Forfeitures</w:t>
            </w:r>
          </w:p>
        </w:tc>
        <w:tc>
          <w:tcPr>
            <w:tcW w:w="3560" w:type="dxa"/>
            <w:vAlign w:val="bottom"/>
            <w:gridSpan w:val="2"/>
            <w:shd w:val="clear" w:color="auto" w:fill="CCEEFF"/>
          </w:tcPr>
          <w:p>
            <w:pPr>
              <w:jc w:val="center"/>
              <w:ind w:left="2690"/>
              <w:spacing w:after="0"/>
              <w:rPr>
                <w:sz w:val="20"/>
                <w:szCs w:val="20"/>
                <w:color w:val="auto"/>
              </w:rPr>
            </w:pPr>
            <w:r>
              <w:rPr>
                <w:rFonts w:ascii="Arial" w:cs="Arial" w:eastAsia="Arial" w:hAnsi="Arial"/>
                <w:sz w:val="18"/>
                <w:szCs w:val="18"/>
                <w:color w:val="auto"/>
                <w:w w:val="99"/>
              </w:rPr>
              <w:t>(9)</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80" w:type="dxa"/>
            <w:vAlign w:val="bottom"/>
            <w:gridSpan w:val="3"/>
          </w:tcPr>
          <w:p>
            <w:pPr>
              <w:ind w:left="20"/>
              <w:spacing w:after="0"/>
              <w:rPr>
                <w:sz w:val="20"/>
                <w:szCs w:val="20"/>
                <w:color w:val="auto"/>
              </w:rPr>
            </w:pPr>
            <w:r>
              <w:rPr>
                <w:rFonts w:ascii="Arial" w:cs="Arial" w:eastAsia="Arial" w:hAnsi="Arial"/>
                <w:sz w:val="18"/>
                <w:szCs w:val="18"/>
                <w:color w:val="auto"/>
              </w:rPr>
              <w:t>Total shares issued under stock grant programs</w:t>
            </w:r>
          </w:p>
        </w:tc>
        <w:tc>
          <w:tcPr>
            <w:tcW w:w="2780" w:type="dxa"/>
            <w:vAlign w:val="bottom"/>
          </w:tcPr>
          <w:p>
            <w:pPr>
              <w:spacing w:after="0"/>
              <w:rPr>
                <w:sz w:val="18"/>
                <w:szCs w:val="18"/>
                <w:color w:val="auto"/>
              </w:rPr>
            </w:pPr>
          </w:p>
        </w:tc>
        <w:tc>
          <w:tcPr>
            <w:tcW w:w="7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6"/>
              </w:rPr>
              <w:t>390</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60" w:type="dxa"/>
            <w:vAlign w:val="bottom"/>
          </w:tcPr>
          <w:p>
            <w:pPr>
              <w:jc w:val="center"/>
              <w:spacing w:after="0"/>
              <w:rPr>
                <w:sz w:val="20"/>
                <w:szCs w:val="20"/>
                <w:color w:val="auto"/>
              </w:rPr>
            </w:pPr>
            <w:r>
              <w:rPr>
                <w:rFonts w:ascii="Arial" w:cs="Arial" w:eastAsia="Arial" w:hAnsi="Arial"/>
                <w:sz w:val="18"/>
                <w:szCs w:val="18"/>
                <w:color w:val="auto"/>
                <w:w w:val="93"/>
              </w:rPr>
              <w:t>44.96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80" w:type="dxa"/>
            <w:vAlign w:val="bottom"/>
            <w:gridSpan w:val="3"/>
          </w:tcPr>
          <w:p>
            <w:pPr>
              <w:ind w:left="20"/>
              <w:spacing w:after="0"/>
              <w:rPr>
                <w:sz w:val="20"/>
                <w:szCs w:val="20"/>
                <w:color w:val="auto"/>
              </w:rPr>
            </w:pPr>
            <w:r>
              <w:rPr>
                <w:rFonts w:ascii="Arial" w:cs="Arial" w:eastAsia="Arial" w:hAnsi="Arial"/>
                <w:sz w:val="18"/>
                <w:szCs w:val="18"/>
                <w:color w:val="auto"/>
              </w:rPr>
              <w:t>Shares issued under the deferred compensation plans</w:t>
            </w:r>
          </w:p>
        </w:tc>
        <w:tc>
          <w:tcPr>
            <w:tcW w:w="3560" w:type="dxa"/>
            <w:vAlign w:val="bottom"/>
            <w:gridSpan w:val="2"/>
          </w:tcPr>
          <w:p>
            <w:pPr>
              <w:jc w:val="center"/>
              <w:ind w:left="2690"/>
              <w:spacing w:after="0"/>
              <w:rPr>
                <w:sz w:val="20"/>
                <w:szCs w:val="20"/>
                <w:color w:val="auto"/>
              </w:rPr>
            </w:pPr>
            <w:r>
              <w:rPr>
                <w:rFonts w:ascii="Arial" w:cs="Arial" w:eastAsia="Arial" w:hAnsi="Arial"/>
                <w:sz w:val="18"/>
                <w:szCs w:val="18"/>
                <w:color w:val="auto"/>
                <w:w w:val="86"/>
              </w:rPr>
              <w:t>128</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60" w:type="dxa"/>
            <w:vAlign w:val="bottom"/>
          </w:tcPr>
          <w:p>
            <w:pPr>
              <w:jc w:val="center"/>
              <w:spacing w:after="0"/>
              <w:rPr>
                <w:sz w:val="20"/>
                <w:szCs w:val="20"/>
                <w:color w:val="auto"/>
              </w:rPr>
            </w:pPr>
            <w:r>
              <w:rPr>
                <w:rFonts w:ascii="Arial" w:cs="Arial" w:eastAsia="Arial" w:hAnsi="Arial"/>
                <w:sz w:val="18"/>
                <w:szCs w:val="18"/>
                <w:color w:val="auto"/>
                <w:w w:val="93"/>
              </w:rPr>
              <w:t>53.79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50"/>
        </w:trPr>
        <w:tc>
          <w:tcPr>
            <w:tcW w:w="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780" w:type="dxa"/>
            <w:vAlign w:val="bottom"/>
          </w:tcPr>
          <w:p>
            <w:pPr>
              <w:jc w:val="right"/>
              <w:ind w:right="2510"/>
              <w:spacing w:after="0"/>
              <w:rPr>
                <w:sz w:val="20"/>
                <w:szCs w:val="20"/>
                <w:color w:val="auto"/>
              </w:rPr>
            </w:pPr>
            <w:r>
              <w:rPr>
                <w:rFonts w:ascii="Arial" w:cs="Arial" w:eastAsia="Arial" w:hAnsi="Arial"/>
                <w:sz w:val="18"/>
                <w:szCs w:val="18"/>
                <w:color w:val="auto"/>
                <w:w w:val="79"/>
              </w:rPr>
              <w:t>48</w:t>
            </w: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17" w:name="page118"/>
    <w:bookmarkEnd w:id="1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000" w:type="dxa"/>
            <w:vAlign w:val="bottom"/>
            <w:gridSpan w:val="3"/>
          </w:tcPr>
          <w:p>
            <w:pPr>
              <w:ind w:left="20"/>
              <w:spacing w:after="0"/>
              <w:rPr>
                <w:sz w:val="20"/>
                <w:szCs w:val="20"/>
                <w:color w:val="auto"/>
              </w:rPr>
            </w:pPr>
            <w:r>
              <w:rPr>
                <w:rFonts w:ascii="Arial" w:cs="Arial" w:eastAsia="Arial" w:hAnsi="Arial"/>
                <w:sz w:val="14"/>
                <w:szCs w:val="14"/>
                <w:b w:val="1"/>
                <w:bCs w:val="1"/>
                <w:color w:val="auto"/>
              </w:rPr>
              <w:t>(in thousands, except per share data)</w:t>
            </w: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rPr>
              <w:t>December 28, 2019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5"/>
              </w:rPr>
              <w:t>Common</w:t>
            </w:r>
          </w:p>
        </w:tc>
        <w:tc>
          <w:tcPr>
            <w:tcW w:w="160" w:type="dxa"/>
            <w:vAlign w:val="bottom"/>
          </w:tcPr>
          <w:p>
            <w:pPr>
              <w:spacing w:after="0"/>
              <w:rPr>
                <w:sz w:val="10"/>
                <w:szCs w:val="10"/>
                <w:color w:val="auto"/>
              </w:rPr>
            </w:pPr>
          </w:p>
        </w:tc>
        <w:tc>
          <w:tcPr>
            <w:tcW w:w="7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Average</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318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7"/>
              </w:rPr>
              <w:t>Share</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800" w:type="dxa"/>
            <w:vAlign w:val="bottom"/>
            <w:vMerge w:val="restart"/>
          </w:tcPr>
          <w:p>
            <w:pPr>
              <w:spacing w:after="0" w:line="192" w:lineRule="exact"/>
              <w:rPr>
                <w:sz w:val="20"/>
                <w:szCs w:val="20"/>
                <w:color w:val="auto"/>
              </w:rPr>
            </w:pPr>
            <w:r>
              <w:rPr>
                <w:rFonts w:ascii="Arial" w:cs="Arial" w:eastAsia="Arial" w:hAnsi="Arial"/>
                <w:sz w:val="18"/>
                <w:szCs w:val="18"/>
                <w:b w:val="1"/>
                <w:bCs w:val="1"/>
                <w:color w:val="auto"/>
                <w:w w:val="88"/>
              </w:rPr>
              <w:t>Share Issuance Activity</w:t>
            </w:r>
          </w:p>
        </w:tc>
        <w:tc>
          <w:tcPr>
            <w:tcW w:w="3180" w:type="dxa"/>
            <w:vAlign w:val="bottom"/>
          </w:tcPr>
          <w:p>
            <w:pPr>
              <w:spacing w:after="0"/>
              <w:rPr>
                <w:sz w:val="7"/>
                <w:szCs w:val="7"/>
                <w:color w:val="auto"/>
              </w:rPr>
            </w:pPr>
          </w:p>
        </w:tc>
        <w:tc>
          <w:tcPr>
            <w:tcW w:w="90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9"/>
              </w:rPr>
              <w:t>Stock</w:t>
            </w:r>
          </w:p>
        </w:tc>
        <w:tc>
          <w:tcPr>
            <w:tcW w:w="1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800" w:type="dxa"/>
            <w:vAlign w:val="bottom"/>
            <w:tcBorders>
              <w:bottom w:val="single" w:sz="8" w:color="auto"/>
            </w:tcBorders>
            <w:vMerge w:val="continue"/>
          </w:tcPr>
          <w:p>
            <w:pPr>
              <w:spacing w:after="0"/>
              <w:rPr>
                <w:sz w:val="11"/>
                <w:szCs w:val="11"/>
                <w:color w:val="auto"/>
              </w:rPr>
            </w:pPr>
          </w:p>
        </w:tc>
        <w:tc>
          <w:tcPr>
            <w:tcW w:w="3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3"/>
              </w:rPr>
              <w:t>Price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31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0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Shares issued under the employee stock purchase plan</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center"/>
              <w:ind w:right="15"/>
              <w:spacing w:after="0"/>
              <w:rPr>
                <w:sz w:val="20"/>
                <w:szCs w:val="20"/>
                <w:color w:val="auto"/>
              </w:rPr>
            </w:pPr>
            <w:r>
              <w:rPr>
                <w:rFonts w:ascii="Arial" w:cs="Arial" w:eastAsia="Arial" w:hAnsi="Arial"/>
                <w:sz w:val="18"/>
                <w:szCs w:val="18"/>
                <w:color w:val="auto"/>
                <w:w w:val="89"/>
              </w:rPr>
              <w:t>34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32.47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Shares issued under the employee stock gift program</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center"/>
              <w:ind w:right="15"/>
              <w:spacing w:after="0"/>
              <w:rPr>
                <w:sz w:val="20"/>
                <w:szCs w:val="20"/>
                <w:color w:val="auto"/>
              </w:rPr>
            </w:pPr>
            <w:r>
              <w:rPr>
                <w:rFonts w:ascii="Arial" w:cs="Arial" w:eastAsia="Arial" w:hAnsi="Arial"/>
                <w:sz w:val="18"/>
                <w:szCs w:val="18"/>
                <w:color w:val="auto"/>
                <w:w w:val="99"/>
              </w:rPr>
              <w:t>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35.68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ind w:left="180"/>
              <w:spacing w:after="0"/>
              <w:rPr>
                <w:sz w:val="20"/>
                <w:szCs w:val="20"/>
                <w:color w:val="auto"/>
              </w:rPr>
            </w:pPr>
            <w:r>
              <w:rPr>
                <w:rFonts w:ascii="Arial" w:cs="Arial" w:eastAsia="Arial" w:hAnsi="Arial"/>
                <w:sz w:val="18"/>
                <w:szCs w:val="18"/>
                <w:color w:val="auto"/>
              </w:rPr>
              <w:t>Shares issued under the director retainer stock program</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center"/>
              <w:ind w:right="15"/>
              <w:spacing w:after="0"/>
              <w:rPr>
                <w:sz w:val="20"/>
                <w:szCs w:val="20"/>
                <w:color w:val="auto"/>
              </w:rPr>
            </w:pPr>
            <w:r>
              <w:rPr>
                <w:rFonts w:ascii="Arial" w:cs="Arial" w:eastAsia="Arial" w:hAnsi="Arial"/>
                <w:sz w:val="18"/>
                <w:szCs w:val="18"/>
                <w:color w:val="auto"/>
                <w:w w:val="99"/>
              </w:rPr>
              <w:t>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3"/>
              </w:rPr>
              <w:t>38.44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Shares issued under the bonus plan</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center"/>
              <w:ind w:right="15"/>
              <w:spacing w:after="0"/>
              <w:rPr>
                <w:sz w:val="20"/>
                <w:szCs w:val="20"/>
                <w:color w:val="auto"/>
              </w:rPr>
            </w:pPr>
            <w:r>
              <w:rPr>
                <w:rFonts w:ascii="Arial" w:cs="Arial" w:eastAsia="Arial" w:hAnsi="Arial"/>
                <w:sz w:val="18"/>
                <w:szCs w:val="18"/>
                <w:color w:val="auto"/>
                <w:w w:val="86"/>
              </w:rPr>
              <w:t>211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30.83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ind w:left="180"/>
              <w:spacing w:after="0"/>
              <w:rPr>
                <w:sz w:val="20"/>
                <w:szCs w:val="20"/>
                <w:color w:val="auto"/>
              </w:rPr>
            </w:pPr>
            <w:r>
              <w:rPr>
                <w:rFonts w:ascii="Arial" w:cs="Arial" w:eastAsia="Arial" w:hAnsi="Arial"/>
                <w:sz w:val="18"/>
                <w:szCs w:val="18"/>
                <w:color w:val="auto"/>
              </w:rPr>
              <w:t>Shares issued under the executive stock match grants plan</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center"/>
              <w:ind w:right="15"/>
              <w:spacing w:after="0"/>
              <w:rPr>
                <w:sz w:val="20"/>
                <w:szCs w:val="20"/>
                <w:color w:val="auto"/>
              </w:rPr>
            </w:pPr>
            <w:r>
              <w:rPr>
                <w:rFonts w:ascii="Arial" w:cs="Arial" w:eastAsia="Arial" w:hAnsi="Arial"/>
                <w:sz w:val="18"/>
                <w:szCs w:val="18"/>
                <w:color w:val="auto"/>
                <w:w w:val="86"/>
              </w:rPr>
              <w:t>109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3"/>
              </w:rPr>
              <w:t>31.57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Forfeitures</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center"/>
              <w:ind w:right="15"/>
              <w:spacing w:after="0"/>
              <w:rPr>
                <w:sz w:val="20"/>
                <w:szCs w:val="20"/>
                <w:color w:val="auto"/>
              </w:rPr>
            </w:pPr>
            <w:r>
              <w:rPr>
                <w:rFonts w:ascii="Arial" w:cs="Arial" w:eastAsia="Arial" w:hAnsi="Arial"/>
                <w:sz w:val="18"/>
                <w:szCs w:val="18"/>
                <w:color w:val="auto"/>
                <w:w w:val="93"/>
              </w:rPr>
              <w:t>(19)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00" w:type="dxa"/>
            <w:vAlign w:val="bottom"/>
            <w:gridSpan w:val="3"/>
          </w:tcPr>
          <w:p>
            <w:pPr>
              <w:ind w:left="20"/>
              <w:spacing w:after="0"/>
              <w:rPr>
                <w:sz w:val="20"/>
                <w:szCs w:val="20"/>
                <w:color w:val="auto"/>
              </w:rPr>
            </w:pPr>
            <w:r>
              <w:rPr>
                <w:rFonts w:ascii="Arial" w:cs="Arial" w:eastAsia="Arial" w:hAnsi="Arial"/>
                <w:sz w:val="18"/>
                <w:szCs w:val="18"/>
                <w:color w:val="auto"/>
              </w:rPr>
              <w:t>Total shares issued under stock grant programs</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center"/>
              <w:ind w:right="15"/>
              <w:spacing w:after="0"/>
              <w:rPr>
                <w:sz w:val="20"/>
                <w:szCs w:val="20"/>
                <w:color w:val="auto"/>
              </w:rPr>
            </w:pPr>
            <w:r>
              <w:rPr>
                <w:rFonts w:ascii="Arial" w:cs="Arial" w:eastAsia="Arial" w:hAnsi="Arial"/>
                <w:sz w:val="18"/>
                <w:szCs w:val="18"/>
                <w:color w:val="auto"/>
                <w:w w:val="86"/>
              </w:rPr>
              <w:t>310</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center"/>
              <w:spacing w:after="0"/>
              <w:rPr>
                <w:sz w:val="20"/>
                <w:szCs w:val="20"/>
                <w:color w:val="auto"/>
              </w:rPr>
            </w:pPr>
            <w:r>
              <w:rPr>
                <w:rFonts w:ascii="Arial" w:cs="Arial" w:eastAsia="Arial" w:hAnsi="Arial"/>
                <w:sz w:val="18"/>
                <w:szCs w:val="18"/>
                <w:color w:val="auto"/>
                <w:w w:val="93"/>
              </w:rPr>
              <w:t>31.25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0" w:type="dxa"/>
            <w:vAlign w:val="bottom"/>
            <w:gridSpan w:val="3"/>
          </w:tcPr>
          <w:p>
            <w:pPr>
              <w:ind w:left="20"/>
              <w:spacing w:after="0"/>
              <w:rPr>
                <w:sz w:val="20"/>
                <w:szCs w:val="20"/>
                <w:color w:val="auto"/>
              </w:rPr>
            </w:pPr>
            <w:r>
              <w:rPr>
                <w:rFonts w:ascii="Arial" w:cs="Arial" w:eastAsia="Arial" w:hAnsi="Arial"/>
                <w:sz w:val="18"/>
                <w:szCs w:val="18"/>
                <w:color w:val="auto"/>
              </w:rPr>
              <w:t>Shares issued under the deferred compensation plans</w:t>
            </w: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center"/>
              <w:ind w:right="15"/>
              <w:spacing w:after="0"/>
              <w:rPr>
                <w:sz w:val="20"/>
                <w:szCs w:val="20"/>
                <w:color w:val="auto"/>
              </w:rPr>
            </w:pPr>
            <w:r>
              <w:rPr>
                <w:rFonts w:ascii="Arial" w:cs="Arial" w:eastAsia="Arial" w:hAnsi="Arial"/>
                <w:sz w:val="18"/>
                <w:szCs w:val="18"/>
                <w:color w:val="auto"/>
                <w:w w:val="86"/>
              </w:rPr>
              <w:t>181</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center"/>
              <w:spacing w:after="0"/>
              <w:rPr>
                <w:sz w:val="20"/>
                <w:szCs w:val="20"/>
                <w:color w:val="auto"/>
              </w:rPr>
            </w:pPr>
            <w:r>
              <w:rPr>
                <w:rFonts w:ascii="Arial" w:cs="Arial" w:eastAsia="Arial" w:hAnsi="Arial"/>
                <w:sz w:val="18"/>
                <w:szCs w:val="18"/>
                <w:color w:val="auto"/>
                <w:w w:val="93"/>
              </w:rPr>
              <w:t>34.31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20" w:type="dxa"/>
            <w:vAlign w:val="bottom"/>
          </w:tcPr>
          <w:p>
            <w:pPr>
              <w:spacing w:after="0"/>
              <w:rPr>
                <w:sz w:val="24"/>
                <w:szCs w:val="24"/>
                <w:color w:val="auto"/>
              </w:rPr>
            </w:pPr>
          </w:p>
        </w:tc>
        <w:tc>
          <w:tcPr>
            <w:tcW w:w="7240" w:type="dxa"/>
            <w:vAlign w:val="bottom"/>
            <w:gridSpan w:val="7"/>
          </w:tcPr>
          <w:p>
            <w:pPr>
              <w:ind w:left="640"/>
              <w:spacing w:after="0"/>
              <w:rPr>
                <w:sz w:val="20"/>
                <w:szCs w:val="20"/>
                <w:color w:val="auto"/>
              </w:rPr>
            </w:pPr>
            <w:r>
              <w:rPr>
                <w:rFonts w:ascii="Arial" w:cs="Arial" w:eastAsia="Arial" w:hAnsi="Arial"/>
                <w:sz w:val="18"/>
                <w:szCs w:val="18"/>
                <w:color w:val="auto"/>
                <w:w w:val="90"/>
              </w:rPr>
              <w:t>A summary of the nonvested restricted stock awards granted under the LTSIP is as follows:</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92"/>
              </w:rPr>
              <w:t>Unrecognized</w:t>
            </w:r>
          </w:p>
        </w:tc>
        <w:tc>
          <w:tcPr>
            <w:tcW w:w="160" w:type="dxa"/>
            <w:vAlign w:val="bottom"/>
          </w:tcPr>
          <w:p>
            <w:pPr>
              <w:spacing w:after="0"/>
              <w:rPr>
                <w:sz w:val="21"/>
                <w:szCs w:val="21"/>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vMerge w:val="restart"/>
          </w:tcPr>
          <w:p>
            <w:pPr>
              <w:jc w:val="center"/>
              <w:ind w:right="111"/>
              <w:spacing w:after="0"/>
              <w:rPr>
                <w:sz w:val="20"/>
                <w:szCs w:val="20"/>
                <w:color w:val="auto"/>
              </w:rPr>
            </w:pPr>
            <w:r>
              <w:rPr>
                <w:rFonts w:ascii="Arial" w:cs="Arial" w:eastAsia="Arial" w:hAnsi="Arial"/>
                <w:sz w:val="14"/>
                <w:szCs w:val="14"/>
                <w:b w:val="1"/>
                <w:bCs w:val="1"/>
                <w:color w:val="auto"/>
                <w:w w:val="94"/>
              </w:rPr>
              <w:t>Weighted-</w:t>
            </w:r>
          </w:p>
        </w:tc>
        <w:tc>
          <w:tcPr>
            <w:tcW w:w="100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90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rPr>
              <w:t>Restricted</w:t>
            </w:r>
          </w:p>
        </w:tc>
        <w:tc>
          <w:tcPr>
            <w:tcW w:w="2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00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1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Period to</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1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Average Grant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Expense</w:t>
            </w:r>
          </w:p>
        </w:tc>
        <w:tc>
          <w:tcPr>
            <w:tcW w:w="1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Recognize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800" w:type="dxa"/>
            <w:vAlign w:val="bottom"/>
            <w:tcBorders>
              <w:bottom w:val="single" w:sz="8" w:color="auto"/>
            </w:tcBorders>
          </w:tcPr>
          <w:p>
            <w:pPr>
              <w:spacing w:after="0"/>
              <w:rPr>
                <w:sz w:val="15"/>
                <w:szCs w:val="15"/>
                <w:color w:val="auto"/>
              </w:rPr>
            </w:pPr>
          </w:p>
        </w:tc>
        <w:tc>
          <w:tcPr>
            <w:tcW w:w="3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Awards</w:t>
            </w: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Date Fair Value</w:t>
            </w: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4"/>
              </w:rPr>
              <w:t>(in millions)</w:t>
            </w: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Expense</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Nonvested at December 30, 2017</w:t>
            </w:r>
          </w:p>
        </w:tc>
        <w:tc>
          <w:tcPr>
            <w:tcW w:w="9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2"/>
              </w:rPr>
              <w:t>1,033,626</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24.24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7"/>
              </w:rPr>
              <w:t>1.31 years</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247,068</w:t>
            </w:r>
          </w:p>
        </w:tc>
        <w:tc>
          <w:tcPr>
            <w:tcW w:w="200" w:type="dxa"/>
            <w:vAlign w:val="bottom"/>
          </w:tcPr>
          <w:p>
            <w:pPr>
              <w:spacing w:after="0"/>
              <w:rPr>
                <w:sz w:val="18"/>
                <w:szCs w:val="18"/>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36.52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(107,865)</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18.11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Forfeited</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(12,750)</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24.19</w:t>
            </w: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Nonvested at December 29, 2018</w:t>
            </w:r>
          </w:p>
        </w:tc>
        <w:tc>
          <w:tcPr>
            <w:tcW w:w="9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2"/>
              </w:rPr>
              <w:t>1,160,079</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23.32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7"/>
              </w:rPr>
              <w:t>1.12 years</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318,496</w:t>
            </w:r>
          </w:p>
        </w:tc>
        <w:tc>
          <w:tcPr>
            <w:tcW w:w="200" w:type="dxa"/>
            <w:vAlign w:val="bottom"/>
          </w:tcPr>
          <w:p>
            <w:pPr>
              <w:spacing w:after="0"/>
              <w:rPr>
                <w:sz w:val="18"/>
                <w:szCs w:val="18"/>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32.60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(224,894)</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23.42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Forfeited</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(50,786)</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24.18</w:t>
            </w: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Nonvested at December 28, 2019</w:t>
            </w:r>
          </w:p>
        </w:tc>
        <w:tc>
          <w:tcPr>
            <w:tcW w:w="9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2"/>
              </w:rPr>
              <w:t>1,202,895</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29.68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7"/>
              </w:rPr>
              <w:t>0.86 years</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348,016</w:t>
            </w:r>
          </w:p>
        </w:tc>
        <w:tc>
          <w:tcPr>
            <w:tcW w:w="200" w:type="dxa"/>
            <w:vAlign w:val="bottom"/>
          </w:tcPr>
          <w:p>
            <w:pPr>
              <w:spacing w:after="0"/>
              <w:rPr>
                <w:sz w:val="18"/>
                <w:szCs w:val="18"/>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47.60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(177,790)</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22.69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Forfeited</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(9,327)</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33.46</w:t>
            </w: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Nonvested at December 26, 2020</w:t>
            </w:r>
          </w:p>
        </w:tc>
        <w:tc>
          <w:tcPr>
            <w:tcW w:w="9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2"/>
              </w:rPr>
              <w:t>1,363,794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35.14</w:t>
            </w:r>
          </w:p>
        </w:tc>
        <w:tc>
          <w:tcPr>
            <w:tcW w:w="2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7"/>
              </w:rPr>
              <w:t>0.62 years</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Under the Stock Purchase Plan and LTSIP, we recognized share-based compensation expense of $4.0 million, $4.0 million, and $3.6 million and the related total income tax benefits of $1.0 million, $0.8 million, and $0.7 million in 2020, 2019 and 2018, respectively.</w:t>
      </w:r>
    </w:p>
    <w:p>
      <w:pPr>
        <w:spacing w:after="0" w:line="184"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For the year-ended December 26, 2020, we determined that $25 million of share-based bonus awards, representing 465,830 shares, will be awarded to qualified employees as it relates to the company’s 2020 performance and granted in 2021. In addition to the share-based bonus awards, certain employees are eligible to receive performance share units equivalent to $1 million, or 22,567 shares of stock, if certain performance metrics are achieved after three years. These awards fully vest three years from the grant date. As of December 26, 2020, we recognized approximately $4 million of compensation expense related to these awards. Awards granted prior to 2020, generally vest after a period of three or five years from the grant date.</w:t>
      </w:r>
    </w:p>
    <w:p>
      <w:pPr>
        <w:spacing w:after="0" w:line="195"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In 2020, 2019 and 2018, cash received from share issuances under our plans was $1.4 million, $1.1 million and $1.0 million, respectively.</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8" w:name="page119"/>
    <w:bookmarkEnd w:id="1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60" w:right="79" w:firstLine="648"/>
        <w:spacing w:after="0" w:line="275" w:lineRule="auto"/>
        <w:rPr>
          <w:sz w:val="20"/>
          <w:szCs w:val="20"/>
          <w:color w:val="auto"/>
        </w:rPr>
      </w:pPr>
      <w:r>
        <w:rPr>
          <w:rFonts w:ascii="Arial" w:cs="Arial" w:eastAsia="Arial" w:hAnsi="Arial"/>
          <w:sz w:val="17"/>
          <w:szCs w:val="17"/>
          <w:color w:val="auto"/>
        </w:rPr>
        <w:t>On November 14, 2001, the Board of Directors approved a share repurchase program (which succeeded a previous program) allowing us to repurchase up to 2.5 million shares of our common stock. On October 14, 2010, our Board authorized an additional 2 million shares to be repurchased under our existing share repurchase program. We repurchased 756,397 shares in 2020 and no shares under this program in 2019. As of December 26, 2020, the cumulative total authorized shares available for repurchase is approximately 1.1 million shares.</w:t>
      </w:r>
    </w:p>
    <w:p>
      <w:pPr>
        <w:spacing w:after="0" w:line="172" w:lineRule="exact"/>
        <w:rPr>
          <w:sz w:val="20"/>
          <w:szCs w:val="20"/>
          <w:color w:val="auto"/>
        </w:rPr>
      </w:pPr>
    </w:p>
    <w:p>
      <w:pPr>
        <w:ind w:left="700" w:hanging="650"/>
        <w:spacing w:after="0"/>
        <w:tabs>
          <w:tab w:leader="none" w:pos="70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RETIREMENT PLANS</w:t>
      </w:r>
    </w:p>
    <w:p>
      <w:pPr>
        <w:spacing w:after="0" w:line="229"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We have a profit sharing and 401(k) plan for the benefit of substantially all of our employees, excluding the employees of certain wholly-owned subsidiaries. Amounts contributed to the plan are made at the discretion of the Board of Directors. We matched 25%of employee contributions in 2020, 2019, and 2018, on a discretionary basis, totaling $7.2 million, $6.5 million, and $3.4 million respectively. Included within the total employee matched contribution was an additional matched contribution for hourly employees of $2.9 million and $2.6 million for 2020 and 2019, respectively, based on meeting certain performance goals during those years. The basis for matching contributions may not exceed the lesser of 6% of the employee’s annual compensation or the IRS limitation.</w:t>
      </w:r>
    </w:p>
    <w:p>
      <w:pPr>
        <w:spacing w:after="0" w:line="177"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We maintain a retirement plan for certain officers of the Company, excluding our CEO, (who has at least 20 years of service with the Company and at least 10 years of service as an officer) whereby we will pay, upon retirement, benefits totaling 150% of the officer’s highest base salary in the three years immediately preceding separation from service plus health care benefits for a specified period of time if certain eligibility requirements are met. Approximately $11.8 million and $10.6 million are accrued in “Other Liabilities” for this plan at December 26, 2020 and December 28, 2019, respectively.</w:t>
      </w:r>
    </w:p>
    <w:p>
      <w:pPr>
        <w:spacing w:after="0" w:line="188" w:lineRule="exact"/>
        <w:rPr>
          <w:sz w:val="20"/>
          <w:szCs w:val="20"/>
          <w:color w:val="auto"/>
        </w:rPr>
      </w:pPr>
    </w:p>
    <w:p>
      <w:pPr>
        <w:ind w:left="700" w:hanging="650"/>
        <w:spacing w:after="0"/>
        <w:tabs>
          <w:tab w:leader="none" w:pos="70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INCOME TAXES</w:t>
      </w:r>
    </w:p>
    <w:p>
      <w:pPr>
        <w:spacing w:after="0" w:line="229" w:lineRule="exact"/>
        <w:rPr>
          <w:sz w:val="20"/>
          <w:szCs w:val="20"/>
          <w:color w:val="auto"/>
        </w:rPr>
      </w:pPr>
    </w:p>
    <w:p>
      <w:pPr>
        <w:ind w:left="60" w:right="59" w:firstLine="648"/>
        <w:spacing w:after="0" w:line="277" w:lineRule="auto"/>
        <w:rPr>
          <w:sz w:val="20"/>
          <w:szCs w:val="20"/>
          <w:color w:val="auto"/>
        </w:rPr>
      </w:pPr>
      <w:r>
        <w:rPr>
          <w:rFonts w:ascii="Arial" w:cs="Arial" w:eastAsia="Arial" w:hAnsi="Arial"/>
          <w:sz w:val="18"/>
          <w:szCs w:val="18"/>
          <w:color w:val="auto"/>
        </w:rPr>
        <w:t>Income tax provisions for the years ended December 26, 2020, December 28, 2019, and December 29, 2018 are summarized as follows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6240" w:type="dxa"/>
            <w:vAlign w:val="bottom"/>
            <w:vMerge w:val="restart"/>
          </w:tcPr>
          <w:p>
            <w:pPr>
              <w:ind w:left="20"/>
              <w:spacing w:after="0"/>
              <w:rPr>
                <w:sz w:val="20"/>
                <w:szCs w:val="20"/>
                <w:color w:val="auto"/>
              </w:rPr>
            </w:pPr>
            <w:r>
              <w:rPr>
                <w:rFonts w:ascii="Arial" w:cs="Arial" w:eastAsia="Arial" w:hAnsi="Arial"/>
                <w:sz w:val="18"/>
                <w:szCs w:val="18"/>
                <w:color w:val="auto"/>
              </w:rPr>
              <w:t>Currently Payable:</w:t>
            </w:r>
          </w:p>
        </w:tc>
        <w:tc>
          <w:tcPr>
            <w:tcW w:w="920" w:type="dxa"/>
            <w:vAlign w:val="bottom"/>
            <w:gridSpan w:val="2"/>
          </w:tcPr>
          <w:p>
            <w:pPr>
              <w:jc w:val="right"/>
              <w:ind w:right="150"/>
              <w:spacing w:after="0"/>
              <w:rPr>
                <w:sz w:val="20"/>
                <w:szCs w:val="20"/>
                <w:color w:val="auto"/>
              </w:rPr>
            </w:pPr>
            <w:r>
              <w:rPr>
                <w:rFonts w:ascii="Arial" w:cs="Arial" w:eastAsia="Arial" w:hAnsi="Arial"/>
                <w:sz w:val="14"/>
                <w:szCs w:val="14"/>
                <w:b w:val="1"/>
                <w:bCs w:val="1"/>
                <w:color w:val="auto"/>
              </w:rPr>
              <w:t>2020</w:t>
            </w:r>
          </w:p>
        </w:tc>
        <w:tc>
          <w:tcPr>
            <w:tcW w:w="900" w:type="dxa"/>
            <w:vAlign w:val="bottom"/>
          </w:tcPr>
          <w:p>
            <w:pPr>
              <w:jc w:val="right"/>
              <w:ind w:right="173"/>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5"/>
                <w:szCs w:val="15"/>
                <w:color w:val="auto"/>
              </w:rPr>
            </w:pPr>
          </w:p>
        </w:tc>
        <w:tc>
          <w:tcPr>
            <w:tcW w:w="640" w:type="dxa"/>
            <w:vAlign w:val="bottom"/>
          </w:tcPr>
          <w:p>
            <w:pPr>
              <w:jc w:val="right"/>
              <w:ind w:right="133"/>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2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Federal</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$ 59,055</w:t>
            </w: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$ 35,267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120"/>
              <w:spacing w:after="0"/>
              <w:rPr>
                <w:sz w:val="20"/>
                <w:szCs w:val="20"/>
                <w:color w:val="auto"/>
              </w:rPr>
            </w:pPr>
            <w:r>
              <w:rPr>
                <w:rFonts w:ascii="Arial" w:cs="Arial" w:eastAsia="Arial" w:hAnsi="Arial"/>
                <w:sz w:val="18"/>
                <w:szCs w:val="18"/>
                <w:color w:val="auto"/>
              </w:rPr>
              <w:t>State and local</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16,709</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10,071</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7,544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Foreign</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8,601</w:t>
            </w: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5,834</w:t>
            </w: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62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7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84,365</w:t>
            </w:r>
          </w:p>
        </w:tc>
        <w:tc>
          <w:tcPr>
            <w:tcW w:w="900" w:type="dxa"/>
            <w:vAlign w:val="bottom"/>
            <w:tcBorders>
              <w:top w:val="single" w:sz="8" w:color="auto"/>
            </w:tcBorders>
          </w:tcPr>
          <w:p>
            <w:pPr>
              <w:jc w:val="right"/>
              <w:ind w:right="13"/>
              <w:spacing w:after="0" w:line="203" w:lineRule="exact"/>
              <w:rPr>
                <w:sz w:val="20"/>
                <w:szCs w:val="20"/>
                <w:color w:val="auto"/>
              </w:rPr>
            </w:pPr>
            <w:r>
              <w:rPr>
                <w:rFonts w:ascii="Arial" w:cs="Arial" w:eastAsia="Arial" w:hAnsi="Arial"/>
                <w:sz w:val="18"/>
                <w:szCs w:val="18"/>
                <w:color w:val="auto"/>
              </w:rPr>
              <w:t>51,172</w:t>
            </w:r>
          </w:p>
        </w:tc>
        <w:tc>
          <w:tcPr>
            <w:tcW w:w="2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44,563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Deferred:</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120"/>
              <w:spacing w:after="0"/>
              <w:rPr>
                <w:sz w:val="20"/>
                <w:szCs w:val="20"/>
                <w:color w:val="auto"/>
              </w:rPr>
            </w:pPr>
            <w:r>
              <w:rPr>
                <w:rFonts w:ascii="Arial" w:cs="Arial" w:eastAsia="Arial" w:hAnsi="Arial"/>
                <w:sz w:val="18"/>
                <w:szCs w:val="18"/>
                <w:color w:val="auto"/>
              </w:rPr>
              <w:t>Federal</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2,292</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6,895</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State and local</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(1,518)</w:t>
            </w: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805</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40" w:type="dxa"/>
            <w:vAlign w:val="bottom"/>
          </w:tcPr>
          <w:p>
            <w:pPr>
              <w:ind w:left="120"/>
              <w:spacing w:after="0"/>
              <w:rPr>
                <w:sz w:val="20"/>
                <w:szCs w:val="20"/>
                <w:color w:val="auto"/>
              </w:rPr>
            </w:pPr>
            <w:r>
              <w:rPr>
                <w:rFonts w:ascii="Arial" w:cs="Arial" w:eastAsia="Arial" w:hAnsi="Arial"/>
                <w:sz w:val="18"/>
                <w:szCs w:val="18"/>
                <w:color w:val="auto"/>
              </w:rPr>
              <w:t>Foreign</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1,962</w:t>
            </w:r>
          </w:p>
        </w:tc>
        <w:tc>
          <w:tcPr>
            <w:tcW w:w="900" w:type="dxa"/>
            <w:vAlign w:val="bottom"/>
          </w:tcPr>
          <w:p>
            <w:pPr>
              <w:jc w:val="right"/>
              <w:spacing w:after="0"/>
              <w:rPr>
                <w:sz w:val="20"/>
                <w:szCs w:val="20"/>
                <w:color w:val="auto"/>
              </w:rPr>
            </w:pPr>
            <w:r>
              <w:rPr>
                <w:rFonts w:ascii="Arial" w:cs="Arial" w:eastAsia="Arial" w:hAnsi="Arial"/>
                <w:sz w:val="18"/>
                <w:szCs w:val="18"/>
                <w:color w:val="auto"/>
              </w:rPr>
              <w:t>(602)</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24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2,736</w:t>
            </w:r>
          </w:p>
        </w:tc>
        <w:tc>
          <w:tcPr>
            <w:tcW w:w="90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7,098</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6240" w:type="dxa"/>
            <w:vAlign w:val="bottom"/>
          </w:tcPr>
          <w:p>
            <w:pPr>
              <w:ind w:left="20"/>
              <w:spacing w:after="0" w:line="203" w:lineRule="exact"/>
              <w:rPr>
                <w:sz w:val="20"/>
                <w:szCs w:val="20"/>
                <w:color w:val="auto"/>
              </w:rPr>
            </w:pPr>
            <w:r>
              <w:rPr>
                <w:rFonts w:ascii="Arial" w:cs="Arial" w:eastAsia="Arial" w:hAnsi="Arial"/>
                <w:sz w:val="18"/>
                <w:szCs w:val="18"/>
                <w:color w:val="auto"/>
              </w:rPr>
              <w:t>Total income tax expense</w:t>
            </w:r>
          </w:p>
        </w:tc>
        <w:tc>
          <w:tcPr>
            <w:tcW w:w="180" w:type="dxa"/>
            <w:vAlign w:val="bottom"/>
          </w:tcPr>
          <w:p>
            <w:pPr>
              <w:spacing w:after="0"/>
              <w:rPr>
                <w:sz w:val="17"/>
                <w:szCs w:val="17"/>
                <w:color w:val="auto"/>
              </w:rPr>
            </w:pPr>
          </w:p>
        </w:tc>
        <w:tc>
          <w:tcPr>
            <w:tcW w:w="7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1"/>
              </w:rPr>
              <w:t>$ 87,101</w:t>
            </w:r>
          </w:p>
        </w:tc>
        <w:tc>
          <w:tcPr>
            <w:tcW w:w="900" w:type="dxa"/>
            <w:vAlign w:val="bottom"/>
            <w:tcBorders>
              <w:bottom w:val="single" w:sz="8" w:color="auto"/>
            </w:tcBorders>
          </w:tcPr>
          <w:p>
            <w:pPr>
              <w:jc w:val="right"/>
              <w:ind w:right="13"/>
              <w:spacing w:after="0" w:line="203" w:lineRule="exact"/>
              <w:rPr>
                <w:sz w:val="20"/>
                <w:szCs w:val="20"/>
                <w:color w:val="auto"/>
              </w:rPr>
            </w:pPr>
            <w:r>
              <w:rPr>
                <w:rFonts w:ascii="Arial" w:cs="Arial" w:eastAsia="Arial" w:hAnsi="Arial"/>
                <w:sz w:val="18"/>
                <w:szCs w:val="18"/>
                <w:color w:val="auto"/>
              </w:rPr>
              <w:t>$ 58,270</w:t>
            </w:r>
          </w:p>
        </w:tc>
        <w:tc>
          <w:tcPr>
            <w:tcW w:w="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45,441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ind w:left="660"/>
              <w:spacing w:after="0"/>
              <w:rPr>
                <w:sz w:val="20"/>
                <w:szCs w:val="20"/>
                <w:color w:val="auto"/>
              </w:rPr>
            </w:pPr>
            <w:r>
              <w:rPr>
                <w:rFonts w:ascii="Arial" w:cs="Arial" w:eastAsia="Arial" w:hAnsi="Arial"/>
                <w:sz w:val="18"/>
                <w:szCs w:val="18"/>
                <w:color w:val="auto"/>
                <w:w w:val="94"/>
              </w:rPr>
              <w:t>The components of earnings before income taxes consist of the following:</w:t>
            </w: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2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6240" w:type="dxa"/>
            <w:vAlign w:val="bottom"/>
            <w:tcBorders>
              <w:bottom w:val="single" w:sz="8" w:color="CCEEFF"/>
            </w:tcBorders>
          </w:tcPr>
          <w:p>
            <w:pPr>
              <w:spacing w:after="0"/>
              <w:rPr>
                <w:sz w:val="24"/>
                <w:szCs w:val="24"/>
                <w:color w:val="auto"/>
              </w:rPr>
            </w:pPr>
          </w:p>
        </w:tc>
        <w:tc>
          <w:tcPr>
            <w:tcW w:w="92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4"/>
                <w:szCs w:val="14"/>
                <w:b w:val="1"/>
                <w:bCs w:val="1"/>
                <w:color w:val="auto"/>
              </w:rPr>
              <w:t>2020</w:t>
            </w:r>
          </w:p>
        </w:tc>
        <w:tc>
          <w:tcPr>
            <w:tcW w:w="90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9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89"/>
              </w:rPr>
              <w:t>$ 308,167</w:t>
            </w:r>
          </w:p>
        </w:tc>
        <w:tc>
          <w:tcPr>
            <w:tcW w:w="9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w w:val="89"/>
              </w:rPr>
              <w:t>$ 220,532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180,261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w:t>
            </w:r>
          </w:p>
        </w:tc>
        <w:tc>
          <w:tcPr>
            <w:tcW w:w="92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32,816</w:t>
            </w:r>
          </w:p>
        </w:tc>
        <w:tc>
          <w:tcPr>
            <w:tcW w:w="9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20,142</w:t>
            </w: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920" w:type="dxa"/>
            <w:vAlign w:val="bottom"/>
            <w:tcBorders>
              <w:bottom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89"/>
              </w:rPr>
              <w:t>$ 340,983</w:t>
            </w:r>
          </w:p>
        </w:tc>
        <w:tc>
          <w:tcPr>
            <w:tcW w:w="9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w w:val="89"/>
              </w:rPr>
              <w:t>$ 240,674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197,853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ind w:left="4380"/>
              <w:spacing w:after="0"/>
              <w:rPr>
                <w:sz w:val="20"/>
                <w:szCs w:val="20"/>
                <w:color w:val="auto"/>
              </w:rPr>
            </w:pPr>
            <w:r>
              <w:rPr>
                <w:rFonts w:ascii="Arial" w:cs="Arial" w:eastAsia="Arial" w:hAnsi="Arial"/>
                <w:sz w:val="18"/>
                <w:szCs w:val="18"/>
                <w:color w:val="auto"/>
              </w:rPr>
              <w:t>50</w:t>
            </w: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62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6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19" w:name="page120"/>
    <w:bookmarkEnd w:id="1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effective income tax rates are different from the statutory federal income tax rates for the following reasons:</w:t>
      </w: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648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2020</w:t>
            </w:r>
          </w:p>
        </w:tc>
        <w:tc>
          <w:tcPr>
            <w:tcW w:w="8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5"/>
                <w:szCs w:val="15"/>
                <w:color w:val="auto"/>
              </w:rPr>
            </w:pPr>
          </w:p>
        </w:tc>
      </w:tr>
      <w:tr>
        <w:trPr>
          <w:trHeight w:val="216"/>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Statutory federal income tax rate</w:t>
            </w:r>
          </w:p>
        </w:tc>
        <w:tc>
          <w:tcPr>
            <w:tcW w:w="8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21.0 %</w:t>
            </w: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21.0 %</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6480" w:type="dxa"/>
            <w:vAlign w:val="bottom"/>
          </w:tcPr>
          <w:p>
            <w:pPr>
              <w:ind w:left="20"/>
              <w:spacing w:after="0"/>
              <w:rPr>
                <w:sz w:val="20"/>
                <w:szCs w:val="20"/>
                <w:color w:val="auto"/>
              </w:rPr>
            </w:pPr>
            <w:r>
              <w:rPr>
                <w:rFonts w:ascii="Arial" w:cs="Arial" w:eastAsia="Arial" w:hAnsi="Arial"/>
                <w:sz w:val="18"/>
                <w:szCs w:val="18"/>
                <w:color w:val="auto"/>
              </w:rPr>
              <w:t>State and local taxes (net of federal benefits)</w:t>
            </w:r>
          </w:p>
        </w:tc>
        <w:tc>
          <w:tcPr>
            <w:tcW w:w="860" w:type="dxa"/>
            <w:vAlign w:val="bottom"/>
          </w:tcPr>
          <w:p>
            <w:pPr>
              <w:jc w:val="right"/>
              <w:ind w:right="252"/>
              <w:spacing w:after="0"/>
              <w:rPr>
                <w:sz w:val="20"/>
                <w:szCs w:val="20"/>
                <w:color w:val="auto"/>
              </w:rPr>
            </w:pPr>
            <w:r>
              <w:rPr>
                <w:rFonts w:ascii="Arial" w:cs="Arial" w:eastAsia="Arial" w:hAnsi="Arial"/>
                <w:sz w:val="18"/>
                <w:szCs w:val="18"/>
                <w:color w:val="auto"/>
              </w:rPr>
              <w:t>3.4</w:t>
            </w:r>
          </w:p>
        </w:tc>
        <w:tc>
          <w:tcPr>
            <w:tcW w:w="820" w:type="dxa"/>
            <w:vAlign w:val="bottom"/>
          </w:tcPr>
          <w:p>
            <w:pPr>
              <w:jc w:val="right"/>
              <w:ind w:right="232"/>
              <w:spacing w:after="0"/>
              <w:rPr>
                <w:sz w:val="20"/>
                <w:szCs w:val="20"/>
                <w:color w:val="auto"/>
              </w:rPr>
            </w:pPr>
            <w:r>
              <w:rPr>
                <w:rFonts w:ascii="Arial" w:cs="Arial" w:eastAsia="Arial" w:hAnsi="Arial"/>
                <w:sz w:val="18"/>
                <w:szCs w:val="18"/>
                <w:color w:val="auto"/>
              </w:rPr>
              <w:t>3.9</w:t>
            </w:r>
          </w:p>
        </w:tc>
        <w:tc>
          <w:tcPr>
            <w:tcW w:w="560" w:type="dxa"/>
            <w:vAlign w:val="bottom"/>
          </w:tcPr>
          <w:p>
            <w:pPr>
              <w:jc w:val="right"/>
              <w:spacing w:after="0"/>
              <w:rPr>
                <w:sz w:val="20"/>
                <w:szCs w:val="20"/>
                <w:color w:val="auto"/>
              </w:rPr>
            </w:pPr>
            <w:r>
              <w:rPr>
                <w:rFonts w:ascii="Arial" w:cs="Arial" w:eastAsia="Arial" w:hAnsi="Arial"/>
                <w:sz w:val="18"/>
                <w:szCs w:val="18"/>
                <w:color w:val="auto"/>
              </w:rPr>
              <w:t>3.8</w:t>
            </w:r>
          </w:p>
        </w:tc>
        <w:tc>
          <w:tcPr>
            <w:tcW w:w="180" w:type="dxa"/>
            <w:vAlign w:val="bottom"/>
          </w:tcPr>
          <w:p>
            <w:pPr>
              <w:spacing w:after="0"/>
              <w:rPr>
                <w:sz w:val="18"/>
                <w:szCs w:val="18"/>
                <w:color w:val="auto"/>
              </w:rPr>
            </w:pPr>
          </w:p>
        </w:tc>
      </w:tr>
      <w:tr>
        <w:trPr>
          <w:trHeight w:val="216"/>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noncontrolling owned interest in earnings of partnerships</w:t>
            </w:r>
          </w:p>
        </w:tc>
        <w:tc>
          <w:tcPr>
            <w:tcW w:w="86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n/a</w:t>
            </w:r>
          </w:p>
        </w:tc>
        <w:tc>
          <w:tcPr>
            <w:tcW w:w="8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(0.1)</w:t>
            </w:r>
          </w:p>
        </w:tc>
        <w:tc>
          <w:tcPr>
            <w:tcW w:w="7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(0.1)</w:t>
            </w:r>
          </w:p>
        </w:tc>
      </w:tr>
      <w:tr>
        <w:trPr>
          <w:trHeight w:val="216"/>
        </w:trPr>
        <w:tc>
          <w:tcPr>
            <w:tcW w:w="6480" w:type="dxa"/>
            <w:vAlign w:val="bottom"/>
          </w:tcPr>
          <w:p>
            <w:pPr>
              <w:ind w:left="20"/>
              <w:spacing w:after="0"/>
              <w:rPr>
                <w:sz w:val="20"/>
                <w:szCs w:val="20"/>
                <w:color w:val="auto"/>
              </w:rPr>
            </w:pPr>
            <w:r>
              <w:rPr>
                <w:rFonts w:ascii="Arial" w:cs="Arial" w:eastAsia="Arial" w:hAnsi="Arial"/>
                <w:sz w:val="18"/>
                <w:szCs w:val="18"/>
                <w:color w:val="auto"/>
              </w:rPr>
              <w:t>Tax credits, including foreign tax credit</w:t>
            </w:r>
          </w:p>
        </w:tc>
        <w:tc>
          <w:tcPr>
            <w:tcW w:w="860" w:type="dxa"/>
            <w:vAlign w:val="bottom"/>
          </w:tcPr>
          <w:p>
            <w:pPr>
              <w:jc w:val="right"/>
              <w:ind w:right="192"/>
              <w:spacing w:after="0"/>
              <w:rPr>
                <w:sz w:val="20"/>
                <w:szCs w:val="20"/>
                <w:color w:val="auto"/>
              </w:rPr>
            </w:pPr>
            <w:r>
              <w:rPr>
                <w:rFonts w:ascii="Arial" w:cs="Arial" w:eastAsia="Arial" w:hAnsi="Arial"/>
                <w:sz w:val="18"/>
                <w:szCs w:val="18"/>
                <w:color w:val="auto"/>
              </w:rPr>
              <w:t>(0.9)</w:t>
            </w:r>
          </w:p>
        </w:tc>
        <w:tc>
          <w:tcPr>
            <w:tcW w:w="820" w:type="dxa"/>
            <w:vAlign w:val="bottom"/>
          </w:tcPr>
          <w:p>
            <w:pPr>
              <w:jc w:val="right"/>
              <w:ind w:right="172"/>
              <w:spacing w:after="0"/>
              <w:rPr>
                <w:sz w:val="20"/>
                <w:szCs w:val="20"/>
                <w:color w:val="auto"/>
              </w:rPr>
            </w:pPr>
            <w:r>
              <w:rPr>
                <w:rFonts w:ascii="Arial" w:cs="Arial" w:eastAsia="Arial" w:hAnsi="Arial"/>
                <w:sz w:val="18"/>
                <w:szCs w:val="18"/>
                <w:color w:val="auto"/>
              </w:rPr>
              <w:t>(1.3)</w:t>
            </w:r>
          </w:p>
        </w:tc>
        <w:tc>
          <w:tcPr>
            <w:tcW w:w="740" w:type="dxa"/>
            <w:vAlign w:val="bottom"/>
            <w:gridSpan w:val="2"/>
          </w:tcPr>
          <w:p>
            <w:pPr>
              <w:jc w:val="right"/>
              <w:ind w:right="70"/>
              <w:spacing w:after="0"/>
              <w:rPr>
                <w:sz w:val="20"/>
                <w:szCs w:val="20"/>
                <w:color w:val="auto"/>
              </w:rPr>
            </w:pPr>
            <w:r>
              <w:rPr>
                <w:rFonts w:ascii="Arial" w:cs="Arial" w:eastAsia="Arial" w:hAnsi="Arial"/>
                <w:sz w:val="18"/>
                <w:szCs w:val="18"/>
                <w:color w:val="auto"/>
              </w:rPr>
              <w:t>(1.6)</w:t>
            </w:r>
          </w:p>
        </w:tc>
      </w:tr>
      <w:tr>
        <w:trPr>
          <w:trHeight w:val="216"/>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uncertain tax positions reserve</w:t>
            </w:r>
          </w:p>
        </w:tc>
        <w:tc>
          <w:tcPr>
            <w:tcW w:w="8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(0.1)</w:t>
            </w:r>
          </w:p>
        </w:tc>
        <w:tc>
          <w:tcPr>
            <w:tcW w:w="8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(0.1)</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80" w:type="dxa"/>
            <w:vAlign w:val="bottom"/>
            <w:shd w:val="clear" w:color="auto" w:fill="CCEEFF"/>
          </w:tcPr>
          <w:p>
            <w:pPr>
              <w:spacing w:after="0"/>
              <w:rPr>
                <w:sz w:val="18"/>
                <w:szCs w:val="18"/>
                <w:color w:val="auto"/>
              </w:rPr>
            </w:pPr>
          </w:p>
        </w:tc>
      </w:tr>
      <w:tr>
        <w:trPr>
          <w:trHeight w:val="216"/>
        </w:trPr>
        <w:tc>
          <w:tcPr>
            <w:tcW w:w="6480" w:type="dxa"/>
            <w:vAlign w:val="bottom"/>
          </w:tcPr>
          <w:p>
            <w:pPr>
              <w:ind w:left="20"/>
              <w:spacing w:after="0"/>
              <w:rPr>
                <w:sz w:val="20"/>
                <w:szCs w:val="20"/>
                <w:color w:val="auto"/>
              </w:rPr>
            </w:pPr>
            <w:r>
              <w:rPr>
                <w:rFonts w:ascii="Arial" w:cs="Arial" w:eastAsia="Arial" w:hAnsi="Arial"/>
                <w:sz w:val="18"/>
                <w:szCs w:val="18"/>
                <w:color w:val="auto"/>
              </w:rPr>
              <w:t>Other permanent differences</w:t>
            </w:r>
          </w:p>
        </w:tc>
        <w:tc>
          <w:tcPr>
            <w:tcW w:w="860" w:type="dxa"/>
            <w:vAlign w:val="bottom"/>
          </w:tcPr>
          <w:p>
            <w:pPr>
              <w:jc w:val="right"/>
              <w:ind w:right="252"/>
              <w:spacing w:after="0"/>
              <w:rPr>
                <w:sz w:val="20"/>
                <w:szCs w:val="20"/>
                <w:color w:val="auto"/>
              </w:rPr>
            </w:pPr>
            <w:r>
              <w:rPr>
                <w:rFonts w:ascii="Arial" w:cs="Arial" w:eastAsia="Arial" w:hAnsi="Arial"/>
                <w:sz w:val="18"/>
                <w:szCs w:val="18"/>
                <w:color w:val="auto"/>
              </w:rPr>
              <w:t>0.6</w:t>
            </w:r>
          </w:p>
        </w:tc>
        <w:tc>
          <w:tcPr>
            <w:tcW w:w="820" w:type="dxa"/>
            <w:vAlign w:val="bottom"/>
          </w:tcPr>
          <w:p>
            <w:pPr>
              <w:jc w:val="right"/>
              <w:ind w:right="232"/>
              <w:spacing w:after="0"/>
              <w:rPr>
                <w:sz w:val="20"/>
                <w:szCs w:val="20"/>
                <w:color w:val="auto"/>
              </w:rPr>
            </w:pPr>
            <w:r>
              <w:rPr>
                <w:rFonts w:ascii="Arial" w:cs="Arial" w:eastAsia="Arial" w:hAnsi="Arial"/>
                <w:sz w:val="18"/>
                <w:szCs w:val="18"/>
                <w:color w:val="auto"/>
              </w:rPr>
              <w:t>0.5</w:t>
            </w:r>
          </w:p>
        </w:tc>
        <w:tc>
          <w:tcPr>
            <w:tcW w:w="560" w:type="dxa"/>
            <w:vAlign w:val="bottom"/>
          </w:tcPr>
          <w:p>
            <w:pPr>
              <w:jc w:val="right"/>
              <w:spacing w:after="0"/>
              <w:rPr>
                <w:sz w:val="20"/>
                <w:szCs w:val="20"/>
                <w:color w:val="auto"/>
              </w:rPr>
            </w:pPr>
            <w:r>
              <w:rPr>
                <w:rFonts w:ascii="Arial" w:cs="Arial" w:eastAsia="Arial" w:hAnsi="Arial"/>
                <w:sz w:val="18"/>
                <w:szCs w:val="18"/>
                <w:color w:val="auto"/>
              </w:rPr>
              <w:t>0.6</w:t>
            </w:r>
          </w:p>
        </w:tc>
        <w:tc>
          <w:tcPr>
            <w:tcW w:w="180" w:type="dxa"/>
            <w:vAlign w:val="bottom"/>
          </w:tcPr>
          <w:p>
            <w:pPr>
              <w:spacing w:after="0"/>
              <w:rPr>
                <w:sz w:val="18"/>
                <w:szCs w:val="18"/>
                <w:color w:val="auto"/>
              </w:rPr>
            </w:pPr>
          </w:p>
        </w:tc>
      </w:tr>
      <w:tr>
        <w:trPr>
          <w:trHeight w:val="216"/>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86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1.5</w:t>
            </w:r>
          </w:p>
        </w:tc>
        <w:tc>
          <w:tcPr>
            <w:tcW w:w="8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0.3</w:t>
            </w:r>
          </w:p>
        </w:tc>
        <w:tc>
          <w:tcPr>
            <w:tcW w:w="7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(0.7)</w:t>
            </w:r>
          </w:p>
        </w:tc>
      </w:tr>
      <w:tr>
        <w:trPr>
          <w:trHeight w:val="223"/>
        </w:trPr>
        <w:tc>
          <w:tcPr>
            <w:tcW w:w="6480" w:type="dxa"/>
            <w:vAlign w:val="bottom"/>
          </w:tcPr>
          <w:p>
            <w:pPr>
              <w:ind w:left="20"/>
              <w:spacing w:after="0"/>
              <w:rPr>
                <w:sz w:val="20"/>
                <w:szCs w:val="20"/>
                <w:color w:val="auto"/>
              </w:rPr>
            </w:pPr>
            <w:r>
              <w:rPr>
                <w:rFonts w:ascii="Arial" w:cs="Arial" w:eastAsia="Arial" w:hAnsi="Arial"/>
                <w:sz w:val="18"/>
                <w:szCs w:val="18"/>
                <w:color w:val="auto"/>
              </w:rPr>
              <w:t>Impact of Tax Act and reduction of corporate tax rate</w:t>
            </w:r>
          </w:p>
        </w:tc>
        <w:tc>
          <w:tcPr>
            <w:tcW w:w="860" w:type="dxa"/>
            <w:vAlign w:val="bottom"/>
          </w:tcPr>
          <w:p>
            <w:pPr>
              <w:jc w:val="right"/>
              <w:ind w:right="252"/>
              <w:spacing w:after="0"/>
              <w:rPr>
                <w:sz w:val="20"/>
                <w:szCs w:val="20"/>
                <w:color w:val="auto"/>
              </w:rPr>
            </w:pPr>
            <w:r>
              <w:rPr>
                <w:rFonts w:ascii="Arial" w:cs="Arial" w:eastAsia="Arial" w:hAnsi="Arial"/>
                <w:sz w:val="18"/>
                <w:szCs w:val="18"/>
                <w:color w:val="auto"/>
              </w:rPr>
              <w:t>n/a</w:t>
            </w:r>
          </w:p>
        </w:tc>
        <w:tc>
          <w:tcPr>
            <w:tcW w:w="820" w:type="dxa"/>
            <w:vAlign w:val="bottom"/>
          </w:tcPr>
          <w:p>
            <w:pPr>
              <w:jc w:val="right"/>
              <w:ind w:right="232"/>
              <w:spacing w:after="0"/>
              <w:rPr>
                <w:sz w:val="20"/>
                <w:szCs w:val="20"/>
                <w:color w:val="auto"/>
              </w:rPr>
            </w:pPr>
            <w:r>
              <w:rPr>
                <w:rFonts w:ascii="Arial" w:cs="Arial" w:eastAsia="Arial" w:hAnsi="Arial"/>
                <w:sz w:val="18"/>
                <w:szCs w:val="18"/>
                <w:color w:val="auto"/>
              </w:rPr>
              <w:t>n/a</w:t>
            </w:r>
          </w:p>
        </w:tc>
        <w:tc>
          <w:tcPr>
            <w:tcW w:w="740" w:type="dxa"/>
            <w:vAlign w:val="bottom"/>
            <w:gridSpan w:val="2"/>
          </w:tcPr>
          <w:p>
            <w:pPr>
              <w:jc w:val="right"/>
              <w:ind w:right="70"/>
              <w:spacing w:after="0"/>
              <w:rPr>
                <w:sz w:val="20"/>
                <w:szCs w:val="20"/>
                <w:color w:val="auto"/>
              </w:rPr>
            </w:pPr>
            <w:r>
              <w:rPr>
                <w:rFonts w:ascii="Arial" w:cs="Arial" w:eastAsia="Arial" w:hAnsi="Arial"/>
                <w:sz w:val="18"/>
                <w:szCs w:val="18"/>
                <w:color w:val="auto"/>
              </w:rPr>
              <w:t>(0.1)</w:t>
            </w:r>
          </w:p>
        </w:tc>
      </w:tr>
      <w:tr>
        <w:trPr>
          <w:trHeight w:val="216"/>
        </w:trPr>
        <w:tc>
          <w:tcPr>
            <w:tcW w:w="6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Effective income tax rate</w:t>
            </w:r>
          </w:p>
        </w:tc>
        <w:tc>
          <w:tcPr>
            <w:tcW w:w="86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25.5 %</w:t>
            </w:r>
          </w:p>
        </w:tc>
        <w:tc>
          <w:tcPr>
            <w:tcW w:w="8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24.2 %</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64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Temporary differences which give rise to deferred income tax assets and (liabilities) on December 26, 2020 and</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December 28, 2019 are as follows (in thousands):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7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2019</w:t>
            </w:r>
          </w:p>
        </w:tc>
      </w:tr>
      <w:tr>
        <w:trPr>
          <w:trHeight w:val="216"/>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benefits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23,236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22,420</w:t>
            </w:r>
          </w:p>
        </w:tc>
      </w:tr>
      <w:tr>
        <w:trPr>
          <w:trHeight w:val="216"/>
        </w:trPr>
        <w:tc>
          <w:tcPr>
            <w:tcW w:w="7100" w:type="dxa"/>
            <w:vAlign w:val="bottom"/>
          </w:tcPr>
          <w:p>
            <w:pPr>
              <w:ind w:left="20"/>
              <w:spacing w:after="0"/>
              <w:rPr>
                <w:sz w:val="20"/>
                <w:szCs w:val="20"/>
                <w:color w:val="auto"/>
              </w:rPr>
            </w:pPr>
            <w:r>
              <w:rPr>
                <w:rFonts w:ascii="Arial" w:cs="Arial" w:eastAsia="Arial" w:hAnsi="Arial"/>
                <w:sz w:val="18"/>
                <w:szCs w:val="18"/>
                <w:color w:val="auto"/>
              </w:rPr>
              <w:t>Lease liability</w:t>
            </w:r>
          </w:p>
        </w:tc>
        <w:tc>
          <w:tcPr>
            <w:tcW w:w="140" w:type="dxa"/>
            <w:vAlign w:val="bottom"/>
          </w:tcPr>
          <w:p>
            <w:pPr>
              <w:spacing w:after="0"/>
              <w:rPr>
                <w:sz w:val="18"/>
                <w:szCs w:val="18"/>
                <w:color w:val="auto"/>
              </w:rPr>
            </w:pPr>
          </w:p>
        </w:tc>
        <w:tc>
          <w:tcPr>
            <w:tcW w:w="760" w:type="dxa"/>
            <w:vAlign w:val="bottom"/>
          </w:tcPr>
          <w:p>
            <w:pPr>
              <w:jc w:val="right"/>
              <w:ind w:right="51"/>
              <w:spacing w:after="0"/>
              <w:rPr>
                <w:sz w:val="20"/>
                <w:szCs w:val="20"/>
                <w:color w:val="auto"/>
              </w:rPr>
            </w:pPr>
            <w:r>
              <w:rPr>
                <w:rFonts w:ascii="Arial" w:cs="Arial" w:eastAsia="Arial" w:hAnsi="Arial"/>
                <w:sz w:val="18"/>
                <w:szCs w:val="18"/>
                <w:color w:val="auto"/>
              </w:rPr>
              <w:t>19,376</w:t>
            </w: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20,255</w:t>
            </w:r>
          </w:p>
        </w:tc>
      </w:tr>
      <w:tr>
        <w:trPr>
          <w:trHeight w:val="216"/>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operating loss carryforwards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6,463</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6,411</w:t>
            </w:r>
          </w:p>
        </w:tc>
      </w:tr>
      <w:tr>
        <w:trPr>
          <w:trHeight w:val="216"/>
        </w:trPr>
        <w:tc>
          <w:tcPr>
            <w:tcW w:w="7100" w:type="dxa"/>
            <w:vAlign w:val="bottom"/>
          </w:tcPr>
          <w:p>
            <w:pPr>
              <w:ind w:left="20"/>
              <w:spacing w:after="0"/>
              <w:rPr>
                <w:sz w:val="20"/>
                <w:szCs w:val="20"/>
                <w:color w:val="auto"/>
              </w:rPr>
            </w:pPr>
            <w:r>
              <w:rPr>
                <w:rFonts w:ascii="Arial" w:cs="Arial" w:eastAsia="Arial" w:hAnsi="Arial"/>
                <w:sz w:val="18"/>
                <w:szCs w:val="18"/>
                <w:color w:val="auto"/>
              </w:rPr>
              <w:t>Foreign subsidiary capital loss carryforward</w:t>
            </w:r>
          </w:p>
        </w:tc>
        <w:tc>
          <w:tcPr>
            <w:tcW w:w="140" w:type="dxa"/>
            <w:vAlign w:val="bottom"/>
          </w:tcPr>
          <w:p>
            <w:pPr>
              <w:spacing w:after="0"/>
              <w:rPr>
                <w:sz w:val="18"/>
                <w:szCs w:val="18"/>
                <w:color w:val="auto"/>
              </w:rPr>
            </w:pPr>
          </w:p>
        </w:tc>
        <w:tc>
          <w:tcPr>
            <w:tcW w:w="760" w:type="dxa"/>
            <w:vAlign w:val="bottom"/>
          </w:tcPr>
          <w:p>
            <w:pPr>
              <w:jc w:val="right"/>
              <w:ind w:right="51"/>
              <w:spacing w:after="0"/>
              <w:rPr>
                <w:sz w:val="20"/>
                <w:szCs w:val="20"/>
                <w:color w:val="auto"/>
              </w:rPr>
            </w:pPr>
            <w:r>
              <w:rPr>
                <w:rFonts w:ascii="Arial" w:cs="Arial" w:eastAsia="Arial" w:hAnsi="Arial"/>
                <w:sz w:val="18"/>
                <w:szCs w:val="18"/>
                <w:color w:val="auto"/>
              </w:rPr>
              <w:t>527</w:t>
            </w: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519</w:t>
            </w:r>
          </w:p>
        </w:tc>
      </w:tr>
      <w:tr>
        <w:trPr>
          <w:trHeight w:val="216"/>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tax credits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391</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w:t>
            </w:r>
          </w:p>
        </w:tc>
      </w:tr>
      <w:tr>
        <w:trPr>
          <w:trHeight w:val="216"/>
        </w:trPr>
        <w:tc>
          <w:tcPr>
            <w:tcW w:w="7100" w:type="dxa"/>
            <w:vAlign w:val="bottom"/>
          </w:tcPr>
          <w:p>
            <w:pPr>
              <w:ind w:left="20"/>
              <w:spacing w:after="0"/>
              <w:rPr>
                <w:sz w:val="20"/>
                <w:szCs w:val="20"/>
                <w:color w:val="auto"/>
              </w:rPr>
            </w:pPr>
            <w:r>
              <w:rPr>
                <w:rFonts w:ascii="Arial" w:cs="Arial" w:eastAsia="Arial" w:hAnsi="Arial"/>
                <w:sz w:val="18"/>
                <w:szCs w:val="18"/>
                <w:color w:val="auto"/>
              </w:rPr>
              <w:t>Inventory</w:t>
            </w:r>
          </w:p>
        </w:tc>
        <w:tc>
          <w:tcPr>
            <w:tcW w:w="140" w:type="dxa"/>
            <w:vAlign w:val="bottom"/>
          </w:tcPr>
          <w:p>
            <w:pPr>
              <w:spacing w:after="0"/>
              <w:rPr>
                <w:sz w:val="18"/>
                <w:szCs w:val="18"/>
                <w:color w:val="auto"/>
              </w:rPr>
            </w:pPr>
          </w:p>
        </w:tc>
        <w:tc>
          <w:tcPr>
            <w:tcW w:w="760" w:type="dxa"/>
            <w:vAlign w:val="bottom"/>
          </w:tcPr>
          <w:p>
            <w:pPr>
              <w:jc w:val="right"/>
              <w:ind w:right="51"/>
              <w:spacing w:after="0"/>
              <w:rPr>
                <w:sz w:val="20"/>
                <w:szCs w:val="20"/>
                <w:color w:val="auto"/>
              </w:rPr>
            </w:pPr>
            <w:r>
              <w:rPr>
                <w:rFonts w:ascii="Arial" w:cs="Arial" w:eastAsia="Arial" w:hAnsi="Arial"/>
                <w:sz w:val="18"/>
                <w:szCs w:val="18"/>
                <w:color w:val="auto"/>
              </w:rPr>
              <w:t>1,633</w:t>
            </w: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993</w:t>
            </w:r>
          </w:p>
        </w:tc>
      </w:tr>
      <w:tr>
        <w:trPr>
          <w:trHeight w:val="216"/>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Reserves on receivables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1,630</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w:t>
            </w:r>
          </w:p>
        </w:tc>
      </w:tr>
      <w:tr>
        <w:trPr>
          <w:trHeight w:val="216"/>
        </w:trPr>
        <w:tc>
          <w:tcPr>
            <w:tcW w:w="7100" w:type="dxa"/>
            <w:vAlign w:val="bottom"/>
          </w:tcPr>
          <w:p>
            <w:pPr>
              <w:ind w:left="20"/>
              <w:spacing w:after="0"/>
              <w:rPr>
                <w:sz w:val="20"/>
                <w:szCs w:val="20"/>
                <w:color w:val="auto"/>
              </w:rPr>
            </w:pPr>
            <w:r>
              <w:rPr>
                <w:rFonts w:ascii="Arial" w:cs="Arial" w:eastAsia="Arial" w:hAnsi="Arial"/>
                <w:sz w:val="18"/>
                <w:szCs w:val="18"/>
                <w:color w:val="auto"/>
              </w:rPr>
              <w:t>Accrued expenses</w:t>
            </w:r>
          </w:p>
        </w:tc>
        <w:tc>
          <w:tcPr>
            <w:tcW w:w="140" w:type="dxa"/>
            <w:vAlign w:val="bottom"/>
          </w:tcPr>
          <w:p>
            <w:pPr>
              <w:spacing w:after="0"/>
              <w:rPr>
                <w:sz w:val="18"/>
                <w:szCs w:val="18"/>
                <w:color w:val="auto"/>
              </w:rPr>
            </w:pPr>
          </w:p>
        </w:tc>
        <w:tc>
          <w:tcPr>
            <w:tcW w:w="760" w:type="dxa"/>
            <w:vAlign w:val="bottom"/>
          </w:tcPr>
          <w:p>
            <w:pPr>
              <w:jc w:val="right"/>
              <w:ind w:right="51"/>
              <w:spacing w:after="0"/>
              <w:rPr>
                <w:sz w:val="20"/>
                <w:szCs w:val="20"/>
                <w:color w:val="auto"/>
              </w:rPr>
            </w:pPr>
            <w:r>
              <w:rPr>
                <w:rFonts w:ascii="Arial" w:cs="Arial" w:eastAsia="Arial" w:hAnsi="Arial"/>
                <w:sz w:val="18"/>
                <w:szCs w:val="18"/>
                <w:color w:val="auto"/>
              </w:rPr>
              <w:t>3,071</w:t>
            </w: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2,318</w:t>
            </w:r>
          </w:p>
        </w:tc>
      </w:tr>
      <w:tr>
        <w:trPr>
          <w:trHeight w:val="236"/>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14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8,483</w:t>
            </w:r>
          </w:p>
        </w:tc>
        <w:tc>
          <w:tcPr>
            <w:tcW w:w="24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3,159</w:t>
            </w:r>
          </w:p>
        </w:tc>
      </w:tr>
      <w:tr>
        <w:trPr>
          <w:trHeight w:val="203"/>
        </w:trPr>
        <w:tc>
          <w:tcPr>
            <w:tcW w:w="7100" w:type="dxa"/>
            <w:vAlign w:val="bottom"/>
          </w:tcPr>
          <w:p>
            <w:pPr>
              <w:ind w:left="20"/>
              <w:spacing w:after="0" w:line="203" w:lineRule="exact"/>
              <w:rPr>
                <w:sz w:val="20"/>
                <w:szCs w:val="20"/>
                <w:color w:val="auto"/>
              </w:rPr>
            </w:pPr>
            <w:r>
              <w:rPr>
                <w:rFonts w:ascii="Arial" w:cs="Arial" w:eastAsia="Arial" w:hAnsi="Arial"/>
                <w:sz w:val="18"/>
                <w:szCs w:val="18"/>
                <w:color w:val="auto"/>
              </w:rPr>
              <w:t>Gross deferred income tax assets</w:t>
            </w:r>
          </w:p>
        </w:tc>
        <w:tc>
          <w:tcPr>
            <w:tcW w:w="140" w:type="dxa"/>
            <w:vAlign w:val="bottom"/>
          </w:tcPr>
          <w:p>
            <w:pPr>
              <w:spacing w:after="0"/>
              <w:rPr>
                <w:sz w:val="17"/>
                <w:szCs w:val="17"/>
                <w:color w:val="auto"/>
              </w:rPr>
            </w:pPr>
          </w:p>
        </w:tc>
        <w:tc>
          <w:tcPr>
            <w:tcW w:w="760" w:type="dxa"/>
            <w:vAlign w:val="bottom"/>
          </w:tcPr>
          <w:p>
            <w:pPr>
              <w:jc w:val="right"/>
              <w:ind w:right="51"/>
              <w:spacing w:after="0" w:line="203" w:lineRule="exact"/>
              <w:rPr>
                <w:sz w:val="20"/>
                <w:szCs w:val="20"/>
                <w:color w:val="auto"/>
              </w:rPr>
            </w:pPr>
            <w:r>
              <w:rPr>
                <w:rFonts w:ascii="Arial" w:cs="Arial" w:eastAsia="Arial" w:hAnsi="Arial"/>
                <w:sz w:val="18"/>
                <w:szCs w:val="18"/>
                <w:color w:val="auto"/>
              </w:rPr>
              <w:t>64,810</w:t>
            </w:r>
          </w:p>
        </w:tc>
        <w:tc>
          <w:tcPr>
            <w:tcW w:w="240" w:type="dxa"/>
            <w:vAlign w:val="bottom"/>
          </w:tcPr>
          <w:p>
            <w:pPr>
              <w:spacing w:after="0"/>
              <w:rPr>
                <w:sz w:val="17"/>
                <w:szCs w:val="17"/>
                <w:color w:val="auto"/>
              </w:rPr>
            </w:pPr>
          </w:p>
        </w:tc>
        <w:tc>
          <w:tcPr>
            <w:tcW w:w="660" w:type="dxa"/>
            <w:vAlign w:val="bottom"/>
          </w:tcPr>
          <w:p>
            <w:pPr>
              <w:jc w:val="right"/>
              <w:spacing w:after="0" w:line="203" w:lineRule="exact"/>
              <w:rPr>
                <w:sz w:val="20"/>
                <w:szCs w:val="20"/>
                <w:color w:val="auto"/>
              </w:rPr>
            </w:pPr>
            <w:r>
              <w:rPr>
                <w:rFonts w:ascii="Arial" w:cs="Arial" w:eastAsia="Arial" w:hAnsi="Arial"/>
                <w:sz w:val="18"/>
                <w:szCs w:val="18"/>
                <w:color w:val="auto"/>
              </w:rPr>
              <w:t>57,961</w:t>
            </w:r>
          </w:p>
        </w:tc>
      </w:tr>
      <w:tr>
        <w:trPr>
          <w:trHeight w:val="236"/>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Valuation allowance</w:t>
            </w:r>
          </w:p>
        </w:tc>
        <w:tc>
          <w:tcPr>
            <w:tcW w:w="14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(4,044)</w:t>
            </w:r>
          </w:p>
        </w:tc>
        <w:tc>
          <w:tcPr>
            <w:tcW w:w="24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(2,447)</w:t>
            </w:r>
          </w:p>
        </w:tc>
      </w:tr>
      <w:tr>
        <w:trPr>
          <w:trHeight w:val="203"/>
        </w:trPr>
        <w:tc>
          <w:tcPr>
            <w:tcW w:w="7100" w:type="dxa"/>
            <w:vAlign w:val="bottom"/>
          </w:tcPr>
          <w:p>
            <w:pPr>
              <w:ind w:left="20"/>
              <w:spacing w:after="0" w:line="203" w:lineRule="exact"/>
              <w:rPr>
                <w:sz w:val="20"/>
                <w:szCs w:val="20"/>
                <w:color w:val="auto"/>
              </w:rPr>
            </w:pPr>
            <w:r>
              <w:rPr>
                <w:rFonts w:ascii="Arial" w:cs="Arial" w:eastAsia="Arial" w:hAnsi="Arial"/>
                <w:sz w:val="18"/>
                <w:szCs w:val="18"/>
                <w:color w:val="auto"/>
              </w:rPr>
              <w:t>Deferred income tax assets</w:t>
            </w:r>
          </w:p>
        </w:tc>
        <w:tc>
          <w:tcPr>
            <w:tcW w:w="140" w:type="dxa"/>
            <w:vAlign w:val="bottom"/>
          </w:tcPr>
          <w:p>
            <w:pPr>
              <w:spacing w:after="0"/>
              <w:rPr>
                <w:sz w:val="17"/>
                <w:szCs w:val="17"/>
                <w:color w:val="auto"/>
              </w:rPr>
            </w:pPr>
          </w:p>
        </w:tc>
        <w:tc>
          <w:tcPr>
            <w:tcW w:w="760" w:type="dxa"/>
            <w:vAlign w:val="bottom"/>
          </w:tcPr>
          <w:p>
            <w:pPr>
              <w:jc w:val="right"/>
              <w:ind w:right="51"/>
              <w:spacing w:after="0" w:line="203" w:lineRule="exact"/>
              <w:rPr>
                <w:sz w:val="20"/>
                <w:szCs w:val="20"/>
                <w:color w:val="auto"/>
              </w:rPr>
            </w:pPr>
            <w:r>
              <w:rPr>
                <w:rFonts w:ascii="Arial" w:cs="Arial" w:eastAsia="Arial" w:hAnsi="Arial"/>
                <w:sz w:val="18"/>
                <w:szCs w:val="18"/>
                <w:color w:val="auto"/>
              </w:rPr>
              <w:t>60,766</w:t>
            </w:r>
          </w:p>
        </w:tc>
        <w:tc>
          <w:tcPr>
            <w:tcW w:w="240" w:type="dxa"/>
            <w:vAlign w:val="bottom"/>
          </w:tcPr>
          <w:p>
            <w:pPr>
              <w:spacing w:after="0"/>
              <w:rPr>
                <w:sz w:val="17"/>
                <w:szCs w:val="17"/>
                <w:color w:val="auto"/>
              </w:rPr>
            </w:pPr>
          </w:p>
        </w:tc>
        <w:tc>
          <w:tcPr>
            <w:tcW w:w="660" w:type="dxa"/>
            <w:vAlign w:val="bottom"/>
          </w:tcPr>
          <w:p>
            <w:pPr>
              <w:jc w:val="right"/>
              <w:spacing w:after="0" w:line="203" w:lineRule="exact"/>
              <w:rPr>
                <w:sz w:val="20"/>
                <w:szCs w:val="20"/>
                <w:color w:val="auto"/>
              </w:rPr>
            </w:pPr>
            <w:r>
              <w:rPr>
                <w:rFonts w:ascii="Arial" w:cs="Arial" w:eastAsia="Arial" w:hAnsi="Arial"/>
                <w:sz w:val="18"/>
                <w:szCs w:val="18"/>
                <w:color w:val="auto"/>
              </w:rPr>
              <w:t>55,514</w:t>
            </w:r>
          </w:p>
        </w:tc>
      </w:tr>
      <w:tr>
        <w:trPr>
          <w:trHeight w:val="216"/>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5"/>
              </w:rPr>
              <w:t>(41,403)</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(34,001)</w:t>
            </w:r>
          </w:p>
        </w:tc>
      </w:tr>
      <w:tr>
        <w:trPr>
          <w:trHeight w:val="216"/>
        </w:trPr>
        <w:tc>
          <w:tcPr>
            <w:tcW w:w="7100" w:type="dxa"/>
            <w:vAlign w:val="bottom"/>
          </w:tcPr>
          <w:p>
            <w:pPr>
              <w:ind w:left="20"/>
              <w:spacing w:after="0"/>
              <w:rPr>
                <w:sz w:val="20"/>
                <w:szCs w:val="20"/>
                <w:color w:val="auto"/>
              </w:rPr>
            </w:pPr>
            <w:r>
              <w:rPr>
                <w:rFonts w:ascii="Arial" w:cs="Arial" w:eastAsia="Arial" w:hAnsi="Arial"/>
                <w:sz w:val="18"/>
                <w:szCs w:val="18"/>
                <w:color w:val="auto"/>
              </w:rPr>
              <w:t>Intangibles</w:t>
            </w:r>
          </w:p>
        </w:tc>
        <w:tc>
          <w:tcPr>
            <w:tcW w:w="140" w:type="dxa"/>
            <w:vAlign w:val="bottom"/>
          </w:tcPr>
          <w:p>
            <w:pPr>
              <w:spacing w:after="0"/>
              <w:rPr>
                <w:sz w:val="18"/>
                <w:szCs w:val="18"/>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w w:val="95"/>
              </w:rPr>
              <w:t>(22,840)</w:t>
            </w: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(21,375)</w:t>
            </w:r>
          </w:p>
        </w:tc>
      </w:tr>
      <w:tr>
        <w:trPr>
          <w:trHeight w:val="216"/>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 of use assets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5"/>
              </w:rPr>
              <w:t>(19,376)</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(20,255)</w:t>
            </w:r>
          </w:p>
        </w:tc>
      </w:tr>
      <w:tr>
        <w:trPr>
          <w:trHeight w:val="223"/>
        </w:trPr>
        <w:tc>
          <w:tcPr>
            <w:tcW w:w="7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income tax liabilities</w:t>
            </w: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95"/>
              </w:rPr>
              <w:t>(83,619)</w:t>
            </w: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(75,631)</w:t>
            </w:r>
          </w:p>
        </w:tc>
      </w:tr>
      <w:tr>
        <w:trPr>
          <w:trHeight w:val="216"/>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deferred income tax liability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5"/>
              </w:rPr>
              <w:t>(22,853)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(20,117)</w:t>
            </w:r>
          </w:p>
        </w:tc>
      </w:tr>
      <w:tr>
        <w:trPr>
          <w:trHeight w:val="20"/>
        </w:trPr>
        <w:tc>
          <w:tcPr>
            <w:tcW w:w="7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As of December 26, 2020, we had federal, state and foreign net operating loss carryforwards of $6.5 million and state tax credit carryforwards of $0.4 million, which will expire at various dates.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NOL and credit carryforwards expire as follows:</w:t>
      </w:r>
    </w:p>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5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gridSpan w:val="6"/>
          </w:tcPr>
          <w:p>
            <w:pPr>
              <w:ind w:left="280"/>
              <w:spacing w:after="0"/>
              <w:rPr>
                <w:sz w:val="20"/>
                <w:szCs w:val="20"/>
                <w:color w:val="auto"/>
              </w:rPr>
            </w:pPr>
            <w:r>
              <w:rPr>
                <w:rFonts w:ascii="Arial" w:cs="Arial" w:eastAsia="Arial" w:hAnsi="Arial"/>
                <w:sz w:val="14"/>
                <w:szCs w:val="14"/>
                <w:b w:val="1"/>
                <w:bCs w:val="1"/>
                <w:color w:val="auto"/>
              </w:rPr>
              <w:t>Net Operating Losses</w:t>
            </w:r>
          </w:p>
        </w:tc>
        <w:tc>
          <w:tcPr>
            <w:tcW w:w="140" w:type="dxa"/>
            <w:vAlign w:val="bottom"/>
          </w:tcPr>
          <w:p>
            <w:pPr>
              <w:spacing w:after="0"/>
              <w:rPr>
                <w:sz w:val="15"/>
                <w:szCs w:val="15"/>
                <w:color w:val="auto"/>
              </w:rPr>
            </w:pPr>
          </w:p>
        </w:tc>
        <w:tc>
          <w:tcPr>
            <w:tcW w:w="1220" w:type="dxa"/>
            <w:vAlign w:val="bottom"/>
            <w:gridSpan w:val="3"/>
          </w:tcPr>
          <w:p>
            <w:pPr>
              <w:jc w:val="right"/>
              <w:ind w:right="233"/>
              <w:spacing w:after="0"/>
              <w:rPr>
                <w:sz w:val="20"/>
                <w:szCs w:val="20"/>
                <w:color w:val="auto"/>
              </w:rPr>
            </w:pPr>
            <w:r>
              <w:rPr>
                <w:rFonts w:ascii="Arial" w:cs="Arial" w:eastAsia="Arial" w:hAnsi="Arial"/>
                <w:sz w:val="14"/>
                <w:szCs w:val="14"/>
                <w:b w:val="1"/>
                <w:bCs w:val="1"/>
                <w:color w:val="auto"/>
              </w:rPr>
              <w:t>Tax Credits</w:t>
            </w:r>
          </w:p>
        </w:tc>
      </w:tr>
      <w:tr>
        <w:trPr>
          <w:trHeight w:val="156"/>
        </w:trPr>
        <w:tc>
          <w:tcPr>
            <w:tcW w:w="532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135"/>
              <w:spacing w:after="0" w:line="149" w:lineRule="exact"/>
              <w:rPr>
                <w:sz w:val="20"/>
                <w:szCs w:val="20"/>
                <w:color w:val="auto"/>
              </w:rPr>
            </w:pPr>
            <w:r>
              <w:rPr>
                <w:rFonts w:ascii="Arial" w:cs="Arial" w:eastAsia="Arial" w:hAnsi="Arial"/>
                <w:sz w:val="14"/>
                <w:szCs w:val="14"/>
                <w:b w:val="1"/>
                <w:bCs w:val="1"/>
                <w:color w:val="auto"/>
              </w:rPr>
              <w:t>U.S.</w:t>
            </w:r>
          </w:p>
        </w:tc>
        <w:tc>
          <w:tcPr>
            <w:tcW w:w="22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93"/>
              <w:spacing w:after="0" w:line="149" w:lineRule="exact"/>
              <w:rPr>
                <w:sz w:val="20"/>
                <w:szCs w:val="20"/>
                <w:color w:val="auto"/>
              </w:rPr>
            </w:pPr>
            <w:r>
              <w:rPr>
                <w:rFonts w:ascii="Arial" w:cs="Arial" w:eastAsia="Arial" w:hAnsi="Arial"/>
                <w:sz w:val="14"/>
                <w:szCs w:val="14"/>
                <w:b w:val="1"/>
                <w:bCs w:val="1"/>
                <w:color w:val="auto"/>
                <w:w w:val="93"/>
              </w:rPr>
              <w:t>State</w:t>
            </w:r>
          </w:p>
        </w:tc>
        <w:tc>
          <w:tcPr>
            <w:tcW w:w="700" w:type="dxa"/>
            <w:vAlign w:val="bottom"/>
            <w:tcBorders>
              <w:top w:val="single" w:sz="8" w:color="auto"/>
              <w:bottom w:val="single" w:sz="8" w:color="auto"/>
            </w:tcBorders>
            <w:gridSpan w:val="2"/>
          </w:tcPr>
          <w:p>
            <w:pPr>
              <w:jc w:val="right"/>
              <w:spacing w:after="0" w:line="149" w:lineRule="exact"/>
              <w:rPr>
                <w:sz w:val="20"/>
                <w:szCs w:val="20"/>
                <w:color w:val="auto"/>
              </w:rPr>
            </w:pPr>
            <w:r>
              <w:rPr>
                <w:rFonts w:ascii="Arial" w:cs="Arial" w:eastAsia="Arial" w:hAnsi="Arial"/>
                <w:sz w:val="14"/>
                <w:szCs w:val="14"/>
                <w:b w:val="1"/>
                <w:bCs w:val="1"/>
                <w:color w:val="auto"/>
              </w:rPr>
              <w:t>Foreign</w:t>
            </w:r>
          </w:p>
        </w:tc>
        <w:tc>
          <w:tcPr>
            <w:tcW w:w="14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ind w:left="40"/>
              <w:spacing w:after="0" w:line="149" w:lineRule="exact"/>
              <w:rPr>
                <w:sz w:val="20"/>
                <w:szCs w:val="20"/>
                <w:color w:val="auto"/>
              </w:rPr>
            </w:pPr>
            <w:r>
              <w:rPr>
                <w:rFonts w:ascii="Arial" w:cs="Arial" w:eastAsia="Arial" w:hAnsi="Arial"/>
                <w:sz w:val="14"/>
                <w:szCs w:val="14"/>
                <w:b w:val="1"/>
                <w:bCs w:val="1"/>
                <w:color w:val="auto"/>
              </w:rPr>
              <w:t>U.S.</w:t>
            </w:r>
          </w:p>
        </w:tc>
        <w:tc>
          <w:tcPr>
            <w:tcW w:w="22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53"/>
              <w:spacing w:after="0" w:line="149" w:lineRule="exact"/>
              <w:rPr>
                <w:sz w:val="20"/>
                <w:szCs w:val="20"/>
                <w:color w:val="auto"/>
              </w:rPr>
            </w:pPr>
            <w:r>
              <w:rPr>
                <w:rFonts w:ascii="Arial" w:cs="Arial" w:eastAsia="Arial" w:hAnsi="Arial"/>
                <w:sz w:val="14"/>
                <w:szCs w:val="14"/>
                <w:b w:val="1"/>
                <w:bCs w:val="1"/>
                <w:color w:val="auto"/>
                <w:w w:val="99"/>
              </w:rPr>
              <w:t>State</w:t>
            </w:r>
          </w:p>
        </w:tc>
      </w:tr>
      <w:tr>
        <w:trPr>
          <w:trHeight w:val="216"/>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2021 - 2025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r>
      <w:tr>
        <w:trPr>
          <w:trHeight w:val="216"/>
        </w:trPr>
        <w:tc>
          <w:tcPr>
            <w:tcW w:w="5320" w:type="dxa"/>
            <w:vAlign w:val="bottom"/>
          </w:tcPr>
          <w:p>
            <w:pPr>
              <w:ind w:left="20"/>
              <w:spacing w:after="0"/>
              <w:rPr>
                <w:sz w:val="20"/>
                <w:szCs w:val="20"/>
                <w:color w:val="auto"/>
              </w:rPr>
            </w:pPr>
            <w:r>
              <w:rPr>
                <w:rFonts w:ascii="Arial" w:cs="Arial" w:eastAsia="Arial" w:hAnsi="Arial"/>
                <w:sz w:val="18"/>
                <w:szCs w:val="18"/>
                <w:color w:val="auto"/>
              </w:rPr>
              <w:t>2026 - 2030</w:t>
            </w:r>
          </w:p>
        </w:tc>
        <w:tc>
          <w:tcPr>
            <w:tcW w:w="100" w:type="dxa"/>
            <w:vAlign w:val="bottom"/>
          </w:tcPr>
          <w:p>
            <w:pPr>
              <w:spacing w:after="0"/>
              <w:rPr>
                <w:sz w:val="18"/>
                <w:szCs w:val="18"/>
                <w:color w:val="auto"/>
              </w:rPr>
            </w:pPr>
          </w:p>
        </w:tc>
        <w:tc>
          <w:tcPr>
            <w:tcW w:w="54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20" w:type="dxa"/>
            <w:vAlign w:val="bottom"/>
          </w:tcPr>
          <w:p>
            <w:pPr>
              <w:jc w:val="right"/>
              <w:ind w:right="13"/>
              <w:spacing w:after="0"/>
              <w:rPr>
                <w:sz w:val="20"/>
                <w:szCs w:val="20"/>
                <w:color w:val="auto"/>
              </w:rPr>
            </w:pPr>
            <w:r>
              <w:rPr>
                <w:rFonts w:ascii="Arial" w:cs="Arial" w:eastAsia="Arial" w:hAnsi="Arial"/>
                <w:sz w:val="18"/>
                <w:szCs w:val="18"/>
                <w:color w:val="auto"/>
              </w:rPr>
              <w:t>454</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8"/>
              </w:rPr>
              <w:t>1,271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2031 - 2035</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961</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320" w:type="dxa"/>
            <w:vAlign w:val="bottom"/>
          </w:tcPr>
          <w:p>
            <w:pPr>
              <w:ind w:left="20"/>
              <w:spacing w:after="0"/>
              <w:rPr>
                <w:sz w:val="20"/>
                <w:szCs w:val="20"/>
                <w:color w:val="auto"/>
              </w:rPr>
            </w:pPr>
            <w:r>
              <w:rPr>
                <w:rFonts w:ascii="Arial" w:cs="Arial" w:eastAsia="Arial" w:hAnsi="Arial"/>
                <w:sz w:val="18"/>
                <w:szCs w:val="18"/>
                <w:color w:val="auto"/>
              </w:rPr>
              <w:t>2036 - 2040</w:t>
            </w:r>
          </w:p>
        </w:tc>
        <w:tc>
          <w:tcPr>
            <w:tcW w:w="100" w:type="dxa"/>
            <w:vAlign w:val="bottom"/>
          </w:tcPr>
          <w:p>
            <w:pPr>
              <w:spacing w:after="0"/>
              <w:rPr>
                <w:sz w:val="18"/>
                <w:szCs w:val="18"/>
                <w:color w:val="auto"/>
              </w:rPr>
            </w:pPr>
          </w:p>
        </w:tc>
        <w:tc>
          <w:tcPr>
            <w:tcW w:w="540" w:type="dxa"/>
            <w:vAlign w:val="bottom"/>
          </w:tcPr>
          <w:p>
            <w:pPr>
              <w:jc w:val="right"/>
              <w:ind w:right="15"/>
              <w:spacing w:after="0"/>
              <w:rPr>
                <w:sz w:val="20"/>
                <w:szCs w:val="20"/>
                <w:color w:val="auto"/>
              </w:rPr>
            </w:pPr>
            <w:r>
              <w:rPr>
                <w:rFonts w:ascii="Arial" w:cs="Arial" w:eastAsia="Arial" w:hAnsi="Arial"/>
                <w:sz w:val="18"/>
                <w:szCs w:val="18"/>
                <w:color w:val="auto"/>
                <w:w w:val="93"/>
              </w:rPr>
              <w:t>1,405</w:t>
            </w:r>
          </w:p>
        </w:tc>
        <w:tc>
          <w:tcPr>
            <w:tcW w:w="220" w:type="dxa"/>
            <w:vAlign w:val="bottom"/>
          </w:tcPr>
          <w:p>
            <w:pPr>
              <w:spacing w:after="0"/>
              <w:rPr>
                <w:sz w:val="18"/>
                <w:szCs w:val="18"/>
                <w:color w:val="auto"/>
              </w:rPr>
            </w:pPr>
          </w:p>
        </w:tc>
        <w:tc>
          <w:tcPr>
            <w:tcW w:w="520" w:type="dxa"/>
            <w:vAlign w:val="bottom"/>
          </w:tcPr>
          <w:p>
            <w:pPr>
              <w:jc w:val="right"/>
              <w:ind w:right="13"/>
              <w:spacing w:after="0"/>
              <w:rPr>
                <w:sz w:val="20"/>
                <w:szCs w:val="20"/>
                <w:color w:val="auto"/>
              </w:rPr>
            </w:pPr>
            <w:r>
              <w:rPr>
                <w:rFonts w:ascii="Arial" w:cs="Arial" w:eastAsia="Arial" w:hAnsi="Arial"/>
                <w:sz w:val="18"/>
                <w:szCs w:val="18"/>
                <w:color w:val="auto"/>
                <w:w w:val="88"/>
              </w:rPr>
              <w:t>1,048</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6"/>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10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7"/>
        </w:trPr>
        <w:tc>
          <w:tcPr>
            <w:tcW w:w="5320" w:type="dxa"/>
            <w:vAlign w:val="bottom"/>
          </w:tcPr>
          <w:p>
            <w:pPr>
              <w:ind w:left="20"/>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ind w:right="15"/>
              <w:spacing w:after="0"/>
              <w:rPr>
                <w:sz w:val="20"/>
                <w:szCs w:val="20"/>
                <w:color w:val="auto"/>
              </w:rPr>
            </w:pPr>
            <w:r>
              <w:rPr>
                <w:rFonts w:ascii="Arial" w:cs="Arial" w:eastAsia="Arial" w:hAnsi="Arial"/>
                <w:sz w:val="18"/>
                <w:szCs w:val="18"/>
                <w:color w:val="auto"/>
                <w:w w:val="93"/>
              </w:rPr>
              <w:t>1,405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3"/>
              <w:spacing w:after="0"/>
              <w:rPr>
                <w:sz w:val="20"/>
                <w:szCs w:val="20"/>
                <w:color w:val="auto"/>
              </w:rPr>
            </w:pPr>
            <w:r>
              <w:rPr>
                <w:rFonts w:ascii="Arial" w:cs="Arial" w:eastAsia="Arial" w:hAnsi="Arial"/>
                <w:sz w:val="18"/>
                <w:szCs w:val="18"/>
                <w:color w:val="auto"/>
                <w:w w:val="88"/>
              </w:rPr>
              <w:t>2,549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8"/>
              </w:rPr>
              <w:t>2,509</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391</w:t>
            </w:r>
          </w:p>
        </w:tc>
      </w:tr>
    </w:tbl>
    <w:p>
      <w:pPr>
        <w:spacing w:after="0" w:line="187"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As of December 26, 2020, we believe that it is more likely than not that the benefit from certain state and foreign NOL carryforwards will not be realized. In recognition of this risk, we have provided a valuation allowance of $3.5 million against the various NOLs. Furthermore, there is a valuation allowance of $0.5 million against a capital loss carryforward</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0" w:name="page121"/>
    <w:bookmarkEnd w:id="1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we have for a wholly-owned subsidiary, UFP Canada, Inc. Based upon the business activity and the nature of the assets of this subsidiary, our ability to realize a future benefit from this carryforward is doubtful. The capital loss has an unlimited carryforward and therefore will not expire unless there is a change in control of the subsidiary.</w:t>
      </w:r>
    </w:p>
    <w:p>
      <w:pPr>
        <w:spacing w:after="0" w:line="161" w:lineRule="exact"/>
        <w:rPr>
          <w:sz w:val="20"/>
          <w:szCs w:val="20"/>
          <w:color w:val="auto"/>
        </w:rPr>
      </w:pPr>
    </w:p>
    <w:p>
      <w:pPr>
        <w:ind w:left="700" w:hanging="650"/>
        <w:spacing w:after="0"/>
        <w:tabs>
          <w:tab w:leader="none" w:pos="70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ACCOUNTING FOR UNCERTAINTY IN INCOME TAXES</w:t>
      </w:r>
    </w:p>
    <w:p>
      <w:pPr>
        <w:spacing w:after="0" w:line="229"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 xml:space="preserve">ASC 740,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(“ASC 740”) clarifies the accounting for income taxes by prescribing the minimum recognition threshold a tax position is required to meet before being recognized in the financial statements. ASC 740 also provides guidance on derecognition, measurement, classification, interest and penalties, and disclosure requirements.</w:t>
      </w:r>
    </w:p>
    <w:p>
      <w:pPr>
        <w:spacing w:after="0" w:line="149" w:lineRule="exact"/>
        <w:rPr>
          <w:sz w:val="20"/>
          <w:szCs w:val="20"/>
          <w:color w:val="auto"/>
        </w:rPr>
      </w:pPr>
    </w:p>
    <w:p>
      <w:pPr>
        <w:ind w:left="700"/>
        <w:spacing w:after="0"/>
        <w:rPr>
          <w:sz w:val="20"/>
          <w:szCs w:val="20"/>
          <w:color w:val="auto"/>
        </w:rPr>
      </w:pPr>
      <w:r>
        <w:rPr>
          <w:rFonts w:ascii="Arial" w:cs="Arial" w:eastAsia="Arial" w:hAnsi="Arial"/>
          <w:sz w:val="17"/>
          <w:szCs w:val="17"/>
          <w:color w:val="auto"/>
        </w:rPr>
        <w:t>A reconciliation of the beginning and ending amount of unrecognized tax benefits is as follows (in thousands):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ind w:left="60"/>
        <w:spacing w:after="0"/>
        <w:rPr>
          <w:sz w:val="20"/>
          <w:szCs w:val="20"/>
          <w:color w:val="auto"/>
        </w:rPr>
      </w:pPr>
      <w:r>
        <w:rPr>
          <w:rFonts w:ascii="Arial" w:cs="Arial" w:eastAsia="Arial" w:hAnsi="Arial"/>
          <w:sz w:val="16"/>
          <w:szCs w:val="16"/>
          <w:color w:val="auto"/>
        </w:rPr>
        <w:t>Gross unrecognized tax benefits 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-124460</wp:posOffset>
            </wp:positionV>
            <wp:extent cx="5648960" cy="1543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8">
                      <a:extLst>
                        <a:ext uri="{28A0092B-C50C-407E-A947-70E740481C1C}"/>
                      </a:extLst>
                    </a:blip>
                    <a:srcRect/>
                    <a:stretch>
                      <a:fillRect/>
                    </a:stretch>
                  </pic:blipFill>
                  <pic:spPr bwMode="auto">
                    <a:xfrm>
                      <a:off x="0" y="0"/>
                      <a:ext cx="5648960" cy="154305"/>
                    </a:xfrm>
                    <a:prstGeom prst="rect">
                      <a:avLst/>
                    </a:prstGeom>
                    <a:noFill/>
                  </pic:spPr>
                </pic:pic>
              </a:graphicData>
            </a:graphic>
          </wp:anchor>
        </w:drawing>
      </w:r>
    </w:p>
    <w:p>
      <w:pPr>
        <w:spacing w:after="0" w:line="26"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Increase in tax positions for prior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5715</wp:posOffset>
            </wp:positionV>
            <wp:extent cx="5648960" cy="13716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9">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ind w:left="60"/>
        <w:spacing w:after="0"/>
        <w:rPr>
          <w:sz w:val="20"/>
          <w:szCs w:val="20"/>
          <w:color w:val="auto"/>
        </w:rPr>
      </w:pPr>
      <w:r>
        <w:rPr>
          <w:rFonts w:ascii="Arial" w:cs="Arial" w:eastAsia="Arial" w:hAnsi="Arial"/>
          <w:sz w:val="18"/>
          <w:szCs w:val="18"/>
          <w:color w:val="auto"/>
        </w:rPr>
        <w:t>Increase in tax positions for current year</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Lapse in statute of limitations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14605</wp:posOffset>
            </wp:positionV>
            <wp:extent cx="5648960" cy="15430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0">
                      <a:extLst>
                        <a:ext uri="{28A0092B-C50C-407E-A947-70E740481C1C}"/>
                      </a:extLst>
                    </a:blip>
                    <a:srcRect/>
                    <a:stretch>
                      <a:fillRect/>
                    </a:stretch>
                  </pic:blipFill>
                  <pic:spPr bwMode="auto">
                    <a:xfrm>
                      <a:off x="0" y="0"/>
                      <a:ext cx="5648960" cy="154305"/>
                    </a:xfrm>
                    <a:prstGeom prst="rect">
                      <a:avLst/>
                    </a:prstGeom>
                    <a:noFill/>
                  </pic:spPr>
                </pic:pic>
              </a:graphicData>
            </a:graphic>
          </wp:anchor>
        </w:drawing>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color w:val="auto"/>
        </w:rPr>
        <w:t>Gross unrecognized tax benefits end of year</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ind w:left="205"/>
        <w:spacing w:after="0"/>
        <w:tabs>
          <w:tab w:leader="none" w:pos="1065" w:val="left"/>
          <w:tab w:leader="none" w:pos="1965"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r>
        <w:rPr>
          <w:sz w:val="20"/>
          <w:szCs w:val="20"/>
          <w:color w:val="auto"/>
        </w:rPr>
        <w:tab/>
      </w:r>
      <w:r>
        <w:rPr>
          <w:rFonts w:ascii="Arial" w:cs="Arial" w:eastAsia="Arial" w:hAnsi="Arial"/>
          <w:sz w:val="12"/>
          <w:szCs w:val="12"/>
          <w:b w:val="1"/>
          <w:bCs w:val="1"/>
          <w:color w:val="auto"/>
        </w:rPr>
        <w:t>2018</w:t>
      </w:r>
    </w:p>
    <w:p>
      <w:pPr>
        <w:spacing w:after="0" w:line="25" w:lineRule="exact"/>
        <w:rPr>
          <w:sz w:val="20"/>
          <w:szCs w:val="20"/>
          <w:color w:val="auto"/>
        </w:rPr>
      </w:pPr>
    </w:p>
    <w:p>
      <w:pPr>
        <w:ind w:left="265" w:hanging="265"/>
        <w:spacing w:after="0"/>
        <w:tabs>
          <w:tab w:leader="none" w:pos="265" w:val="left"/>
        </w:tabs>
        <w:numPr>
          <w:ilvl w:val="0"/>
          <w:numId w:val="49"/>
        </w:numPr>
        <w:rPr>
          <w:rFonts w:ascii="Arial" w:cs="Arial" w:eastAsia="Arial" w:hAnsi="Arial"/>
          <w:sz w:val="18"/>
          <w:szCs w:val="18"/>
          <w:color w:val="auto"/>
        </w:rPr>
      </w:pPr>
      <w:r>
        <w:rPr>
          <w:rFonts w:ascii="Arial" w:cs="Arial" w:eastAsia="Arial" w:hAnsi="Arial"/>
          <w:sz w:val="18"/>
          <w:szCs w:val="18"/>
          <w:color w:val="auto"/>
        </w:rPr>
        <w:t>4,166   $  4,378   $  4,000</w:t>
      </w:r>
    </w:p>
    <w:p>
      <w:pPr>
        <w:spacing w:after="0" w:line="21" w:lineRule="exact"/>
        <w:rPr>
          <w:rFonts w:ascii="Arial" w:cs="Arial" w:eastAsia="Arial" w:hAnsi="Arial"/>
          <w:sz w:val="18"/>
          <w:szCs w:val="18"/>
          <w:color w:val="auto"/>
        </w:rPr>
      </w:pPr>
    </w:p>
    <w:p>
      <w:pPr>
        <w:ind w:left="1205" w:hanging="789"/>
        <w:spacing w:after="0"/>
        <w:tabs>
          <w:tab w:leader="none" w:pos="1205" w:val="left"/>
        </w:tabs>
        <w:numPr>
          <w:ilvl w:val="1"/>
          <w:numId w:val="49"/>
        </w:numPr>
        <w:rPr>
          <w:rFonts w:ascii="Arial" w:cs="Arial" w:eastAsia="Arial" w:hAnsi="Arial"/>
          <w:sz w:val="18"/>
          <w:szCs w:val="18"/>
          <w:color w:val="auto"/>
        </w:rPr>
      </w:pPr>
      <w:r>
        <w:rPr>
          <w:rFonts w:ascii="Arial" w:cs="Arial" w:eastAsia="Arial" w:hAnsi="Arial"/>
          <w:sz w:val="18"/>
          <w:szCs w:val="18"/>
          <w:color w:val="auto"/>
        </w:rPr>
        <w:t>(129)</w:t>
      </w:r>
      <w:r>
        <w:rPr>
          <w:rFonts w:ascii="Arial" w:cs="Arial" w:eastAsia="Arial" w:hAnsi="Arial"/>
          <w:sz w:val="17"/>
          <w:szCs w:val="17"/>
          <w:color w:val="auto"/>
        </w:rPr>
        <w:t>(366)</w:t>
      </w:r>
    </w:p>
    <w:p>
      <w:pPr>
        <w:spacing w:after="0" w:line="4" w:lineRule="exact"/>
        <w:rPr>
          <w:sz w:val="20"/>
          <w:szCs w:val="20"/>
          <w:color w:val="auto"/>
        </w:rPr>
      </w:pPr>
    </w:p>
    <w:tbl>
      <w:tblPr>
        <w:tblLayout w:type="fixed"/>
        <w:tblInd w:w="5" w:type="dxa"/>
        <w:tblCellMar>
          <w:top w:w="0" w:type="dxa"/>
          <w:left w:w="0" w:type="dxa"/>
          <w:bottom w:w="0" w:type="dxa"/>
          <w:right w:w="0" w:type="dxa"/>
        </w:tblCellMar>
      </w:tblPr>
      <w:tr>
        <w:trPr>
          <w:trHeight w:val="207"/>
        </w:trPr>
        <w:tc>
          <w:tcPr>
            <w:tcW w:w="800" w:type="dxa"/>
            <w:vAlign w:val="bottom"/>
            <w:gridSpan w:val="2"/>
          </w:tcPr>
          <w:p>
            <w:pPr>
              <w:jc w:val="right"/>
              <w:ind w:right="50"/>
              <w:spacing w:after="0"/>
              <w:rPr>
                <w:sz w:val="20"/>
                <w:szCs w:val="20"/>
                <w:color w:val="auto"/>
              </w:rPr>
            </w:pPr>
            <w:r>
              <w:rPr>
                <w:rFonts w:ascii="Arial" w:cs="Arial" w:eastAsia="Arial" w:hAnsi="Arial"/>
                <w:sz w:val="18"/>
                <w:szCs w:val="18"/>
                <w:color w:val="auto"/>
              </w:rPr>
              <w:t>730</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768</w:t>
            </w:r>
          </w:p>
        </w:tc>
        <w:tc>
          <w:tcPr>
            <w:tcW w:w="840" w:type="dxa"/>
            <w:vAlign w:val="bottom"/>
          </w:tcPr>
          <w:p>
            <w:pPr>
              <w:jc w:val="right"/>
              <w:spacing w:after="0"/>
              <w:rPr>
                <w:sz w:val="20"/>
                <w:szCs w:val="20"/>
                <w:color w:val="auto"/>
              </w:rPr>
            </w:pPr>
            <w:r>
              <w:rPr>
                <w:rFonts w:ascii="Arial" w:cs="Arial" w:eastAsia="Arial" w:hAnsi="Arial"/>
                <w:sz w:val="18"/>
                <w:szCs w:val="18"/>
                <w:color w:val="auto"/>
              </w:rPr>
              <w:t>1,326</w:t>
            </w:r>
          </w:p>
        </w:tc>
      </w:tr>
      <w:tr>
        <w:trPr>
          <w:trHeight w:val="237"/>
        </w:trPr>
        <w:tc>
          <w:tcPr>
            <w:tcW w:w="800" w:type="dxa"/>
            <w:vAlign w:val="bottom"/>
            <w:gridSpan w:val="2"/>
          </w:tcPr>
          <w:p>
            <w:pPr>
              <w:jc w:val="right"/>
              <w:spacing w:after="0"/>
              <w:rPr>
                <w:sz w:val="20"/>
                <w:szCs w:val="20"/>
                <w:color w:val="auto"/>
              </w:rPr>
            </w:pPr>
            <w:r>
              <w:rPr>
                <w:rFonts w:ascii="Arial" w:cs="Arial" w:eastAsia="Arial" w:hAnsi="Arial"/>
                <w:sz w:val="18"/>
                <w:szCs w:val="18"/>
                <w:color w:val="auto"/>
              </w:rPr>
              <w:t>(922)</w:t>
            </w:r>
          </w:p>
        </w:tc>
        <w:tc>
          <w:tcPr>
            <w:tcW w:w="860" w:type="dxa"/>
            <w:vAlign w:val="bottom"/>
          </w:tcPr>
          <w:p>
            <w:pPr>
              <w:jc w:val="right"/>
              <w:spacing w:after="0"/>
              <w:rPr>
                <w:sz w:val="20"/>
                <w:szCs w:val="20"/>
                <w:color w:val="auto"/>
              </w:rPr>
            </w:pPr>
            <w:r>
              <w:rPr>
                <w:rFonts w:ascii="Arial" w:cs="Arial" w:eastAsia="Arial" w:hAnsi="Arial"/>
                <w:sz w:val="18"/>
                <w:szCs w:val="18"/>
                <w:color w:val="auto"/>
              </w:rPr>
              <w:t>(851)</w:t>
            </w:r>
          </w:p>
        </w:tc>
        <w:tc>
          <w:tcPr>
            <w:tcW w:w="840" w:type="dxa"/>
            <w:vAlign w:val="bottom"/>
          </w:tcPr>
          <w:p>
            <w:pPr>
              <w:jc w:val="right"/>
              <w:spacing w:after="0"/>
              <w:rPr>
                <w:sz w:val="20"/>
                <w:szCs w:val="20"/>
                <w:color w:val="auto"/>
              </w:rPr>
            </w:pPr>
            <w:r>
              <w:rPr>
                <w:rFonts w:ascii="Arial" w:cs="Arial" w:eastAsia="Arial" w:hAnsi="Arial"/>
                <w:sz w:val="18"/>
                <w:szCs w:val="18"/>
                <w:color w:val="auto"/>
              </w:rPr>
              <w:t>(582)</w:t>
            </w:r>
          </w:p>
        </w:tc>
      </w:tr>
      <w:tr>
        <w:trPr>
          <w:trHeight w:val="216"/>
        </w:trPr>
        <w:tc>
          <w:tcPr>
            <w:tcW w:w="20" w:type="dxa"/>
            <w:vAlign w:val="bottom"/>
            <w:tcBorders>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5"/>
              </w:rPr>
              <w:t>$  3,892</w:t>
            </w:r>
          </w:p>
        </w:tc>
        <w:tc>
          <w:tcPr>
            <w:tcW w:w="8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  4,166</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4,378</w:t>
            </w:r>
          </w:p>
        </w:tc>
      </w:tr>
      <w:tr>
        <w:trPr>
          <w:trHeight w:val="20"/>
        </w:trPr>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735" w:space="720"/>
            <w:col w:w="2564"/>
          </w:cols>
          <w:pgMar w:left="1440" w:top="517" w:right="1440" w:bottom="1440" w:gutter="0" w:footer="0" w:header="0"/>
          <w:type w:val="continuous"/>
        </w:sectPr>
      </w:pPr>
    </w:p>
    <w:p>
      <w:pPr>
        <w:spacing w:after="0" w:line="2"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Our effective tax rate would have been affected by the unrecognized tax benefits had this amount been recognized as a reduction to income tax expense.</w:t>
      </w:r>
    </w:p>
    <w:p>
      <w:pPr>
        <w:spacing w:after="0" w:line="170"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We recognized interest and penalties for unrecognized tax benefits in our provision for income taxes. The liability for unrecognized tax benefits included accrued interest and penalties of $0.5 million for each of the years December 26, 2020, December 28, 2019, and December 29, 2018.</w:t>
      </w:r>
    </w:p>
    <w:p>
      <w:pPr>
        <w:spacing w:after="0" w:line="184"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We file income tax returns in the United States and in various state, local and foreign jurisdictions. The federal and a majority of state and foreign jurisdictions are no longer subject to income tax examinations for years before 2017. A number of routine state and local examinations are currently ongoing. Due to the potential for resolution of state examinations, and the expiration of various statutes of limitation, and new positions that may be taken, it is reasonably possible that the amounts of unrecognized tax benefits could change in the next twelve months is $1.3 million.</w:t>
      </w:r>
    </w:p>
    <w:p>
      <w:pPr>
        <w:spacing w:after="0" w:line="157" w:lineRule="exact"/>
        <w:rPr>
          <w:sz w:val="20"/>
          <w:szCs w:val="20"/>
          <w:color w:val="auto"/>
        </w:rPr>
      </w:pPr>
    </w:p>
    <w:p>
      <w:pPr>
        <w:ind w:left="700" w:hanging="650"/>
        <w:spacing w:after="0"/>
        <w:tabs>
          <w:tab w:leader="none" w:pos="70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COMMITMENTS, CONTINGENCIES, AND GUARANTEES</w:t>
      </w:r>
    </w:p>
    <w:p>
      <w:pPr>
        <w:spacing w:after="0" w:line="229"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We are self-insured for environmental impairment liability, including certain liabilities which are insured through a wholly owned subsidiary, Ardellis Insurance Ltd., a licensed captive insurance company.</w:t>
      </w:r>
    </w:p>
    <w:p>
      <w:pPr>
        <w:spacing w:after="0" w:line="170"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We own and operate a number of facilities throughout the United States that chemically treat lumber products. In connection with the ownership and operation of these and other real properties, and the disposal or treatment of hazardous or toxic substances, we may, under various federal, state, and local environmental laws, ordinances, and regulations, be potentially liable for removal and remediation costs, as well as other potential costs, damages, and expenses. Environmental reserves, calculated with no discount rate, have been established to cover remediation activities at wood preservation facilities in Stockertown, PA; Elizabeth City, NC; and Auburndale, FL. In addition, a reserve was established for our facility in Thornton, CA to remove certain lead containing materials which existed on the property at the time of purchase.</w:t>
      </w:r>
    </w:p>
    <w:p>
      <w:pPr>
        <w:spacing w:after="0" w:line="192"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On a consolidated basis, we have reserved approximately $1.9 million and $2.0 million on December 26, 2020 and December 28, 2019, respectively, representing the estimated costs to complete future remediation efforts. These amounts have not been reduced by an insurance receivable.</w:t>
      </w:r>
    </w:p>
    <w:p>
      <w:pPr>
        <w:spacing w:after="0" w:line="184"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7"/>
          <w:szCs w:val="17"/>
          <w:color w:val="auto"/>
        </w:rPr>
        <w:t>In addition, on December 26, 2020, we were parties either as plaintiff or defendant to a number of lawsuits and claims arising through the normal course of our business. In the opinion of management, our consolidated financial statements will not be materially affected by the outcome of these contingencies and claims.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1" w:name="page122"/>
    <w:bookmarkEnd w:id="1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On December 26, 2020, we had outstanding purchase commitments on commenced capital projects of approximately $22.8 million.</w:t>
      </w:r>
    </w:p>
    <w:p>
      <w:pPr>
        <w:spacing w:after="0" w:line="170"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We provide a variety of warranties for products we manufacture. Historically, warranty claims have not been material. We distribute products manufactured by other companies, some of which are no longer in business. While we do not warrant these products, we have received claims as a distributor of these products when the manufacturer no longer exists or has the ability to pay. Historically, these costs have not had a material effect on our consolidated financial statements.</w:t>
      </w:r>
    </w:p>
    <w:p>
      <w:pPr>
        <w:spacing w:after="0" w:line="188"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As part of our operations, we supply building materials and labor to site-built construction projects or we jointly bid on contracts with framing companies for such projects. In some instances we are required to post payment and performance bonds to insure the project owner that the products and installation services are completed in accordance with our contractual obligations. We have agreed to indemnify the surety for claims made against the bonds. As of December 26, 2020, we had approximately $15.4 million in outstanding payment and performance bonds for open projects. We had approximately $5.2 million in payment and performance bonds outstanding for completed projects which are still under warranty.</w:t>
      </w:r>
    </w:p>
    <w:p>
      <w:pPr>
        <w:spacing w:after="0" w:line="195"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On December 26, 2020, we had outstanding letters of credit totaling $41.0 million, primarily related to certain insurance contracts and industrial development revenue bonds described further below.</w:t>
      </w:r>
    </w:p>
    <w:p>
      <w:pPr>
        <w:spacing w:after="0" w:line="170"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In lieu of cash deposits, we provide irrevocable letters of credit in favor of our insurers to guarantee our performance under certain insurance contracts. We currently have irrevocable letters of credit outstanding totaling approximately $33.9 million for these types of insurance arrangements. We have reserves recorded on our balance sheet, in accrued liabilities, that reflect our expected future liabilities under these insurance arrangements.</w:t>
      </w:r>
    </w:p>
    <w:p>
      <w:pPr>
        <w:spacing w:after="0" w:line="171"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We are required to provide irrevocable letters of credit in favor of the bond trustees for all industrial development revenue bonds that have been issued. These letters of credit guarantee principal and interest payments to the bondholders. We currently have irrevocable letters of credit outstanding totaling approximately $7.1 million related to our outstanding industrial development revenue bonds. These letters of credit have varying terms but may be renewed at the option of the issuing banks.</w:t>
      </w:r>
    </w:p>
    <w:p>
      <w:pPr>
        <w:spacing w:after="0" w:line="188"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Certain wholly owned domestic subsidiaries have guaranteed the indebtedness of UFP Industries, Inc. in certain debt agreements, including the Series 2012, 2018 and 2020 Senior Notes and our revolving credit facility. The maximum exposure of these guarantees is limited to the indebtedness outstanding under these debt arrangements and this exposure will expire concurrent with the expiration of the debt agreements.</w:t>
      </w:r>
    </w:p>
    <w:p>
      <w:pPr>
        <w:spacing w:after="0" w:line="187"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We did not enter into any new guarantee arrangements during 2020 which would require us to recognize a liability on our balance sheet.</w:t>
      </w:r>
    </w:p>
    <w:p>
      <w:pPr>
        <w:spacing w:after="0" w:line="166" w:lineRule="exact"/>
        <w:rPr>
          <w:sz w:val="20"/>
          <w:szCs w:val="20"/>
          <w:color w:val="auto"/>
        </w:rPr>
      </w:pPr>
    </w:p>
    <w:p>
      <w:pPr>
        <w:ind w:left="700" w:hanging="650"/>
        <w:spacing w:after="0"/>
        <w:tabs>
          <w:tab w:leader="none" w:pos="70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SEGMENT REPORTING</w:t>
      </w:r>
    </w:p>
    <w:p>
      <w:pPr>
        <w:spacing w:after="0" w:line="229"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ASC 280, Segment Reporting (“ASC 280”), defines operating segments as components of an enterprise about which separate financial information is available that is evaluated regularly by the chief operating decision maker in deciding how to allocate resources and in assessing performance.</w:t>
      </w:r>
    </w:p>
    <w:p>
      <w:pPr>
        <w:spacing w:after="0" w:line="184"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We operate manufacturing, treating and distribution facilities internationally, but primarily in the United States. Effective January 1, 2020, we re-organized around the markets we serve rather than geography. The prior periods have been recast to reflect the new segment structure. The business segments align with the following markets: UFP Retail Solutions, UFP Construction and UFP Industrial. This change allows for a more specialized and consistent sales approach among Company operations, more efficient use of resources and capital, and quicker introduction of new products and services. We manage the operations of our individual locations primarily through a market-centered reporting structure under which each location is included in a business unit and business units are included in our Retail, Industrial, and Construction segments. One customer, The Home Depot, accounted for approximately 24%of our total net sales in fiscal 2020 and 19% in 2019 and 2018.</w:t>
      </w:r>
    </w:p>
    <w:p>
      <w:pPr>
        <w:sectPr>
          <w:pgSz w:w="11900" w:h="16838" w:orient="portrait"/>
          <w:cols w:equalWidth="0" w:num="1">
            <w:col w:w="9019"/>
          </w:cols>
          <w:pgMar w:left="1440" w:top="517" w:right="1440" w:bottom="1440" w:gutter="0" w:footer="0" w:header="0"/>
        </w:sect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2" w:name="page123"/>
    <w:bookmarkEnd w:id="1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The exception to this market-centered reporting and management structure is our International segment, which comprises our Mexico, Canada, Europe, and Australia operations and sales and buying offices in other parts of the world and our Ardellis segment, which represents our wholly owned fully licensed captive insurance company based in Bermuda. Our International and Ardellis segments do not meet the quantitative thresholds in order to be separately reported and accordingly, the International and Ardellis segments have been aggregated in the “All Other” segment for reporting purposes.</w:t>
      </w:r>
    </w:p>
    <w:p>
      <w:pPr>
        <w:spacing w:after="0" w:line="192"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“Corporate” includes purchasing, transportation and administrative functions that serve our operating segments. Operating results of Corporate primarily consists of over (under) allocated costs. The operating results of UFP Real Estate, Inc., which owns and leases real estate, and UFP Transportation Ltd., which owns and leases transportation equipment, are also included in the Corporate column. An inter-company lease charge is assessed to our operating segments for the use of these assets at fair market value rates. Total assets of the Corporate column include unallocated cash and cash equivalents, certain prepaid assets, certain property, equipment and other assets pertaining to the centralized activities of Corporate, UFP Real Estate, Inc., and UFP Transportation Ltd.</w:t>
      </w:r>
    </w:p>
    <w:p>
      <w:pPr>
        <w:spacing w:after="0" w:line="185" w:lineRule="exact"/>
        <w:rPr>
          <w:sz w:val="20"/>
          <w:szCs w:val="20"/>
          <w:color w:val="auto"/>
        </w:rPr>
      </w:pPr>
    </w:p>
    <w:tbl>
      <w:tblPr>
        <w:tblLayout w:type="fixed"/>
        <w:tblInd w:w="60" w:type="dxa"/>
        <w:tblCellMar>
          <w:top w:w="0" w:type="dxa"/>
          <w:left w:w="0" w:type="dxa"/>
          <w:bottom w:w="0" w:type="dxa"/>
          <w:right w:w="0" w:type="dxa"/>
        </w:tblCellMar>
      </w:tblPr>
      <w:tr>
        <w:trPr>
          <w:trHeight w:val="169"/>
        </w:trPr>
        <w:tc>
          <w:tcPr>
            <w:tcW w:w="2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84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vMerge w:val="restart"/>
          </w:tcPr>
          <w:p>
            <w:pPr>
              <w:jc w:val="right"/>
              <w:ind w:right="237"/>
              <w:spacing w:after="0"/>
              <w:rPr>
                <w:sz w:val="20"/>
                <w:szCs w:val="20"/>
                <w:color w:val="auto"/>
              </w:rPr>
            </w:pPr>
            <w:r>
              <w:rPr>
                <w:rFonts w:ascii="Arial" w:cs="Arial" w:eastAsia="Arial" w:hAnsi="Arial"/>
                <w:sz w:val="14"/>
                <w:szCs w:val="14"/>
                <w:b w:val="1"/>
                <w:bCs w:val="1"/>
                <w:color w:val="auto"/>
              </w:rPr>
              <w:t>Retail</w:t>
            </w:r>
          </w:p>
        </w:tc>
        <w:tc>
          <w:tcPr>
            <w:tcW w:w="108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Industrial</w:t>
            </w:r>
          </w:p>
        </w:tc>
        <w:tc>
          <w:tcPr>
            <w:tcW w:w="116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Construction</w:t>
            </w:r>
          </w:p>
        </w:tc>
        <w:tc>
          <w:tcPr>
            <w:tcW w:w="840" w:type="dxa"/>
            <w:vAlign w:val="bottom"/>
          </w:tcPr>
          <w:p>
            <w:pPr>
              <w:jc w:val="center"/>
              <w:spacing w:after="0" w:line="126" w:lineRule="exact"/>
              <w:rPr>
                <w:sz w:val="20"/>
                <w:szCs w:val="20"/>
                <w:color w:val="auto"/>
              </w:rPr>
            </w:pPr>
            <w:r>
              <w:rPr>
                <w:rFonts w:ascii="Arial" w:cs="Arial" w:eastAsia="Arial" w:hAnsi="Arial"/>
                <w:sz w:val="14"/>
                <w:szCs w:val="14"/>
                <w:b w:val="1"/>
                <w:bCs w:val="1"/>
                <w:color w:val="auto"/>
              </w:rPr>
              <w:t>All</w:t>
            </w:r>
          </w:p>
        </w:tc>
        <w:tc>
          <w:tcPr>
            <w:tcW w:w="200" w:type="dxa"/>
            <w:vAlign w:val="bottom"/>
          </w:tcPr>
          <w:p>
            <w:pPr>
              <w:spacing w:after="0"/>
              <w:rPr>
                <w:sz w:val="10"/>
                <w:szCs w:val="10"/>
                <w:color w:val="auto"/>
              </w:rPr>
            </w:pPr>
          </w:p>
        </w:tc>
        <w:tc>
          <w:tcPr>
            <w:tcW w:w="84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w w:val="92"/>
              </w:rPr>
              <w:t>Corporate</w:t>
            </w:r>
          </w:p>
        </w:tc>
        <w:tc>
          <w:tcPr>
            <w:tcW w:w="200" w:type="dxa"/>
            <w:vAlign w:val="bottom"/>
          </w:tcPr>
          <w:p>
            <w:pPr>
              <w:spacing w:after="0"/>
              <w:rPr>
                <w:sz w:val="10"/>
                <w:szCs w:val="10"/>
                <w:color w:val="auto"/>
              </w:rPr>
            </w:pPr>
          </w:p>
        </w:tc>
        <w:tc>
          <w:tcPr>
            <w:tcW w:w="8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2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6"/>
              </w:rPr>
              <w:t>Other</w:t>
            </w:r>
          </w:p>
        </w:tc>
        <w:tc>
          <w:tcPr>
            <w:tcW w:w="20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 to outside customers</w:t>
            </w:r>
          </w:p>
        </w:tc>
        <w:tc>
          <w:tcPr>
            <w:tcW w:w="2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w w:val="86"/>
              </w:rPr>
              <w:t>$ 2,167,122</w:t>
            </w:r>
          </w:p>
        </w:tc>
        <w:tc>
          <w:tcPr>
            <w:tcW w:w="10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$ 1,072,117</w:t>
            </w:r>
          </w:p>
        </w:tc>
        <w:tc>
          <w:tcPr>
            <w:tcW w:w="1160" w:type="dxa"/>
            <w:vAlign w:val="bottom"/>
            <w:tcBorders>
              <w:top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w w:val="98"/>
              </w:rPr>
              <w:t>$ 1,695,684</w:t>
            </w:r>
          </w:p>
        </w:tc>
        <w:tc>
          <w:tcPr>
            <w:tcW w:w="84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89"/>
              </w:rPr>
              <w:t>$ 217,094</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1,981</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5,153,998</w:t>
            </w: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Intersegment net sales</w:t>
            </w:r>
          </w:p>
        </w:tc>
        <w:tc>
          <w:tcPr>
            <w:tcW w:w="1180" w:type="dxa"/>
            <w:vAlign w:val="bottom"/>
            <w:gridSpan w:val="2"/>
          </w:tcPr>
          <w:p>
            <w:pPr>
              <w:jc w:val="right"/>
              <w:ind w:right="17"/>
              <w:spacing w:after="0"/>
              <w:rPr>
                <w:sz w:val="20"/>
                <w:szCs w:val="20"/>
                <w:color w:val="auto"/>
              </w:rPr>
            </w:pPr>
            <w:r>
              <w:rPr>
                <w:rFonts w:ascii="Arial" w:cs="Arial" w:eastAsia="Arial" w:hAnsi="Arial"/>
                <w:sz w:val="18"/>
                <w:szCs w:val="18"/>
                <w:color w:val="auto"/>
              </w:rPr>
              <w:t>142,839</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45,217</w:t>
            </w:r>
          </w:p>
        </w:tc>
        <w:tc>
          <w:tcPr>
            <w:tcW w:w="1160" w:type="dxa"/>
            <w:vAlign w:val="bottom"/>
          </w:tcPr>
          <w:p>
            <w:pPr>
              <w:jc w:val="right"/>
              <w:ind w:right="114"/>
              <w:spacing w:after="0"/>
              <w:rPr>
                <w:sz w:val="20"/>
                <w:szCs w:val="20"/>
                <w:color w:val="auto"/>
              </w:rPr>
            </w:pPr>
            <w:r>
              <w:rPr>
                <w:rFonts w:ascii="Arial" w:cs="Arial" w:eastAsia="Arial" w:hAnsi="Arial"/>
                <w:sz w:val="18"/>
                <w:szCs w:val="18"/>
                <w:color w:val="auto"/>
              </w:rPr>
              <w:t>68,294</w:t>
            </w: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283,689</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5"/>
              </w:rPr>
              <w:t>(540,039)</w:t>
            </w:r>
          </w:p>
        </w:tc>
        <w:tc>
          <w:tcPr>
            <w:tcW w:w="2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(income)</w:t>
            </w:r>
          </w:p>
        </w:tc>
        <w:tc>
          <w:tcPr>
            <w:tcW w:w="1180" w:type="dxa"/>
            <w:vAlign w:val="bottom"/>
            <w:gridSpan w:val="2"/>
            <w:shd w:val="clear" w:color="auto" w:fill="CCEEFF"/>
          </w:tcPr>
          <w:p>
            <w:pPr>
              <w:jc w:val="right"/>
              <w:ind w:right="17"/>
              <w:spacing w:after="0"/>
              <w:rPr>
                <w:sz w:val="20"/>
                <w:szCs w:val="20"/>
                <w:color w:val="auto"/>
              </w:rPr>
            </w:pPr>
            <w:r>
              <w:rPr>
                <w:rFonts w:ascii="Arial" w:cs="Arial" w:eastAsia="Arial" w:hAnsi="Arial"/>
                <w:sz w:val="18"/>
                <w:szCs w:val="18"/>
                <w:color w:val="auto"/>
              </w:rPr>
              <w:t>2</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22</w:t>
            </w:r>
          </w:p>
        </w:tc>
        <w:tc>
          <w:tcPr>
            <w:tcW w:w="11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90</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9,197</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Amortization expense</w:t>
            </w:r>
          </w:p>
        </w:tc>
        <w:tc>
          <w:tcPr>
            <w:tcW w:w="1180" w:type="dxa"/>
            <w:vAlign w:val="bottom"/>
            <w:gridSpan w:val="2"/>
          </w:tcPr>
          <w:p>
            <w:pPr>
              <w:jc w:val="right"/>
              <w:ind w:right="17"/>
              <w:spacing w:after="0"/>
              <w:rPr>
                <w:sz w:val="20"/>
                <w:szCs w:val="20"/>
                <w:color w:val="auto"/>
              </w:rPr>
            </w:pPr>
            <w:r>
              <w:rPr>
                <w:rFonts w:ascii="Arial" w:cs="Arial" w:eastAsia="Arial" w:hAnsi="Arial"/>
                <w:sz w:val="18"/>
                <w:szCs w:val="18"/>
                <w:color w:val="auto"/>
              </w:rPr>
              <w:t>1,482</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4,159</w:t>
            </w:r>
          </w:p>
        </w:tc>
        <w:tc>
          <w:tcPr>
            <w:tcW w:w="1160" w:type="dxa"/>
            <w:vAlign w:val="bottom"/>
          </w:tcPr>
          <w:p>
            <w:pPr>
              <w:jc w:val="right"/>
              <w:ind w:right="114"/>
              <w:spacing w:after="0"/>
              <w:rPr>
                <w:sz w:val="20"/>
                <w:szCs w:val="20"/>
                <w:color w:val="auto"/>
              </w:rPr>
            </w:pPr>
            <w:r>
              <w:rPr>
                <w:rFonts w:ascii="Arial" w:cs="Arial" w:eastAsia="Arial" w:hAnsi="Arial"/>
                <w:sz w:val="18"/>
                <w:szCs w:val="18"/>
                <w:color w:val="auto"/>
              </w:rPr>
              <w:t>2,152</w:t>
            </w: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877</w:t>
            </w:r>
          </w:p>
        </w:tc>
        <w:tc>
          <w:tcPr>
            <w:tcW w:w="200" w:type="dxa"/>
            <w:vAlign w:val="bottom"/>
          </w:tcPr>
          <w:p>
            <w:pPr>
              <w:spacing w:after="0"/>
              <w:rPr>
                <w:sz w:val="18"/>
                <w:szCs w:val="18"/>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8,716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1180" w:type="dxa"/>
            <w:vAlign w:val="bottom"/>
            <w:gridSpan w:val="2"/>
            <w:shd w:val="clear" w:color="auto" w:fill="CCEEFF"/>
          </w:tcPr>
          <w:p>
            <w:pPr>
              <w:jc w:val="right"/>
              <w:ind w:right="17"/>
              <w:spacing w:after="0"/>
              <w:rPr>
                <w:sz w:val="20"/>
                <w:szCs w:val="20"/>
                <w:color w:val="auto"/>
              </w:rPr>
            </w:pPr>
            <w:r>
              <w:rPr>
                <w:rFonts w:ascii="Arial" w:cs="Arial" w:eastAsia="Arial" w:hAnsi="Arial"/>
                <w:sz w:val="18"/>
                <w:szCs w:val="18"/>
                <w:color w:val="auto"/>
              </w:rPr>
              <w:t>11,675</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15,163</w:t>
            </w:r>
          </w:p>
        </w:tc>
        <w:tc>
          <w:tcPr>
            <w:tcW w:w="11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12,123</w:t>
            </w:r>
          </w:p>
        </w:tc>
        <w:tc>
          <w:tcPr>
            <w:tcW w:w="8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1,619</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23,384</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63,964</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580" w:type="dxa"/>
            <w:vAlign w:val="bottom"/>
          </w:tcPr>
          <w:p>
            <w:pPr>
              <w:spacing w:after="0" w:line="201" w:lineRule="exact"/>
              <w:rPr>
                <w:sz w:val="20"/>
                <w:szCs w:val="20"/>
                <w:color w:val="auto"/>
              </w:rPr>
            </w:pPr>
            <w:r>
              <w:rPr>
                <w:rFonts w:ascii="Arial" w:cs="Arial" w:eastAsia="Arial" w:hAnsi="Arial"/>
                <w:sz w:val="18"/>
                <w:szCs w:val="18"/>
                <w:color w:val="auto"/>
                <w:w w:val="96"/>
              </w:rPr>
              <w:t>Segment earnings before income</w:t>
            </w: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80" w:type="dxa"/>
            <w:vAlign w:val="bottom"/>
          </w:tcPr>
          <w:p>
            <w:pPr>
              <w:spacing w:after="0"/>
              <w:rPr>
                <w:sz w:val="20"/>
                <w:szCs w:val="20"/>
                <w:color w:val="auto"/>
              </w:rPr>
            </w:pPr>
            <w:r>
              <w:rPr>
                <w:rFonts w:ascii="Arial" w:cs="Arial" w:eastAsia="Arial" w:hAnsi="Arial"/>
                <w:sz w:val="18"/>
                <w:szCs w:val="18"/>
                <w:color w:val="auto"/>
              </w:rPr>
              <w:t>taxes</w:t>
            </w:r>
          </w:p>
        </w:tc>
        <w:tc>
          <w:tcPr>
            <w:tcW w:w="1180" w:type="dxa"/>
            <w:vAlign w:val="bottom"/>
            <w:gridSpan w:val="2"/>
          </w:tcPr>
          <w:p>
            <w:pPr>
              <w:jc w:val="right"/>
              <w:ind w:right="17"/>
              <w:spacing w:after="0"/>
              <w:rPr>
                <w:sz w:val="20"/>
                <w:szCs w:val="20"/>
                <w:color w:val="auto"/>
              </w:rPr>
            </w:pPr>
            <w:r>
              <w:rPr>
                <w:rFonts w:ascii="Arial" w:cs="Arial" w:eastAsia="Arial" w:hAnsi="Arial"/>
                <w:sz w:val="18"/>
                <w:szCs w:val="18"/>
                <w:color w:val="auto"/>
              </w:rPr>
              <w:t>155,364</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83,430</w:t>
            </w:r>
          </w:p>
        </w:tc>
        <w:tc>
          <w:tcPr>
            <w:tcW w:w="1160" w:type="dxa"/>
            <w:vAlign w:val="bottom"/>
          </w:tcPr>
          <w:p>
            <w:pPr>
              <w:jc w:val="right"/>
              <w:ind w:right="114"/>
              <w:spacing w:after="0"/>
              <w:rPr>
                <w:sz w:val="20"/>
                <w:szCs w:val="20"/>
                <w:color w:val="auto"/>
              </w:rPr>
            </w:pPr>
            <w:r>
              <w:rPr>
                <w:rFonts w:ascii="Arial" w:cs="Arial" w:eastAsia="Arial" w:hAnsi="Arial"/>
                <w:sz w:val="18"/>
                <w:szCs w:val="18"/>
                <w:color w:val="auto"/>
              </w:rPr>
              <w:t>69,092</w:t>
            </w: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38,333</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(5,236)</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340,983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1180" w:type="dxa"/>
            <w:vAlign w:val="bottom"/>
            <w:gridSpan w:val="2"/>
            <w:shd w:val="clear" w:color="auto" w:fill="CCEEFF"/>
          </w:tcPr>
          <w:p>
            <w:pPr>
              <w:jc w:val="right"/>
              <w:ind w:right="17"/>
              <w:spacing w:after="0"/>
              <w:rPr>
                <w:sz w:val="20"/>
                <w:szCs w:val="20"/>
                <w:color w:val="auto"/>
              </w:rPr>
            </w:pPr>
            <w:r>
              <w:rPr>
                <w:rFonts w:ascii="Arial" w:cs="Arial" w:eastAsia="Arial" w:hAnsi="Arial"/>
                <w:sz w:val="18"/>
                <w:szCs w:val="18"/>
                <w:color w:val="auto"/>
              </w:rPr>
              <w:t>510,464</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416,487</w:t>
            </w:r>
          </w:p>
        </w:tc>
        <w:tc>
          <w:tcPr>
            <w:tcW w:w="11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510,972</w:t>
            </w:r>
          </w:p>
        </w:tc>
        <w:tc>
          <w:tcPr>
            <w:tcW w:w="8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196,856</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770,112</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2,404,891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80" w:type="dxa"/>
            <w:vAlign w:val="bottom"/>
          </w:tcPr>
          <w:p>
            <w:pPr>
              <w:spacing w:after="0"/>
              <w:rPr>
                <w:sz w:val="20"/>
                <w:szCs w:val="20"/>
                <w:color w:val="auto"/>
              </w:rPr>
            </w:pPr>
            <w:r>
              <w:rPr>
                <w:rFonts w:ascii="Arial" w:cs="Arial" w:eastAsia="Arial" w:hAnsi="Arial"/>
                <w:sz w:val="18"/>
                <w:szCs w:val="18"/>
                <w:color w:val="auto"/>
              </w:rPr>
              <w:t>Capital expenditures</w:t>
            </w:r>
          </w:p>
        </w:tc>
        <w:tc>
          <w:tcPr>
            <w:tcW w:w="1180" w:type="dxa"/>
            <w:vAlign w:val="bottom"/>
            <w:gridSpan w:val="2"/>
          </w:tcPr>
          <w:p>
            <w:pPr>
              <w:jc w:val="right"/>
              <w:ind w:right="17"/>
              <w:spacing w:after="0"/>
              <w:rPr>
                <w:sz w:val="20"/>
                <w:szCs w:val="20"/>
                <w:color w:val="auto"/>
              </w:rPr>
            </w:pPr>
            <w:r>
              <w:rPr>
                <w:rFonts w:ascii="Arial" w:cs="Arial" w:eastAsia="Arial" w:hAnsi="Arial"/>
                <w:sz w:val="18"/>
                <w:szCs w:val="18"/>
                <w:color w:val="auto"/>
              </w:rPr>
              <w:t>16,277</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21,141</w:t>
            </w:r>
          </w:p>
        </w:tc>
        <w:tc>
          <w:tcPr>
            <w:tcW w:w="1160" w:type="dxa"/>
            <w:vAlign w:val="bottom"/>
          </w:tcPr>
          <w:p>
            <w:pPr>
              <w:jc w:val="right"/>
              <w:ind w:right="114"/>
              <w:spacing w:after="0"/>
              <w:rPr>
                <w:sz w:val="20"/>
                <w:szCs w:val="20"/>
                <w:color w:val="auto"/>
              </w:rPr>
            </w:pPr>
            <w:r>
              <w:rPr>
                <w:rFonts w:ascii="Arial" w:cs="Arial" w:eastAsia="Arial" w:hAnsi="Arial"/>
                <w:sz w:val="18"/>
                <w:szCs w:val="18"/>
                <w:color w:val="auto"/>
              </w:rPr>
              <w:t>16,902</w:t>
            </w: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2,258</w:t>
            </w:r>
          </w:p>
        </w:tc>
        <w:tc>
          <w:tcPr>
            <w:tcW w:w="200" w:type="dxa"/>
            <w:vAlign w:val="bottom"/>
          </w:tcPr>
          <w:p>
            <w:pPr>
              <w:spacing w:after="0"/>
              <w:rPr>
                <w:sz w:val="20"/>
                <w:szCs w:val="20"/>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32,604</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89,182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8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vMerge w:val="restart"/>
          </w:tcPr>
          <w:p>
            <w:pPr>
              <w:jc w:val="right"/>
              <w:ind w:right="237"/>
              <w:spacing w:after="0"/>
              <w:rPr>
                <w:sz w:val="20"/>
                <w:szCs w:val="20"/>
                <w:color w:val="auto"/>
              </w:rPr>
            </w:pPr>
            <w:r>
              <w:rPr>
                <w:rFonts w:ascii="Arial" w:cs="Arial" w:eastAsia="Arial" w:hAnsi="Arial"/>
                <w:sz w:val="14"/>
                <w:szCs w:val="14"/>
                <w:b w:val="1"/>
                <w:bCs w:val="1"/>
                <w:color w:val="auto"/>
              </w:rPr>
              <w:t>Retail</w:t>
            </w:r>
          </w:p>
        </w:tc>
        <w:tc>
          <w:tcPr>
            <w:tcW w:w="108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Industrial</w:t>
            </w:r>
          </w:p>
        </w:tc>
        <w:tc>
          <w:tcPr>
            <w:tcW w:w="116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Construction</w:t>
            </w:r>
          </w:p>
        </w:tc>
        <w:tc>
          <w:tcPr>
            <w:tcW w:w="840" w:type="dxa"/>
            <w:vAlign w:val="bottom"/>
          </w:tcPr>
          <w:p>
            <w:pPr>
              <w:jc w:val="center"/>
              <w:spacing w:after="0" w:line="126" w:lineRule="exact"/>
              <w:rPr>
                <w:sz w:val="20"/>
                <w:szCs w:val="20"/>
                <w:color w:val="auto"/>
              </w:rPr>
            </w:pPr>
            <w:r>
              <w:rPr>
                <w:rFonts w:ascii="Arial" w:cs="Arial" w:eastAsia="Arial" w:hAnsi="Arial"/>
                <w:sz w:val="14"/>
                <w:szCs w:val="14"/>
                <w:b w:val="1"/>
                <w:bCs w:val="1"/>
                <w:color w:val="auto"/>
              </w:rPr>
              <w:t>All</w:t>
            </w:r>
          </w:p>
        </w:tc>
        <w:tc>
          <w:tcPr>
            <w:tcW w:w="200" w:type="dxa"/>
            <w:vAlign w:val="bottom"/>
          </w:tcPr>
          <w:p>
            <w:pPr>
              <w:spacing w:after="0"/>
              <w:rPr>
                <w:sz w:val="10"/>
                <w:szCs w:val="10"/>
                <w:color w:val="auto"/>
              </w:rPr>
            </w:pPr>
          </w:p>
        </w:tc>
        <w:tc>
          <w:tcPr>
            <w:tcW w:w="84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w w:val="92"/>
              </w:rPr>
              <w:t>Corporate</w:t>
            </w:r>
          </w:p>
        </w:tc>
        <w:tc>
          <w:tcPr>
            <w:tcW w:w="200" w:type="dxa"/>
            <w:vAlign w:val="bottom"/>
          </w:tcPr>
          <w:p>
            <w:pPr>
              <w:spacing w:after="0"/>
              <w:rPr>
                <w:sz w:val="10"/>
                <w:szCs w:val="10"/>
                <w:color w:val="auto"/>
              </w:rPr>
            </w:pPr>
          </w:p>
        </w:tc>
        <w:tc>
          <w:tcPr>
            <w:tcW w:w="8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258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Other</w:t>
            </w: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Net sales to outside customers</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w w:val="86"/>
              </w:rPr>
              <w:t>$ 1,498,710</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$ 1,085,635</w:t>
            </w:r>
          </w:p>
        </w:tc>
        <w:tc>
          <w:tcPr>
            <w:tcW w:w="11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w w:val="98"/>
              </w:rPr>
              <w:t>$ 1,637,156</w:t>
            </w:r>
          </w:p>
        </w:tc>
        <w:tc>
          <w:tcPr>
            <w:tcW w:w="8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89"/>
              </w:rPr>
              <w:t>$ 193,785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723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4,416,009</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Intersegment net sales</w:t>
            </w:r>
          </w:p>
        </w:tc>
        <w:tc>
          <w:tcPr>
            <w:tcW w:w="1180" w:type="dxa"/>
            <w:vAlign w:val="bottom"/>
            <w:gridSpan w:val="2"/>
          </w:tcPr>
          <w:p>
            <w:pPr>
              <w:jc w:val="right"/>
              <w:ind w:right="17"/>
              <w:spacing w:after="0"/>
              <w:rPr>
                <w:sz w:val="20"/>
                <w:szCs w:val="20"/>
                <w:color w:val="auto"/>
              </w:rPr>
            </w:pPr>
            <w:r>
              <w:rPr>
                <w:rFonts w:ascii="Arial" w:cs="Arial" w:eastAsia="Arial" w:hAnsi="Arial"/>
                <w:sz w:val="18"/>
                <w:szCs w:val="18"/>
                <w:color w:val="auto"/>
              </w:rPr>
              <w:t>135,705</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45,010</w:t>
            </w:r>
          </w:p>
        </w:tc>
        <w:tc>
          <w:tcPr>
            <w:tcW w:w="1160" w:type="dxa"/>
            <w:vAlign w:val="bottom"/>
          </w:tcPr>
          <w:p>
            <w:pPr>
              <w:jc w:val="right"/>
              <w:ind w:right="114"/>
              <w:spacing w:after="0"/>
              <w:rPr>
                <w:sz w:val="20"/>
                <w:szCs w:val="20"/>
                <w:color w:val="auto"/>
              </w:rPr>
            </w:pPr>
            <w:r>
              <w:rPr>
                <w:rFonts w:ascii="Arial" w:cs="Arial" w:eastAsia="Arial" w:hAnsi="Arial"/>
                <w:sz w:val="18"/>
                <w:szCs w:val="18"/>
                <w:color w:val="auto"/>
              </w:rPr>
              <w:t>56,116</w:t>
            </w: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200,426</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5"/>
              </w:rPr>
              <w:t>(437,257)</w:t>
            </w:r>
          </w:p>
        </w:tc>
        <w:tc>
          <w:tcPr>
            <w:tcW w:w="2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108</w:t>
            </w:r>
          </w:p>
        </w:tc>
        <w:tc>
          <w:tcPr>
            <w:tcW w:w="11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16</w:t>
            </w:r>
          </w:p>
        </w:tc>
        <w:tc>
          <w:tcPr>
            <w:tcW w:w="8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97</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8,479</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Amortization expense</w:t>
            </w:r>
          </w:p>
        </w:tc>
        <w:tc>
          <w:tcPr>
            <w:tcW w:w="1180" w:type="dxa"/>
            <w:vAlign w:val="bottom"/>
            <w:gridSpan w:val="2"/>
          </w:tcPr>
          <w:p>
            <w:pPr>
              <w:jc w:val="right"/>
              <w:ind w:right="17"/>
              <w:spacing w:after="0"/>
              <w:rPr>
                <w:sz w:val="20"/>
                <w:szCs w:val="20"/>
                <w:color w:val="auto"/>
              </w:rPr>
            </w:pPr>
            <w:r>
              <w:rPr>
                <w:rFonts w:ascii="Arial" w:cs="Arial" w:eastAsia="Arial" w:hAnsi="Arial"/>
                <w:sz w:val="18"/>
                <w:szCs w:val="18"/>
                <w:color w:val="auto"/>
              </w:rPr>
              <w:t>1,380</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3,034</w:t>
            </w:r>
          </w:p>
        </w:tc>
        <w:tc>
          <w:tcPr>
            <w:tcW w:w="1160" w:type="dxa"/>
            <w:vAlign w:val="bottom"/>
          </w:tcPr>
          <w:p>
            <w:pPr>
              <w:jc w:val="right"/>
              <w:ind w:right="114"/>
              <w:spacing w:after="0"/>
              <w:rPr>
                <w:sz w:val="20"/>
                <w:szCs w:val="20"/>
                <w:color w:val="auto"/>
              </w:rPr>
            </w:pPr>
            <w:r>
              <w:rPr>
                <w:rFonts w:ascii="Arial" w:cs="Arial" w:eastAsia="Arial" w:hAnsi="Arial"/>
                <w:sz w:val="18"/>
                <w:szCs w:val="18"/>
                <w:color w:val="auto"/>
              </w:rPr>
              <w:t>1,164</w:t>
            </w: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747</w:t>
            </w:r>
          </w:p>
        </w:tc>
        <w:tc>
          <w:tcPr>
            <w:tcW w:w="200" w:type="dxa"/>
            <w:vAlign w:val="bottom"/>
          </w:tcPr>
          <w:p>
            <w:pPr>
              <w:spacing w:after="0"/>
              <w:rPr>
                <w:sz w:val="18"/>
                <w:szCs w:val="18"/>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1180" w:type="dxa"/>
            <w:vAlign w:val="bottom"/>
            <w:gridSpan w:val="2"/>
            <w:shd w:val="clear" w:color="auto" w:fill="CCEEFF"/>
          </w:tcPr>
          <w:p>
            <w:pPr>
              <w:jc w:val="right"/>
              <w:ind w:right="17"/>
              <w:spacing w:after="0"/>
              <w:rPr>
                <w:sz w:val="20"/>
                <w:szCs w:val="20"/>
                <w:color w:val="auto"/>
              </w:rPr>
            </w:pPr>
            <w:r>
              <w:rPr>
                <w:rFonts w:ascii="Arial" w:cs="Arial" w:eastAsia="Arial" w:hAnsi="Arial"/>
                <w:sz w:val="18"/>
                <w:szCs w:val="18"/>
                <w:color w:val="auto"/>
              </w:rPr>
              <w:t>11,041</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14,340</w:t>
            </w:r>
          </w:p>
        </w:tc>
        <w:tc>
          <w:tcPr>
            <w:tcW w:w="11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11,465</w:t>
            </w:r>
          </w:p>
        </w:tc>
        <w:tc>
          <w:tcPr>
            <w:tcW w:w="8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1,532</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22,116</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60,494</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580" w:type="dxa"/>
            <w:vAlign w:val="bottom"/>
          </w:tcPr>
          <w:p>
            <w:pPr>
              <w:spacing w:after="0" w:line="201" w:lineRule="exact"/>
              <w:rPr>
                <w:sz w:val="20"/>
                <w:szCs w:val="20"/>
                <w:color w:val="auto"/>
              </w:rPr>
            </w:pPr>
            <w:r>
              <w:rPr>
                <w:rFonts w:ascii="Arial" w:cs="Arial" w:eastAsia="Arial" w:hAnsi="Arial"/>
                <w:sz w:val="18"/>
                <w:szCs w:val="18"/>
                <w:color w:val="auto"/>
                <w:w w:val="96"/>
              </w:rPr>
              <w:t>Segment earnings before income</w:t>
            </w: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80" w:type="dxa"/>
            <w:vAlign w:val="bottom"/>
          </w:tcPr>
          <w:p>
            <w:pPr>
              <w:spacing w:after="0"/>
              <w:rPr>
                <w:sz w:val="20"/>
                <w:szCs w:val="20"/>
                <w:color w:val="auto"/>
              </w:rPr>
            </w:pPr>
            <w:r>
              <w:rPr>
                <w:rFonts w:ascii="Arial" w:cs="Arial" w:eastAsia="Arial" w:hAnsi="Arial"/>
                <w:sz w:val="18"/>
                <w:szCs w:val="18"/>
                <w:color w:val="auto"/>
              </w:rPr>
              <w:t>taxes</w:t>
            </w:r>
          </w:p>
        </w:tc>
        <w:tc>
          <w:tcPr>
            <w:tcW w:w="1180" w:type="dxa"/>
            <w:vAlign w:val="bottom"/>
            <w:gridSpan w:val="2"/>
          </w:tcPr>
          <w:p>
            <w:pPr>
              <w:jc w:val="right"/>
              <w:ind w:right="17"/>
              <w:spacing w:after="0"/>
              <w:rPr>
                <w:sz w:val="20"/>
                <w:szCs w:val="20"/>
                <w:color w:val="auto"/>
              </w:rPr>
            </w:pPr>
            <w:r>
              <w:rPr>
                <w:rFonts w:ascii="Arial" w:cs="Arial" w:eastAsia="Arial" w:hAnsi="Arial"/>
                <w:sz w:val="18"/>
                <w:szCs w:val="18"/>
                <w:color w:val="auto"/>
              </w:rPr>
              <w:t>61,708</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82,913</w:t>
            </w:r>
          </w:p>
        </w:tc>
        <w:tc>
          <w:tcPr>
            <w:tcW w:w="1160" w:type="dxa"/>
            <w:vAlign w:val="bottom"/>
          </w:tcPr>
          <w:p>
            <w:pPr>
              <w:jc w:val="right"/>
              <w:ind w:right="114"/>
              <w:spacing w:after="0"/>
              <w:rPr>
                <w:sz w:val="20"/>
                <w:szCs w:val="20"/>
                <w:color w:val="auto"/>
              </w:rPr>
            </w:pPr>
            <w:r>
              <w:rPr>
                <w:rFonts w:ascii="Arial" w:cs="Arial" w:eastAsia="Arial" w:hAnsi="Arial"/>
                <w:sz w:val="18"/>
                <w:szCs w:val="18"/>
                <w:color w:val="auto"/>
              </w:rPr>
              <w:t>82,407</w:t>
            </w: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22,025</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(8,379)</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240,674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1180" w:type="dxa"/>
            <w:vAlign w:val="bottom"/>
            <w:gridSpan w:val="2"/>
            <w:shd w:val="clear" w:color="auto" w:fill="CCEEFF"/>
          </w:tcPr>
          <w:p>
            <w:pPr>
              <w:jc w:val="right"/>
              <w:ind w:right="17"/>
              <w:spacing w:after="0"/>
              <w:rPr>
                <w:sz w:val="20"/>
                <w:szCs w:val="20"/>
                <w:color w:val="auto"/>
              </w:rPr>
            </w:pPr>
            <w:r>
              <w:rPr>
                <w:rFonts w:ascii="Arial" w:cs="Arial" w:eastAsia="Arial" w:hAnsi="Arial"/>
                <w:sz w:val="18"/>
                <w:szCs w:val="18"/>
                <w:color w:val="auto"/>
              </w:rPr>
              <w:t>402,221</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377,329</w:t>
            </w:r>
          </w:p>
        </w:tc>
        <w:tc>
          <w:tcPr>
            <w:tcW w:w="11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522,638</w:t>
            </w:r>
          </w:p>
        </w:tc>
        <w:tc>
          <w:tcPr>
            <w:tcW w:w="8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136,990</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450,299</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1,889,477</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80" w:type="dxa"/>
            <w:vAlign w:val="bottom"/>
          </w:tcPr>
          <w:p>
            <w:pPr>
              <w:spacing w:after="0"/>
              <w:rPr>
                <w:sz w:val="20"/>
                <w:szCs w:val="20"/>
                <w:color w:val="auto"/>
              </w:rPr>
            </w:pPr>
            <w:r>
              <w:rPr>
                <w:rFonts w:ascii="Arial" w:cs="Arial" w:eastAsia="Arial" w:hAnsi="Arial"/>
                <w:sz w:val="18"/>
                <w:szCs w:val="18"/>
                <w:color w:val="auto"/>
              </w:rPr>
              <w:t>Capital expenditures</w:t>
            </w:r>
          </w:p>
        </w:tc>
        <w:tc>
          <w:tcPr>
            <w:tcW w:w="1180" w:type="dxa"/>
            <w:vAlign w:val="bottom"/>
            <w:gridSpan w:val="2"/>
          </w:tcPr>
          <w:p>
            <w:pPr>
              <w:jc w:val="right"/>
              <w:ind w:right="17"/>
              <w:spacing w:after="0"/>
              <w:rPr>
                <w:sz w:val="20"/>
                <w:szCs w:val="20"/>
                <w:color w:val="auto"/>
              </w:rPr>
            </w:pPr>
            <w:r>
              <w:rPr>
                <w:rFonts w:ascii="Arial" w:cs="Arial" w:eastAsia="Arial" w:hAnsi="Arial"/>
                <w:sz w:val="18"/>
                <w:szCs w:val="18"/>
                <w:color w:val="auto"/>
              </w:rPr>
              <w:t>15,502</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20,134</w:t>
            </w:r>
          </w:p>
        </w:tc>
        <w:tc>
          <w:tcPr>
            <w:tcW w:w="1160" w:type="dxa"/>
            <w:vAlign w:val="bottom"/>
          </w:tcPr>
          <w:p>
            <w:pPr>
              <w:jc w:val="right"/>
              <w:ind w:right="114"/>
              <w:spacing w:after="0"/>
              <w:rPr>
                <w:sz w:val="20"/>
                <w:szCs w:val="20"/>
                <w:color w:val="auto"/>
              </w:rPr>
            </w:pPr>
            <w:r>
              <w:rPr>
                <w:rFonts w:ascii="Arial" w:cs="Arial" w:eastAsia="Arial" w:hAnsi="Arial"/>
                <w:sz w:val="18"/>
                <w:szCs w:val="18"/>
                <w:color w:val="auto"/>
              </w:rPr>
              <w:t>16,097</w:t>
            </w: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2,150</w:t>
            </w:r>
          </w:p>
        </w:tc>
        <w:tc>
          <w:tcPr>
            <w:tcW w:w="200" w:type="dxa"/>
            <w:vAlign w:val="bottom"/>
          </w:tcPr>
          <w:p>
            <w:pPr>
              <w:spacing w:after="0"/>
              <w:rPr>
                <w:sz w:val="20"/>
                <w:szCs w:val="20"/>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31,050</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84,933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60"/>
        <w:spacing w:after="0"/>
        <w:rPr>
          <w:sz w:val="20"/>
          <w:szCs w:val="20"/>
          <w:color w:val="auto"/>
        </w:rPr>
      </w:pPr>
      <w:r>
        <w:rPr>
          <w:rFonts w:ascii="Arial" w:cs="Arial" w:eastAsia="Arial" w:hAnsi="Arial"/>
          <w:sz w:val="13"/>
          <w:szCs w:val="13"/>
          <w:color w:val="auto"/>
        </w:rPr>
        <w:t>Note: Allocations of corporate expenses in 2019 were modified to align with the methodology used to allocate corporate expenses in the current year.</w:t>
      </w:r>
    </w:p>
    <w:p>
      <w:pPr>
        <w:spacing w:after="0" w:line="227" w:lineRule="exact"/>
        <w:rPr>
          <w:sz w:val="20"/>
          <w:szCs w:val="20"/>
          <w:color w:val="auto"/>
        </w:rPr>
      </w:pPr>
    </w:p>
    <w:tbl>
      <w:tblPr>
        <w:tblLayout w:type="fixed"/>
        <w:tblInd w:w="4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84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vMerge w:val="restart"/>
          </w:tcPr>
          <w:p>
            <w:pPr>
              <w:jc w:val="right"/>
              <w:ind w:right="239"/>
              <w:spacing w:after="0"/>
              <w:rPr>
                <w:sz w:val="20"/>
                <w:szCs w:val="20"/>
                <w:color w:val="auto"/>
              </w:rPr>
            </w:pPr>
            <w:r>
              <w:rPr>
                <w:rFonts w:ascii="Arial" w:cs="Arial" w:eastAsia="Arial" w:hAnsi="Arial"/>
                <w:sz w:val="14"/>
                <w:szCs w:val="14"/>
                <w:b w:val="1"/>
                <w:bCs w:val="1"/>
                <w:color w:val="auto"/>
              </w:rPr>
              <w:t>Retail</w:t>
            </w:r>
          </w:p>
        </w:tc>
        <w:tc>
          <w:tcPr>
            <w:tcW w:w="108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Industrial</w:t>
            </w:r>
          </w:p>
        </w:tc>
        <w:tc>
          <w:tcPr>
            <w:tcW w:w="116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Construction</w:t>
            </w:r>
          </w:p>
        </w:tc>
        <w:tc>
          <w:tcPr>
            <w:tcW w:w="840" w:type="dxa"/>
            <w:vAlign w:val="bottom"/>
          </w:tcPr>
          <w:p>
            <w:pPr>
              <w:jc w:val="right"/>
              <w:ind w:right="274"/>
              <w:spacing w:after="0" w:line="126" w:lineRule="exact"/>
              <w:rPr>
                <w:sz w:val="20"/>
                <w:szCs w:val="20"/>
                <w:color w:val="auto"/>
              </w:rPr>
            </w:pPr>
            <w:r>
              <w:rPr>
                <w:rFonts w:ascii="Arial" w:cs="Arial" w:eastAsia="Arial" w:hAnsi="Arial"/>
                <w:sz w:val="14"/>
                <w:szCs w:val="14"/>
                <w:b w:val="1"/>
                <w:bCs w:val="1"/>
                <w:color w:val="auto"/>
              </w:rPr>
              <w:t>All</w:t>
            </w:r>
          </w:p>
        </w:tc>
        <w:tc>
          <w:tcPr>
            <w:tcW w:w="200" w:type="dxa"/>
            <w:vAlign w:val="bottom"/>
          </w:tcPr>
          <w:p>
            <w:pPr>
              <w:spacing w:after="0"/>
              <w:rPr>
                <w:sz w:val="10"/>
                <w:szCs w:val="10"/>
                <w:color w:val="auto"/>
              </w:rPr>
            </w:pPr>
          </w:p>
        </w:tc>
        <w:tc>
          <w:tcPr>
            <w:tcW w:w="84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w w:val="92"/>
              </w:rPr>
              <w:t>Corporate</w:t>
            </w:r>
          </w:p>
        </w:tc>
        <w:tc>
          <w:tcPr>
            <w:tcW w:w="102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58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8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Other</w:t>
            </w: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Net sales to outside customers</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w w:val="86"/>
              </w:rPr>
              <w:t>$ 1,512,477</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$ 1,050,945</w:t>
            </w:r>
          </w:p>
        </w:tc>
        <w:tc>
          <w:tcPr>
            <w:tcW w:w="11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w w:val="98"/>
              </w:rPr>
              <w:t>$ 1,705,016</w:t>
            </w:r>
          </w:p>
        </w:tc>
        <w:tc>
          <w:tcPr>
            <w:tcW w:w="8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89"/>
              </w:rPr>
              <w:t>$ 219,920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822</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$ 4,489,180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Intersegment net sales</w:t>
            </w:r>
          </w:p>
        </w:tc>
        <w:tc>
          <w:tcPr>
            <w:tcW w:w="1180" w:type="dxa"/>
            <w:vAlign w:val="bottom"/>
            <w:gridSpan w:val="2"/>
          </w:tcPr>
          <w:p>
            <w:pPr>
              <w:jc w:val="right"/>
              <w:ind w:right="19"/>
              <w:spacing w:after="0"/>
              <w:rPr>
                <w:sz w:val="20"/>
                <w:szCs w:val="20"/>
                <w:color w:val="auto"/>
              </w:rPr>
            </w:pPr>
            <w:r>
              <w:rPr>
                <w:rFonts w:ascii="Arial" w:cs="Arial" w:eastAsia="Arial" w:hAnsi="Arial"/>
                <w:sz w:val="18"/>
                <w:szCs w:val="18"/>
                <w:color w:val="auto"/>
              </w:rPr>
              <w:t>125,310</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39,806</w:t>
            </w:r>
          </w:p>
        </w:tc>
        <w:tc>
          <w:tcPr>
            <w:tcW w:w="1160" w:type="dxa"/>
            <w:vAlign w:val="bottom"/>
          </w:tcPr>
          <w:p>
            <w:pPr>
              <w:jc w:val="right"/>
              <w:ind w:right="114"/>
              <w:spacing w:after="0"/>
              <w:rPr>
                <w:sz w:val="20"/>
                <w:szCs w:val="20"/>
                <w:color w:val="auto"/>
              </w:rPr>
            </w:pPr>
            <w:r>
              <w:rPr>
                <w:rFonts w:ascii="Arial" w:cs="Arial" w:eastAsia="Arial" w:hAnsi="Arial"/>
                <w:sz w:val="18"/>
                <w:szCs w:val="18"/>
                <w:color w:val="auto"/>
              </w:rPr>
              <w:t>50,465</w:t>
            </w: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226,053</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5"/>
              </w:rPr>
              <w:t>(441,634)</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18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1</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191</w:t>
            </w:r>
          </w:p>
        </w:tc>
        <w:tc>
          <w:tcPr>
            <w:tcW w:w="11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202</w:t>
            </w:r>
          </w:p>
        </w:tc>
        <w:tc>
          <w:tcPr>
            <w:tcW w:w="8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225</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8,274</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Amortization expense</w:t>
            </w:r>
          </w:p>
        </w:tc>
        <w:tc>
          <w:tcPr>
            <w:tcW w:w="1180" w:type="dxa"/>
            <w:vAlign w:val="bottom"/>
            <w:gridSpan w:val="2"/>
          </w:tcPr>
          <w:p>
            <w:pPr>
              <w:jc w:val="right"/>
              <w:ind w:right="19"/>
              <w:spacing w:after="0"/>
              <w:rPr>
                <w:sz w:val="20"/>
                <w:szCs w:val="20"/>
                <w:color w:val="auto"/>
              </w:rPr>
            </w:pPr>
            <w:r>
              <w:rPr>
                <w:rFonts w:ascii="Arial" w:cs="Arial" w:eastAsia="Arial" w:hAnsi="Arial"/>
                <w:sz w:val="18"/>
                <w:szCs w:val="18"/>
                <w:color w:val="auto"/>
              </w:rPr>
              <w:t>1,038</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3,055</w:t>
            </w:r>
          </w:p>
        </w:tc>
        <w:tc>
          <w:tcPr>
            <w:tcW w:w="1160" w:type="dxa"/>
            <w:vAlign w:val="bottom"/>
          </w:tcPr>
          <w:p>
            <w:pPr>
              <w:jc w:val="right"/>
              <w:ind w:right="114"/>
              <w:spacing w:after="0"/>
              <w:rPr>
                <w:sz w:val="20"/>
                <w:szCs w:val="20"/>
                <w:color w:val="auto"/>
              </w:rPr>
            </w:pPr>
            <w:r>
              <w:rPr>
                <w:rFonts w:ascii="Arial" w:cs="Arial" w:eastAsia="Arial" w:hAnsi="Arial"/>
                <w:sz w:val="18"/>
                <w:szCs w:val="18"/>
                <w:color w:val="auto"/>
              </w:rPr>
              <w:t>1,443</w:t>
            </w: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857</w:t>
            </w:r>
          </w:p>
        </w:tc>
        <w:tc>
          <w:tcPr>
            <w:tcW w:w="200" w:type="dxa"/>
            <w:vAlign w:val="bottom"/>
          </w:tcPr>
          <w:p>
            <w:pPr>
              <w:spacing w:after="0"/>
              <w:rPr>
                <w:sz w:val="18"/>
                <w:szCs w:val="18"/>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118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10,029</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13,026</w:t>
            </w:r>
          </w:p>
        </w:tc>
        <w:tc>
          <w:tcPr>
            <w:tcW w:w="11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10,414</w:t>
            </w:r>
          </w:p>
        </w:tc>
        <w:tc>
          <w:tcPr>
            <w:tcW w:w="8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1,391</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20,089</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54,949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80" w:type="dxa"/>
            <w:vAlign w:val="bottom"/>
          </w:tcPr>
          <w:p>
            <w:pPr>
              <w:spacing w:after="0" w:line="201" w:lineRule="exact"/>
              <w:rPr>
                <w:sz w:val="20"/>
                <w:szCs w:val="20"/>
                <w:color w:val="auto"/>
              </w:rPr>
            </w:pPr>
            <w:r>
              <w:rPr>
                <w:rFonts w:ascii="Arial" w:cs="Arial" w:eastAsia="Arial" w:hAnsi="Arial"/>
                <w:sz w:val="18"/>
                <w:szCs w:val="18"/>
                <w:color w:val="auto"/>
                <w:w w:val="96"/>
              </w:rPr>
              <w:t>Segment earnings before income</w:t>
            </w: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00" w:type="dxa"/>
            <w:vAlign w:val="bottom"/>
            <w:gridSpan w:val="2"/>
          </w:tcPr>
          <w:p>
            <w:pPr>
              <w:ind w:left="20"/>
              <w:spacing w:after="0"/>
              <w:rPr>
                <w:sz w:val="20"/>
                <w:szCs w:val="20"/>
                <w:color w:val="auto"/>
              </w:rPr>
            </w:pPr>
            <w:r>
              <w:rPr>
                <w:rFonts w:ascii="Arial" w:cs="Arial" w:eastAsia="Arial" w:hAnsi="Arial"/>
                <w:sz w:val="18"/>
                <w:szCs w:val="18"/>
                <w:color w:val="auto"/>
              </w:rPr>
              <w:t>taxes</w:t>
            </w:r>
          </w:p>
        </w:tc>
        <w:tc>
          <w:tcPr>
            <w:tcW w:w="1180" w:type="dxa"/>
            <w:vAlign w:val="bottom"/>
            <w:gridSpan w:val="2"/>
          </w:tcPr>
          <w:p>
            <w:pPr>
              <w:jc w:val="right"/>
              <w:ind w:right="19"/>
              <w:spacing w:after="0"/>
              <w:rPr>
                <w:sz w:val="20"/>
                <w:szCs w:val="20"/>
                <w:color w:val="auto"/>
              </w:rPr>
            </w:pPr>
            <w:r>
              <w:rPr>
                <w:rFonts w:ascii="Arial" w:cs="Arial" w:eastAsia="Arial" w:hAnsi="Arial"/>
                <w:sz w:val="18"/>
                <w:szCs w:val="18"/>
                <w:color w:val="auto"/>
              </w:rPr>
              <w:t>52,211</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59,403</w:t>
            </w:r>
          </w:p>
        </w:tc>
        <w:tc>
          <w:tcPr>
            <w:tcW w:w="1160" w:type="dxa"/>
            <w:vAlign w:val="bottom"/>
          </w:tcPr>
          <w:p>
            <w:pPr>
              <w:jc w:val="right"/>
              <w:ind w:right="114"/>
              <w:spacing w:after="0"/>
              <w:rPr>
                <w:sz w:val="20"/>
                <w:szCs w:val="20"/>
                <w:color w:val="auto"/>
              </w:rPr>
            </w:pPr>
            <w:r>
              <w:rPr>
                <w:rFonts w:ascii="Arial" w:cs="Arial" w:eastAsia="Arial" w:hAnsi="Arial"/>
                <w:sz w:val="18"/>
                <w:szCs w:val="18"/>
                <w:color w:val="auto"/>
              </w:rPr>
              <w:t>71,234</w:t>
            </w: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18,031</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(3,026)</w:t>
            </w:r>
          </w:p>
        </w:tc>
        <w:tc>
          <w:tcPr>
            <w:tcW w:w="1020" w:type="dxa"/>
            <w:vAlign w:val="bottom"/>
          </w:tcPr>
          <w:p>
            <w:pPr>
              <w:jc w:val="right"/>
              <w:spacing w:after="0"/>
              <w:rPr>
                <w:sz w:val="20"/>
                <w:szCs w:val="20"/>
                <w:color w:val="auto"/>
              </w:rPr>
            </w:pPr>
            <w:r>
              <w:rPr>
                <w:rFonts w:ascii="Arial" w:cs="Arial" w:eastAsia="Arial" w:hAnsi="Arial"/>
                <w:sz w:val="18"/>
                <w:szCs w:val="18"/>
                <w:color w:val="auto"/>
              </w:rPr>
              <w:t>197,853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118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401,012</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370,386</w:t>
            </w:r>
          </w:p>
        </w:tc>
        <w:tc>
          <w:tcPr>
            <w:tcW w:w="11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512,670</w:t>
            </w:r>
          </w:p>
        </w:tc>
        <w:tc>
          <w:tcPr>
            <w:tcW w:w="8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143,614</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219,866</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1,647,548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Capital expenditures</w:t>
            </w:r>
          </w:p>
        </w:tc>
        <w:tc>
          <w:tcPr>
            <w:tcW w:w="1180" w:type="dxa"/>
            <w:vAlign w:val="bottom"/>
            <w:gridSpan w:val="2"/>
          </w:tcPr>
          <w:p>
            <w:pPr>
              <w:jc w:val="right"/>
              <w:ind w:right="19"/>
              <w:spacing w:after="0"/>
              <w:rPr>
                <w:sz w:val="20"/>
                <w:szCs w:val="20"/>
                <w:color w:val="auto"/>
              </w:rPr>
            </w:pPr>
            <w:r>
              <w:rPr>
                <w:rFonts w:ascii="Arial" w:cs="Arial" w:eastAsia="Arial" w:hAnsi="Arial"/>
                <w:sz w:val="18"/>
                <w:szCs w:val="18"/>
                <w:color w:val="auto"/>
              </w:rPr>
              <w:t>17,497</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22,724</w:t>
            </w:r>
          </w:p>
        </w:tc>
        <w:tc>
          <w:tcPr>
            <w:tcW w:w="1160" w:type="dxa"/>
            <w:vAlign w:val="bottom"/>
          </w:tcPr>
          <w:p>
            <w:pPr>
              <w:jc w:val="right"/>
              <w:ind w:right="114"/>
              <w:spacing w:after="0"/>
              <w:rPr>
                <w:sz w:val="20"/>
                <w:szCs w:val="20"/>
                <w:color w:val="auto"/>
              </w:rPr>
            </w:pPr>
            <w:r>
              <w:rPr>
                <w:rFonts w:ascii="Arial" w:cs="Arial" w:eastAsia="Arial" w:hAnsi="Arial"/>
                <w:sz w:val="18"/>
                <w:szCs w:val="18"/>
                <w:color w:val="auto"/>
              </w:rPr>
              <w:t>18,168</w:t>
            </w: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2,427</w:t>
            </w:r>
          </w:p>
        </w:tc>
        <w:tc>
          <w:tcPr>
            <w:tcW w:w="200" w:type="dxa"/>
            <w:vAlign w:val="bottom"/>
          </w:tcPr>
          <w:p>
            <w:pPr>
              <w:spacing w:after="0"/>
              <w:rPr>
                <w:sz w:val="20"/>
                <w:szCs w:val="20"/>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35,046</w:t>
            </w:r>
          </w:p>
        </w:tc>
        <w:tc>
          <w:tcPr>
            <w:tcW w:w="1020" w:type="dxa"/>
            <w:vAlign w:val="bottom"/>
          </w:tcPr>
          <w:p>
            <w:pPr>
              <w:jc w:val="right"/>
              <w:spacing w:after="0"/>
              <w:rPr>
                <w:sz w:val="20"/>
                <w:szCs w:val="20"/>
                <w:color w:val="auto"/>
              </w:rPr>
            </w:pPr>
            <w:r>
              <w:rPr>
                <w:rFonts w:ascii="Arial" w:cs="Arial" w:eastAsia="Arial" w:hAnsi="Arial"/>
                <w:sz w:val="18"/>
                <w:szCs w:val="18"/>
                <w:color w:val="auto"/>
              </w:rPr>
              <w:t>95,862</w:t>
            </w:r>
          </w:p>
        </w:tc>
        <w:tc>
          <w:tcPr>
            <w:tcW w:w="0" w:type="dxa"/>
            <w:vAlign w:val="bottom"/>
          </w:tcPr>
          <w:p>
            <w:pPr>
              <w:spacing w:after="0"/>
              <w:rPr>
                <w:sz w:val="1"/>
                <w:szCs w:val="1"/>
                <w:color w:val="auto"/>
              </w:rPr>
            </w:pPr>
          </w:p>
        </w:tc>
      </w:tr>
      <w:tr>
        <w:trPr>
          <w:trHeight w:val="634"/>
        </w:trPr>
        <w:tc>
          <w:tcPr>
            <w:tcW w:w="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80" w:type="dxa"/>
            <w:vAlign w:val="bottom"/>
          </w:tcPr>
          <w:p>
            <w:pPr>
              <w:jc w:val="right"/>
              <w:ind w:right="212"/>
              <w:spacing w:after="0"/>
              <w:rPr>
                <w:sz w:val="20"/>
                <w:szCs w:val="20"/>
                <w:color w:val="auto"/>
              </w:rPr>
            </w:pPr>
            <w:r>
              <w:rPr>
                <w:rFonts w:ascii="Arial" w:cs="Arial" w:eastAsia="Arial" w:hAnsi="Arial"/>
                <w:sz w:val="18"/>
                <w:szCs w:val="18"/>
                <w:color w:val="auto"/>
              </w:rPr>
              <w:t>54</w:t>
            </w:r>
          </w:p>
        </w:tc>
        <w:tc>
          <w:tcPr>
            <w:tcW w:w="1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23" w:name="page124"/>
    <w:bookmarkEnd w:id="1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0"/>
        <w:spacing w:after="0"/>
        <w:rPr>
          <w:sz w:val="20"/>
          <w:szCs w:val="20"/>
          <w:color w:val="auto"/>
        </w:rPr>
      </w:pPr>
      <w:r>
        <w:rPr>
          <w:rFonts w:ascii="Arial" w:cs="Arial" w:eastAsia="Arial" w:hAnsi="Arial"/>
          <w:sz w:val="14"/>
          <w:szCs w:val="14"/>
          <w:color w:val="auto"/>
        </w:rPr>
        <w:t>Note: Allocations of corporate expenses in 2018 were modified to align with the methodology used to allocate corporate expenses in the current</w:t>
      </w:r>
    </w:p>
    <w:p>
      <w:pPr>
        <w:spacing w:after="0" w:line="20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Information regarding principal geographic areas was as follows (in thousands):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3040" w:type="dxa"/>
            <w:vAlign w:val="bottom"/>
          </w:tcPr>
          <w:p>
            <w:pPr>
              <w:spacing w:after="0"/>
              <w:rPr>
                <w:sz w:val="15"/>
                <w:szCs w:val="15"/>
                <w:color w:val="auto"/>
              </w:rPr>
            </w:pPr>
          </w:p>
        </w:tc>
        <w:tc>
          <w:tcPr>
            <w:tcW w:w="1840" w:type="dxa"/>
            <w:vAlign w:val="bottom"/>
            <w:tcBorders>
              <w:bottom w:val="single" w:sz="8" w:color="auto"/>
            </w:tcBorders>
            <w:gridSpan w:val="3"/>
          </w:tcPr>
          <w:p>
            <w:pPr>
              <w:jc w:val="right"/>
              <w:ind w:right="698"/>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5"/>
                <w:szCs w:val="15"/>
                <w:color w:val="auto"/>
              </w:rPr>
            </w:pPr>
          </w:p>
        </w:tc>
        <w:tc>
          <w:tcPr>
            <w:tcW w:w="1840" w:type="dxa"/>
            <w:vAlign w:val="bottom"/>
            <w:tcBorders>
              <w:bottom w:val="single" w:sz="8" w:color="auto"/>
            </w:tcBorders>
            <w:gridSpan w:val="3"/>
          </w:tcPr>
          <w:p>
            <w:pPr>
              <w:jc w:val="right"/>
              <w:ind w:right="699"/>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5"/>
                <w:szCs w:val="15"/>
                <w:color w:val="auto"/>
              </w:rPr>
            </w:pPr>
          </w:p>
        </w:tc>
        <w:tc>
          <w:tcPr>
            <w:tcW w:w="1880" w:type="dxa"/>
            <w:vAlign w:val="bottom"/>
            <w:tcBorders>
              <w:bottom w:val="single" w:sz="8" w:color="auto"/>
            </w:tcBorders>
            <w:gridSpan w:val="3"/>
          </w:tcPr>
          <w:p>
            <w:pPr>
              <w:jc w:val="right"/>
              <w:ind w:right="699"/>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30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jc w:val="center"/>
              <w:spacing w:after="0" w:line="126" w:lineRule="exact"/>
              <w:rPr>
                <w:sz w:val="20"/>
                <w:szCs w:val="20"/>
                <w:color w:val="auto"/>
              </w:rPr>
            </w:pPr>
            <w:r>
              <w:rPr>
                <w:rFonts w:ascii="Arial" w:cs="Arial" w:eastAsia="Arial" w:hAnsi="Arial"/>
                <w:sz w:val="14"/>
                <w:szCs w:val="14"/>
                <w:b w:val="1"/>
                <w:bCs w:val="1"/>
                <w:color w:val="auto"/>
                <w:w w:val="95"/>
              </w:rPr>
              <w:t>Long-Lived</w:t>
            </w: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jc w:val="center"/>
              <w:spacing w:after="0" w:line="126" w:lineRule="exact"/>
              <w:rPr>
                <w:sz w:val="20"/>
                <w:szCs w:val="20"/>
                <w:color w:val="auto"/>
              </w:rPr>
            </w:pPr>
            <w:r>
              <w:rPr>
                <w:rFonts w:ascii="Arial" w:cs="Arial" w:eastAsia="Arial" w:hAnsi="Arial"/>
                <w:sz w:val="14"/>
                <w:szCs w:val="14"/>
                <w:b w:val="1"/>
                <w:bCs w:val="1"/>
                <w:color w:val="auto"/>
                <w:w w:val="95"/>
              </w:rPr>
              <w:t>Long-Lived</w:t>
            </w: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jc w:val="center"/>
              <w:spacing w:after="0" w:line="126" w:lineRule="exact"/>
              <w:rPr>
                <w:sz w:val="20"/>
                <w:szCs w:val="20"/>
                <w:color w:val="auto"/>
              </w:rPr>
            </w:pPr>
            <w:r>
              <w:rPr>
                <w:rFonts w:ascii="Arial" w:cs="Arial" w:eastAsia="Arial" w:hAnsi="Arial"/>
                <w:sz w:val="14"/>
                <w:szCs w:val="14"/>
                <w:b w:val="1"/>
                <w:bCs w:val="1"/>
                <w:color w:val="auto"/>
                <w:w w:val="95"/>
              </w:rPr>
              <w:t>Long-Lived</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040" w:type="dxa"/>
            <w:vAlign w:val="bottom"/>
          </w:tcPr>
          <w:p>
            <w:pPr>
              <w:spacing w:after="0"/>
              <w:rPr>
                <w:sz w:val="12"/>
                <w:szCs w:val="12"/>
                <w:color w:val="auto"/>
              </w:rPr>
            </w:pPr>
          </w:p>
        </w:tc>
        <w:tc>
          <w:tcPr>
            <w:tcW w:w="10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Net Sales</w:t>
            </w: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Tangible</w:t>
            </w:r>
          </w:p>
        </w:tc>
        <w:tc>
          <w:tcPr>
            <w:tcW w:w="10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Net Sales</w:t>
            </w:r>
          </w:p>
        </w:tc>
        <w:tc>
          <w:tcPr>
            <w:tcW w:w="9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Tangible</w:t>
            </w:r>
          </w:p>
        </w:tc>
        <w:tc>
          <w:tcPr>
            <w:tcW w:w="10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Net Sales</w:t>
            </w: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Tangible</w:t>
            </w:r>
          </w:p>
        </w:tc>
        <w:tc>
          <w:tcPr>
            <w:tcW w:w="0" w:type="dxa"/>
            <w:vAlign w:val="bottom"/>
          </w:tcPr>
          <w:p>
            <w:pPr>
              <w:spacing w:after="0"/>
              <w:rPr>
                <w:sz w:val="1"/>
                <w:szCs w:val="1"/>
                <w:color w:val="auto"/>
              </w:rPr>
            </w:pPr>
          </w:p>
        </w:tc>
      </w:tr>
      <w:tr>
        <w:trPr>
          <w:trHeight w:val="178"/>
        </w:trPr>
        <w:tc>
          <w:tcPr>
            <w:tcW w:w="304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2"/>
              </w:rPr>
              <w:t>Assets</w:t>
            </w:r>
          </w:p>
        </w:tc>
        <w:tc>
          <w:tcPr>
            <w:tcW w:w="1060" w:type="dxa"/>
            <w:vAlign w:val="bottom"/>
            <w:gridSpan w:val="2"/>
            <w:vMerge w:val="continue"/>
          </w:tcPr>
          <w:p>
            <w:pPr>
              <w:spacing w:after="0"/>
              <w:rPr>
                <w:sz w:val="15"/>
                <w:szCs w:val="15"/>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2"/>
              </w:rPr>
              <w:t>Assets</w:t>
            </w:r>
          </w:p>
        </w:tc>
        <w:tc>
          <w:tcPr>
            <w:tcW w:w="1080" w:type="dxa"/>
            <w:vAlign w:val="bottom"/>
            <w:gridSpan w:val="2"/>
            <w:vMerge w:val="continue"/>
          </w:tcPr>
          <w:p>
            <w:pPr>
              <w:spacing w:after="0"/>
              <w:rPr>
                <w:sz w:val="15"/>
                <w:szCs w:val="15"/>
                <w:color w:val="auto"/>
              </w:rPr>
            </w:pPr>
          </w:p>
        </w:tc>
        <w:tc>
          <w:tcPr>
            <w:tcW w:w="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r>
        <w:trPr>
          <w:trHeight w:val="216"/>
        </w:trPr>
        <w:tc>
          <w:tcPr>
            <w:tcW w:w="3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$ 5,022,014</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$ 478,325</w:t>
            </w: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$ 4,308,618</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$ 469,605</w:t>
            </w:r>
          </w:p>
        </w:tc>
        <w:tc>
          <w:tcPr>
            <w:tcW w:w="1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$ 4,382,356</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$ 342,326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131,984</w:t>
            </w:r>
          </w:p>
        </w:tc>
        <w:tc>
          <w:tcPr>
            <w:tcW w:w="14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36,380</w:t>
            </w:r>
          </w:p>
        </w:tc>
        <w:tc>
          <w:tcPr>
            <w:tcW w:w="16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107,391</w:t>
            </w:r>
          </w:p>
        </w:tc>
        <w:tc>
          <w:tcPr>
            <w:tcW w:w="16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36,878</w:t>
            </w:r>
          </w:p>
        </w:tc>
        <w:tc>
          <w:tcPr>
            <w:tcW w:w="14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106,824</w:t>
            </w:r>
          </w:p>
        </w:tc>
        <w:tc>
          <w:tcPr>
            <w:tcW w:w="14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$ 5,153,998</w:t>
            </w:r>
          </w:p>
        </w:tc>
        <w:tc>
          <w:tcPr>
            <w:tcW w:w="1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$ 514,705</w:t>
            </w:r>
          </w:p>
        </w:tc>
        <w:tc>
          <w:tcPr>
            <w:tcW w:w="1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$ 4,416,009</w:t>
            </w:r>
          </w:p>
        </w:tc>
        <w:tc>
          <w:tcPr>
            <w:tcW w:w="16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$ 506,483</w:t>
            </w:r>
          </w:p>
        </w:tc>
        <w:tc>
          <w:tcPr>
            <w:tcW w:w="1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$ 4,489,180</w:t>
            </w:r>
          </w:p>
        </w:tc>
        <w:tc>
          <w:tcPr>
            <w:tcW w:w="1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$ 376,638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3"/>
        </w:trPr>
        <w:tc>
          <w:tcPr>
            <w:tcW w:w="30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ind w:right="238"/>
              <w:spacing w:after="0"/>
              <w:rPr>
                <w:sz w:val="20"/>
                <w:szCs w:val="20"/>
                <w:color w:val="auto"/>
              </w:rPr>
            </w:pPr>
            <w:r>
              <w:rPr>
                <w:rFonts w:ascii="Arial" w:cs="Arial" w:eastAsia="Arial" w:hAnsi="Arial"/>
                <w:sz w:val="18"/>
                <w:szCs w:val="18"/>
                <w:color w:val="auto"/>
              </w:rPr>
              <w:t>55</w:t>
            </w: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0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24" w:name="page125"/>
    <w:bookmarkEnd w:id="1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right="59" w:firstLine="648"/>
        <w:spacing w:after="0" w:line="342" w:lineRule="auto"/>
        <w:rPr>
          <w:sz w:val="20"/>
          <w:szCs w:val="20"/>
          <w:color w:val="auto"/>
        </w:rPr>
      </w:pPr>
      <w:r>
        <w:rPr>
          <w:rFonts w:ascii="Arial" w:cs="Arial" w:eastAsia="Arial" w:hAnsi="Arial"/>
          <w:sz w:val="16"/>
          <w:szCs w:val="16"/>
          <w:color w:val="auto"/>
        </w:rPr>
        <w:t>The following table presents, for the periods indicated, our disaggregated net sales (in thousands) by business unit for each segment and our percentage of value-added and commodity-based sales to total net sales by segment.</w:t>
      </w:r>
    </w:p>
    <w:p>
      <w:pPr>
        <w:spacing w:after="0" w:line="131" w:lineRule="exact"/>
        <w:rPr>
          <w:sz w:val="20"/>
          <w:szCs w:val="20"/>
          <w:color w:val="auto"/>
        </w:rPr>
      </w:pPr>
    </w:p>
    <w:tbl>
      <w:tblPr>
        <w:tblLayout w:type="fixed"/>
        <w:tblInd w:w="4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center"/>
              <w:ind w:right="31"/>
              <w:spacing w:after="0"/>
              <w:rPr>
                <w:sz w:val="20"/>
                <w:szCs w:val="20"/>
                <w:color w:val="auto"/>
              </w:rPr>
            </w:pPr>
            <w:r>
              <w:rPr>
                <w:rFonts w:ascii="Arial" w:cs="Arial" w:eastAsia="Arial" w:hAnsi="Arial"/>
                <w:sz w:val="14"/>
                <w:szCs w:val="14"/>
                <w:b w:val="1"/>
                <w:bCs w:val="1"/>
                <w:color w:val="auto"/>
                <w:w w:val="93"/>
              </w:rPr>
              <w:t>Year Ended</w:t>
            </w:r>
          </w:p>
        </w:tc>
        <w:tc>
          <w:tcPr>
            <w:tcW w:w="14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920" w:type="dxa"/>
            <w:vAlign w:val="bottom"/>
            <w:gridSpan w:val="2"/>
          </w:tcPr>
          <w:p>
            <w:pPr>
              <w:jc w:val="right"/>
              <w:spacing w:after="0" w:line="126" w:lineRule="exact"/>
              <w:rPr>
                <w:sz w:val="20"/>
                <w:szCs w:val="20"/>
                <w:color w:val="auto"/>
              </w:rPr>
            </w:pPr>
            <w:r>
              <w:rPr>
                <w:rFonts w:ascii="Arial" w:cs="Arial" w:eastAsia="Arial" w:hAnsi="Arial"/>
                <w:sz w:val="14"/>
                <w:szCs w:val="14"/>
                <w:b w:val="1"/>
                <w:bCs w:val="1"/>
                <w:color w:val="auto"/>
                <w:w w:val="94"/>
              </w:rPr>
              <w:t>December 26,</w:t>
            </w:r>
          </w:p>
        </w:tc>
        <w:tc>
          <w:tcPr>
            <w:tcW w:w="160" w:type="dxa"/>
            <w:vAlign w:val="bottom"/>
          </w:tcPr>
          <w:p>
            <w:pPr>
              <w:spacing w:after="0"/>
              <w:rPr>
                <w:sz w:val="10"/>
                <w:szCs w:val="10"/>
                <w:color w:val="auto"/>
              </w:rPr>
            </w:pPr>
          </w:p>
        </w:tc>
        <w:tc>
          <w:tcPr>
            <w:tcW w:w="920" w:type="dxa"/>
            <w:vAlign w:val="bottom"/>
            <w:gridSpan w:val="2"/>
          </w:tcPr>
          <w:p>
            <w:pPr>
              <w:jc w:val="center"/>
              <w:spacing w:after="0" w:line="126" w:lineRule="exact"/>
              <w:rPr>
                <w:sz w:val="20"/>
                <w:szCs w:val="20"/>
                <w:color w:val="auto"/>
              </w:rPr>
            </w:pPr>
            <w:r>
              <w:rPr>
                <w:rFonts w:ascii="Arial" w:cs="Arial" w:eastAsia="Arial" w:hAnsi="Arial"/>
                <w:sz w:val="14"/>
                <w:szCs w:val="14"/>
                <w:b w:val="1"/>
                <w:bCs w:val="1"/>
                <w:color w:val="auto"/>
                <w:w w:val="92"/>
              </w:rPr>
              <w:t>December 28,</w:t>
            </w:r>
          </w:p>
        </w:tc>
        <w:tc>
          <w:tcPr>
            <w:tcW w:w="140" w:type="dxa"/>
            <w:vAlign w:val="bottom"/>
          </w:tcPr>
          <w:p>
            <w:pPr>
              <w:spacing w:after="0"/>
              <w:rPr>
                <w:sz w:val="10"/>
                <w:szCs w:val="10"/>
                <w:color w:val="auto"/>
              </w:rPr>
            </w:pPr>
          </w:p>
        </w:tc>
        <w:tc>
          <w:tcPr>
            <w:tcW w:w="920" w:type="dxa"/>
            <w:vAlign w:val="bottom"/>
            <w:gridSpan w:val="2"/>
          </w:tcPr>
          <w:p>
            <w:pPr>
              <w:jc w:val="right"/>
              <w:spacing w:after="0" w:line="126" w:lineRule="exact"/>
              <w:rPr>
                <w:sz w:val="20"/>
                <w:szCs w:val="20"/>
                <w:color w:val="auto"/>
              </w:rPr>
            </w:pPr>
            <w:r>
              <w:rPr>
                <w:rFonts w:ascii="Arial" w:cs="Arial" w:eastAsia="Arial" w:hAnsi="Arial"/>
                <w:sz w:val="14"/>
                <w:szCs w:val="14"/>
                <w:b w:val="1"/>
                <w:bCs w:val="1"/>
                <w:color w:val="auto"/>
                <w:w w:val="94"/>
              </w:rPr>
              <w:t>December 29,</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100" w:type="dxa"/>
            <w:vAlign w:val="bottom"/>
            <w:tcBorders>
              <w:bottom w:val="single" w:sz="8" w:color="CCEEFF"/>
            </w:tcBorders>
          </w:tcPr>
          <w:p>
            <w:pPr>
              <w:spacing w:after="0"/>
              <w:rPr>
                <w:sz w:val="15"/>
                <w:szCs w:val="15"/>
                <w:color w:val="auto"/>
              </w:rPr>
            </w:pPr>
          </w:p>
        </w:tc>
        <w:tc>
          <w:tcPr>
            <w:tcW w:w="27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11"/>
              <w:spacing w:after="0"/>
              <w:rPr>
                <w:sz w:val="20"/>
                <w:szCs w:val="20"/>
                <w:color w:val="auto"/>
              </w:rPr>
            </w:pPr>
            <w:r>
              <w:rPr>
                <w:rFonts w:ascii="Arial" w:cs="Arial" w:eastAsia="Arial" w:hAnsi="Arial"/>
                <w:sz w:val="14"/>
                <w:szCs w:val="14"/>
                <w:b w:val="1"/>
                <w:bCs w:val="1"/>
                <w:color w:val="auto"/>
                <w:w w:val="96"/>
              </w:rPr>
              <w:t>2019</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Retail</w:t>
            </w:r>
          </w:p>
        </w:tc>
        <w:tc>
          <w:tcPr>
            <w:tcW w:w="2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100"/>
              <w:spacing w:after="0"/>
              <w:rPr>
                <w:sz w:val="20"/>
                <w:szCs w:val="20"/>
                <w:color w:val="auto"/>
              </w:rPr>
            </w:pPr>
            <w:r>
              <w:rPr>
                <w:rFonts w:ascii="Arial" w:cs="Arial" w:eastAsia="Arial" w:hAnsi="Arial"/>
                <w:sz w:val="18"/>
                <w:szCs w:val="18"/>
                <w:color w:val="auto"/>
              </w:rPr>
              <w:t>Deckorators</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219,930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185,221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136,517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Prowood</w:t>
            </w:r>
          </w:p>
        </w:tc>
        <w:tc>
          <w:tcPr>
            <w:tcW w:w="2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1,215,201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786,720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100"/>
              <w:spacing w:after="0"/>
              <w:rPr>
                <w:sz w:val="20"/>
                <w:szCs w:val="20"/>
                <w:color w:val="auto"/>
              </w:rPr>
            </w:pPr>
            <w:r>
              <w:rPr>
                <w:rFonts w:ascii="Arial" w:cs="Arial" w:eastAsia="Arial" w:hAnsi="Arial"/>
                <w:sz w:val="18"/>
                <w:szCs w:val="18"/>
                <w:color w:val="auto"/>
              </w:rPr>
              <w:t>Outdoor Essentials</w:t>
            </w: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299,684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227,767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227,799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UFP Edge</w:t>
            </w:r>
          </w:p>
        </w:tc>
        <w:tc>
          <w:tcPr>
            <w:tcW w:w="2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114,987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95,608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100"/>
              <w:spacing w:after="0"/>
              <w:rPr>
                <w:sz w:val="20"/>
                <w:szCs w:val="20"/>
                <w:color w:val="auto"/>
              </w:rPr>
            </w:pPr>
            <w:r>
              <w:rPr>
                <w:rFonts w:ascii="Arial" w:cs="Arial" w:eastAsia="Arial" w:hAnsi="Arial"/>
                <w:sz w:val="18"/>
                <w:szCs w:val="18"/>
                <w:color w:val="auto"/>
              </w:rPr>
              <w:t>Dimensions</w:t>
            </w: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88,351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52,553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E-Commerce</w:t>
            </w:r>
          </w:p>
        </w:tc>
        <w:tc>
          <w:tcPr>
            <w:tcW w:w="2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Other</w:t>
            </w:r>
          </w:p>
        </w:tc>
        <w:tc>
          <w:tcPr>
            <w:tcW w:w="27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225,253</w:t>
            </w:r>
          </w:p>
        </w:tc>
        <w:tc>
          <w:tcPr>
            <w:tcW w:w="16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149,153</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Retail</w:t>
            </w:r>
          </w:p>
        </w:tc>
        <w:tc>
          <w:tcPr>
            <w:tcW w:w="27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2,167,122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1,498,710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1,512,477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Industrial</w:t>
            </w:r>
          </w:p>
        </w:tc>
        <w:tc>
          <w:tcPr>
            <w:tcW w:w="2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100"/>
              <w:spacing w:after="0"/>
              <w:rPr>
                <w:sz w:val="20"/>
                <w:szCs w:val="20"/>
                <w:color w:val="auto"/>
              </w:rPr>
            </w:pPr>
            <w:r>
              <w:rPr>
                <w:rFonts w:ascii="Arial" w:cs="Arial" w:eastAsia="Arial" w:hAnsi="Arial"/>
                <w:sz w:val="18"/>
                <w:szCs w:val="18"/>
                <w:color w:val="auto"/>
              </w:rPr>
              <w:t>North Industrial</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385,132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376,515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351,345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Southeast Industrial</w:t>
            </w:r>
          </w:p>
        </w:tc>
        <w:tc>
          <w:tcPr>
            <w:tcW w:w="2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229,316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255,419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100"/>
              <w:spacing w:after="0"/>
              <w:rPr>
                <w:sz w:val="20"/>
                <w:szCs w:val="20"/>
                <w:color w:val="auto"/>
              </w:rPr>
            </w:pPr>
            <w:r>
              <w:rPr>
                <w:rFonts w:ascii="Arial" w:cs="Arial" w:eastAsia="Arial" w:hAnsi="Arial"/>
                <w:sz w:val="18"/>
                <w:szCs w:val="18"/>
                <w:color w:val="auto"/>
              </w:rPr>
              <w:t>Southwest Industrial</w:t>
            </w: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238,643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241,774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237,671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West Industrial</w:t>
            </w:r>
          </w:p>
        </w:tc>
        <w:tc>
          <w:tcPr>
            <w:tcW w:w="2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206,022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197,686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209,049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Protective Packaging</w:t>
            </w:r>
          </w:p>
        </w:tc>
        <w:tc>
          <w:tcPr>
            <w:tcW w:w="27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13,004</w:t>
            </w:r>
          </w:p>
        </w:tc>
        <w:tc>
          <w:tcPr>
            <w:tcW w:w="16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14,241</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Industrial</w:t>
            </w:r>
          </w:p>
        </w:tc>
        <w:tc>
          <w:tcPr>
            <w:tcW w:w="27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1,072,117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1,085,635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1,050,945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Construction</w:t>
            </w:r>
          </w:p>
        </w:tc>
        <w:tc>
          <w:tcPr>
            <w:tcW w:w="2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100"/>
              <w:spacing w:after="0"/>
              <w:rPr>
                <w:sz w:val="20"/>
                <w:szCs w:val="20"/>
                <w:color w:val="auto"/>
              </w:rPr>
            </w:pPr>
            <w:r>
              <w:rPr>
                <w:rFonts w:ascii="Arial" w:cs="Arial" w:eastAsia="Arial" w:hAnsi="Arial"/>
                <w:sz w:val="18"/>
                <w:szCs w:val="18"/>
                <w:color w:val="auto"/>
              </w:rPr>
              <w:t>Factory Built</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597,017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479,927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561,137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Site Built</w:t>
            </w:r>
          </w:p>
        </w:tc>
        <w:tc>
          <w:tcPr>
            <w:tcW w:w="2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725,899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708,767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713,729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100"/>
              <w:spacing w:after="0"/>
              <w:rPr>
                <w:sz w:val="20"/>
                <w:szCs w:val="20"/>
                <w:color w:val="auto"/>
              </w:rPr>
            </w:pPr>
            <w:r>
              <w:rPr>
                <w:rFonts w:ascii="Arial" w:cs="Arial" w:eastAsia="Arial" w:hAnsi="Arial"/>
                <w:sz w:val="18"/>
                <w:szCs w:val="18"/>
                <w:color w:val="auto"/>
              </w:rPr>
              <w:t>Commercial</w:t>
            </w: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221,988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290,785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269,706</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1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Concrete Forming</w:t>
            </w:r>
          </w:p>
        </w:tc>
        <w:tc>
          <w:tcPr>
            <w:tcW w:w="2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150,780</w:t>
            </w:r>
          </w:p>
        </w:tc>
        <w:tc>
          <w:tcPr>
            <w:tcW w:w="1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157,677</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160,444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00" w:type="dxa"/>
            <w:vAlign w:val="bottom"/>
          </w:tcPr>
          <w:p>
            <w:pPr>
              <w:spacing w:after="0" w:line="203" w:lineRule="exact"/>
              <w:rPr>
                <w:sz w:val="20"/>
                <w:szCs w:val="20"/>
                <w:color w:val="auto"/>
              </w:rPr>
            </w:pPr>
            <w:r>
              <w:rPr>
                <w:rFonts w:ascii="Arial" w:cs="Arial" w:eastAsia="Arial" w:hAnsi="Arial"/>
                <w:sz w:val="18"/>
                <w:szCs w:val="18"/>
                <w:b w:val="1"/>
                <w:bCs w:val="1"/>
                <w:color w:val="auto"/>
              </w:rPr>
              <w:t>Total Construction</w:t>
            </w:r>
          </w:p>
        </w:tc>
        <w:tc>
          <w:tcPr>
            <w:tcW w:w="2740" w:type="dxa"/>
            <w:vAlign w:val="bottom"/>
          </w:tcPr>
          <w:p>
            <w:pPr>
              <w:spacing w:after="0"/>
              <w:rPr>
                <w:sz w:val="17"/>
                <w:szCs w:val="17"/>
                <w:color w:val="auto"/>
              </w:rPr>
            </w:pPr>
          </w:p>
        </w:tc>
        <w:tc>
          <w:tcPr>
            <w:tcW w:w="12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w w:val="89"/>
              </w:rPr>
              <w:t>1,695,684</w:t>
            </w:r>
          </w:p>
        </w:tc>
        <w:tc>
          <w:tcPr>
            <w:tcW w:w="16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w w:val="94"/>
              </w:rPr>
              <w:t>1,637,156</w:t>
            </w:r>
          </w:p>
        </w:tc>
        <w:tc>
          <w:tcPr>
            <w:tcW w:w="1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w w:val="89"/>
              </w:rPr>
              <w:t>1,705,016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b w:val="1"/>
                <w:bCs w:val="1"/>
                <w:color w:val="auto"/>
              </w:rPr>
              <w:t>All Other</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217,094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193,785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219,920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b w:val="1"/>
                <w:bCs w:val="1"/>
                <w:color w:val="auto"/>
              </w:rPr>
              <w:t>Corporate</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1,981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723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822</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100" w:type="dxa"/>
            <w:vAlign w:val="bottom"/>
            <w:tcBorders>
              <w:bottom w:val="single" w:sz="8" w:color="CCEEFF"/>
            </w:tcBorders>
            <w:shd w:val="clear" w:color="auto" w:fill="CCEEFF"/>
          </w:tcPr>
          <w:p>
            <w:pPr>
              <w:spacing w:after="0"/>
              <w:rPr>
                <w:sz w:val="20"/>
                <w:szCs w:val="20"/>
                <w:color w:val="auto"/>
              </w:rPr>
            </w:pPr>
          </w:p>
        </w:tc>
        <w:tc>
          <w:tcPr>
            <w:tcW w:w="2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120" w:type="dxa"/>
            <w:vAlign w:val="bottom"/>
            <w:gridSpan w:val="2"/>
          </w:tcPr>
          <w:p>
            <w:pPr>
              <w:ind w:left="20"/>
              <w:spacing w:after="0" w:line="203" w:lineRule="exact"/>
              <w:rPr>
                <w:sz w:val="20"/>
                <w:szCs w:val="20"/>
                <w:color w:val="auto"/>
              </w:rPr>
            </w:pPr>
            <w:r>
              <w:rPr>
                <w:rFonts w:ascii="Arial" w:cs="Arial" w:eastAsia="Arial" w:hAnsi="Arial"/>
                <w:sz w:val="18"/>
                <w:szCs w:val="18"/>
                <w:b w:val="1"/>
                <w:bCs w:val="1"/>
                <w:color w:val="auto"/>
              </w:rPr>
              <w:t>Total Net Sales</w:t>
            </w:r>
          </w:p>
        </w:tc>
        <w:tc>
          <w:tcPr>
            <w:tcW w:w="2740" w:type="dxa"/>
            <w:vAlign w:val="bottom"/>
          </w:tcPr>
          <w:p>
            <w:pPr>
              <w:spacing w:after="0"/>
              <w:rPr>
                <w:sz w:val="17"/>
                <w:szCs w:val="17"/>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9"/>
              </w:rPr>
              <w:t>5,153,998</w:t>
            </w:r>
          </w:p>
        </w:tc>
        <w:tc>
          <w:tcPr>
            <w:tcW w:w="16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4"/>
              </w:rPr>
              <w:t>4,416,009</w:t>
            </w:r>
          </w:p>
        </w:tc>
        <w:tc>
          <w:tcPr>
            <w:tcW w:w="14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9"/>
              </w:rPr>
              <w:t>4,489,180</w:t>
            </w:r>
          </w:p>
        </w:tc>
        <w:tc>
          <w:tcPr>
            <w:tcW w:w="0" w:type="dxa"/>
            <w:vAlign w:val="bottom"/>
          </w:tcPr>
          <w:p>
            <w:pPr>
              <w:spacing w:after="0"/>
              <w:rPr>
                <w:sz w:val="1"/>
                <w:szCs w:val="1"/>
                <w:color w:val="auto"/>
              </w:rPr>
            </w:pPr>
          </w:p>
        </w:tc>
      </w:tr>
      <w:tr>
        <w:trPr>
          <w:trHeight w:val="20"/>
        </w:trPr>
        <w:tc>
          <w:tcPr>
            <w:tcW w:w="31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Value-Added</w:t>
            </w:r>
          </w:p>
        </w:tc>
        <w:tc>
          <w:tcPr>
            <w:tcW w:w="2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120" w:type="dxa"/>
            <w:vAlign w:val="bottom"/>
            <w:gridSpan w:val="2"/>
            <w:vMerge w:val="continue"/>
          </w:tcPr>
          <w:p>
            <w:pPr>
              <w:spacing w:after="0"/>
              <w:rPr>
                <w:sz w:val="24"/>
                <w:szCs w:val="24"/>
                <w:color w:val="auto"/>
              </w:rPr>
            </w:pPr>
          </w:p>
        </w:tc>
        <w:tc>
          <w:tcPr>
            <w:tcW w:w="2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Retail</w:t>
            </w:r>
          </w:p>
        </w:tc>
        <w:tc>
          <w:tcPr>
            <w:tcW w:w="2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100" w:type="dxa"/>
            <w:vAlign w:val="bottom"/>
          </w:tcPr>
          <w:p>
            <w:pPr>
              <w:ind w:left="100"/>
              <w:spacing w:after="0"/>
              <w:rPr>
                <w:sz w:val="20"/>
                <w:szCs w:val="20"/>
                <w:color w:val="auto"/>
              </w:rPr>
            </w:pPr>
            <w:r>
              <w:rPr>
                <w:rFonts w:ascii="Arial" w:cs="Arial" w:eastAsia="Arial" w:hAnsi="Arial"/>
                <w:sz w:val="18"/>
                <w:szCs w:val="18"/>
                <w:color w:val="auto"/>
              </w:rPr>
              <w:t>Industrial</w:t>
            </w:r>
          </w:p>
        </w:tc>
        <w:tc>
          <w:tcPr>
            <w:tcW w:w="2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64.7%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Construction</w:t>
            </w:r>
          </w:p>
        </w:tc>
        <w:tc>
          <w:tcPr>
            <w:tcW w:w="2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00" w:type="dxa"/>
            <w:vAlign w:val="bottom"/>
          </w:tcPr>
          <w:p>
            <w:pPr>
              <w:ind w:left="100"/>
              <w:spacing w:after="0"/>
              <w:rPr>
                <w:sz w:val="20"/>
                <w:szCs w:val="20"/>
                <w:color w:val="auto"/>
              </w:rPr>
            </w:pPr>
            <w:r>
              <w:rPr>
                <w:rFonts w:ascii="Arial" w:cs="Arial" w:eastAsia="Arial" w:hAnsi="Arial"/>
                <w:sz w:val="18"/>
                <w:szCs w:val="18"/>
                <w:color w:val="auto"/>
              </w:rPr>
              <w:t>All Other and Corporate</w:t>
            </w:r>
          </w:p>
        </w:tc>
        <w:tc>
          <w:tcPr>
            <w:tcW w:w="2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75.8%</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459"/>
        </w:trPr>
        <w:tc>
          <w:tcPr>
            <w:tcW w:w="3120" w:type="dxa"/>
            <w:vAlign w:val="bottom"/>
            <w:gridSpan w:val="2"/>
          </w:tcPr>
          <w:p>
            <w:pPr>
              <w:ind w:left="20"/>
              <w:spacing w:after="0"/>
              <w:rPr>
                <w:sz w:val="20"/>
                <w:szCs w:val="20"/>
                <w:color w:val="auto"/>
              </w:rPr>
            </w:pPr>
            <w:r>
              <w:rPr>
                <w:rFonts w:ascii="Arial" w:cs="Arial" w:eastAsia="Arial" w:hAnsi="Arial"/>
                <w:sz w:val="18"/>
                <w:szCs w:val="18"/>
                <w:b w:val="1"/>
                <w:bCs w:val="1"/>
                <w:color w:val="auto"/>
              </w:rPr>
              <w:t>Commodity-Based</w:t>
            </w:r>
          </w:p>
        </w:tc>
        <w:tc>
          <w:tcPr>
            <w:tcW w:w="2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Retail</w:t>
            </w:r>
          </w:p>
        </w:tc>
        <w:tc>
          <w:tcPr>
            <w:tcW w:w="2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00" w:type="dxa"/>
            <w:vAlign w:val="bottom"/>
          </w:tcPr>
          <w:p>
            <w:pPr>
              <w:ind w:left="100"/>
              <w:spacing w:after="0"/>
              <w:rPr>
                <w:sz w:val="20"/>
                <w:szCs w:val="20"/>
                <w:color w:val="auto"/>
              </w:rPr>
            </w:pPr>
            <w:r>
              <w:rPr>
                <w:rFonts w:ascii="Arial" w:cs="Arial" w:eastAsia="Arial" w:hAnsi="Arial"/>
                <w:sz w:val="18"/>
                <w:szCs w:val="18"/>
                <w:color w:val="auto"/>
              </w:rPr>
              <w:t>Industrial</w:t>
            </w:r>
          </w:p>
        </w:tc>
        <w:tc>
          <w:tcPr>
            <w:tcW w:w="2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33.8%</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Construction</w:t>
            </w:r>
          </w:p>
        </w:tc>
        <w:tc>
          <w:tcPr>
            <w:tcW w:w="2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00" w:type="dxa"/>
            <w:vAlign w:val="bottom"/>
          </w:tcPr>
          <w:p>
            <w:pPr>
              <w:ind w:left="100"/>
              <w:spacing w:after="0"/>
              <w:rPr>
                <w:sz w:val="20"/>
                <w:szCs w:val="20"/>
                <w:color w:val="auto"/>
              </w:rPr>
            </w:pPr>
            <w:r>
              <w:rPr>
                <w:rFonts w:ascii="Arial" w:cs="Arial" w:eastAsia="Arial" w:hAnsi="Arial"/>
                <w:sz w:val="18"/>
                <w:szCs w:val="18"/>
                <w:color w:val="auto"/>
              </w:rPr>
              <w:t>All Other and Corporate</w:t>
            </w:r>
          </w:p>
        </w:tc>
        <w:tc>
          <w:tcPr>
            <w:tcW w:w="2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661"/>
        </w:trPr>
        <w:tc>
          <w:tcPr>
            <w:tcW w:w="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740" w:type="dxa"/>
            <w:vAlign w:val="bottom"/>
          </w:tcPr>
          <w:p>
            <w:pPr>
              <w:jc w:val="right"/>
              <w:ind w:right="1210"/>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25" w:name="page126"/>
    <w:bookmarkEnd w:id="1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700" w:hanging="650"/>
        <w:spacing w:after="0"/>
        <w:tabs>
          <w:tab w:leader="none" w:pos="70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QUARTERLY FINANCIAL INFORMATION (UNAUDITED)</w:t>
      </w:r>
    </w:p>
    <w:p>
      <w:pPr>
        <w:spacing w:after="0" w:line="229" w:lineRule="exact"/>
        <w:rPr>
          <w:sz w:val="20"/>
          <w:szCs w:val="20"/>
          <w:color w:val="auto"/>
        </w:rPr>
      </w:pPr>
    </w:p>
    <w:p>
      <w:pPr>
        <w:ind w:left="60" w:right="59" w:firstLine="648"/>
        <w:spacing w:after="0" w:line="342" w:lineRule="auto"/>
        <w:rPr>
          <w:sz w:val="20"/>
          <w:szCs w:val="20"/>
          <w:color w:val="auto"/>
        </w:rPr>
      </w:pPr>
      <w:r>
        <w:rPr>
          <w:rFonts w:ascii="Arial" w:cs="Arial" w:eastAsia="Arial" w:hAnsi="Arial"/>
          <w:sz w:val="16"/>
          <w:szCs w:val="16"/>
          <w:color w:val="auto"/>
        </w:rPr>
        <w:t>The following table sets forth selected financial information for all of the quarters, consisting of 13 weeks during the years ended December 26, 2020 and December 28, 2019, respectively, (in thousands, except per share data):</w:t>
      </w:r>
    </w:p>
    <w:p>
      <w:pPr>
        <w:spacing w:after="0" w:line="138" w:lineRule="exact"/>
        <w:rPr>
          <w:sz w:val="20"/>
          <w:szCs w:val="20"/>
          <w:color w:val="auto"/>
        </w:rPr>
      </w:pPr>
    </w:p>
    <w:tbl>
      <w:tblPr>
        <w:tblLayout w:type="fixed"/>
        <w:tblInd w:w="60" w:type="dxa"/>
        <w:tblCellMar>
          <w:top w:w="0" w:type="dxa"/>
          <w:left w:w="0" w:type="dxa"/>
          <w:bottom w:w="0" w:type="dxa"/>
          <w:right w:w="0" w:type="dxa"/>
        </w:tblCellMar>
      </w:tblPr>
      <w:tr>
        <w:trPr>
          <w:trHeight w:val="223"/>
        </w:trPr>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tcBorders>
              <w:bottom w:val="single" w:sz="8" w:color="auto"/>
            </w:tcBorders>
            <w:gridSpan w:val="3"/>
          </w:tcPr>
          <w:p>
            <w:pPr>
              <w:jc w:val="right"/>
              <w:ind w:right="659"/>
              <w:spacing w:after="0"/>
              <w:rPr>
                <w:sz w:val="20"/>
                <w:szCs w:val="20"/>
                <w:color w:val="auto"/>
              </w:rPr>
            </w:pPr>
            <w:r>
              <w:rPr>
                <w:rFonts w:ascii="Arial" w:cs="Arial" w:eastAsia="Arial" w:hAnsi="Arial"/>
                <w:sz w:val="16"/>
                <w:szCs w:val="16"/>
                <w:b w:val="1"/>
                <w:bCs w:val="1"/>
                <w:color w:val="auto"/>
              </w:rPr>
              <w:t>First</w:t>
            </w:r>
          </w:p>
        </w:tc>
        <w:tc>
          <w:tcPr>
            <w:tcW w:w="160" w:type="dxa"/>
            <w:vAlign w:val="bottom"/>
          </w:tcPr>
          <w:p>
            <w:pPr>
              <w:spacing w:after="0"/>
              <w:rPr>
                <w:sz w:val="19"/>
                <w:szCs w:val="19"/>
                <w:color w:val="auto"/>
              </w:rPr>
            </w:pPr>
          </w:p>
        </w:tc>
        <w:tc>
          <w:tcPr>
            <w:tcW w:w="1840" w:type="dxa"/>
            <w:vAlign w:val="bottom"/>
            <w:tcBorders>
              <w:bottom w:val="single" w:sz="8" w:color="auto"/>
            </w:tcBorders>
            <w:gridSpan w:val="3"/>
          </w:tcPr>
          <w:p>
            <w:pPr>
              <w:jc w:val="right"/>
              <w:ind w:right="599"/>
              <w:spacing w:after="0"/>
              <w:rPr>
                <w:sz w:val="20"/>
                <w:szCs w:val="20"/>
                <w:color w:val="auto"/>
              </w:rPr>
            </w:pPr>
            <w:r>
              <w:rPr>
                <w:rFonts w:ascii="Arial" w:cs="Arial" w:eastAsia="Arial" w:hAnsi="Arial"/>
                <w:sz w:val="16"/>
                <w:szCs w:val="16"/>
                <w:b w:val="1"/>
                <w:bCs w:val="1"/>
                <w:color w:val="auto"/>
              </w:rPr>
              <w:t>Second</w:t>
            </w:r>
          </w:p>
        </w:tc>
        <w:tc>
          <w:tcPr>
            <w:tcW w:w="160" w:type="dxa"/>
            <w:vAlign w:val="bottom"/>
          </w:tcPr>
          <w:p>
            <w:pPr>
              <w:spacing w:after="0"/>
              <w:rPr>
                <w:sz w:val="19"/>
                <w:szCs w:val="19"/>
                <w:color w:val="auto"/>
              </w:rPr>
            </w:pPr>
          </w:p>
        </w:tc>
        <w:tc>
          <w:tcPr>
            <w:tcW w:w="1840" w:type="dxa"/>
            <w:vAlign w:val="bottom"/>
            <w:tcBorders>
              <w:bottom w:val="single" w:sz="8" w:color="auto"/>
            </w:tcBorders>
            <w:gridSpan w:val="3"/>
          </w:tcPr>
          <w:p>
            <w:pPr>
              <w:jc w:val="right"/>
              <w:ind w:right="639"/>
              <w:spacing w:after="0"/>
              <w:rPr>
                <w:sz w:val="20"/>
                <w:szCs w:val="20"/>
                <w:color w:val="auto"/>
              </w:rPr>
            </w:pPr>
            <w:r>
              <w:rPr>
                <w:rFonts w:ascii="Arial" w:cs="Arial" w:eastAsia="Arial" w:hAnsi="Arial"/>
                <w:sz w:val="16"/>
                <w:szCs w:val="16"/>
                <w:b w:val="1"/>
                <w:bCs w:val="1"/>
                <w:color w:val="auto"/>
              </w:rPr>
              <w:t>Third</w:t>
            </w:r>
          </w:p>
        </w:tc>
        <w:tc>
          <w:tcPr>
            <w:tcW w:w="160" w:type="dxa"/>
            <w:vAlign w:val="bottom"/>
          </w:tcPr>
          <w:p>
            <w:pPr>
              <w:spacing w:after="0"/>
              <w:rPr>
                <w:sz w:val="19"/>
                <w:szCs w:val="19"/>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Fourth</w:t>
            </w:r>
          </w:p>
        </w:tc>
        <w:tc>
          <w:tcPr>
            <w:tcW w:w="620" w:type="dxa"/>
            <w:vAlign w:val="bottom"/>
            <w:tcBorders>
              <w:bottom w:val="single" w:sz="8" w:color="auto"/>
            </w:tcBorders>
          </w:tcPr>
          <w:p>
            <w:pPr>
              <w:spacing w:after="0"/>
              <w:rPr>
                <w:sz w:val="19"/>
                <w:szCs w:val="19"/>
                <w:color w:val="auto"/>
              </w:rPr>
            </w:pPr>
          </w:p>
        </w:tc>
      </w:tr>
      <w:tr>
        <w:trPr>
          <w:trHeight w:val="209"/>
        </w:trPr>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159"/>
              <w:spacing w:after="0"/>
              <w:rPr>
                <w:sz w:val="20"/>
                <w:szCs w:val="20"/>
                <w:color w:val="auto"/>
              </w:rPr>
            </w:pPr>
            <w:r>
              <w:rPr>
                <w:rFonts w:ascii="Arial" w:cs="Arial" w:eastAsia="Arial" w:hAnsi="Arial"/>
                <w:sz w:val="16"/>
                <w:szCs w:val="16"/>
                <w:b w:val="1"/>
                <w:bCs w:val="1"/>
                <w:color w:val="auto"/>
              </w:rPr>
              <w:t>2020</w:t>
            </w:r>
          </w:p>
        </w:tc>
        <w:tc>
          <w:tcPr>
            <w:tcW w:w="1000" w:type="dxa"/>
            <w:vAlign w:val="bottom"/>
            <w:gridSpan w:val="2"/>
          </w:tcPr>
          <w:p>
            <w:pPr>
              <w:jc w:val="right"/>
              <w:ind w:right="179"/>
              <w:spacing w:after="0"/>
              <w:rPr>
                <w:sz w:val="20"/>
                <w:szCs w:val="20"/>
                <w:color w:val="auto"/>
              </w:rPr>
            </w:pPr>
            <w:r>
              <w:rPr>
                <w:rFonts w:ascii="Arial" w:cs="Arial" w:eastAsia="Arial" w:hAnsi="Arial"/>
                <w:sz w:val="16"/>
                <w:szCs w:val="16"/>
                <w:b w:val="1"/>
                <w:bCs w:val="1"/>
                <w:color w:val="auto"/>
              </w:rPr>
              <w:t>2019</w:t>
            </w:r>
          </w:p>
        </w:tc>
        <w:tc>
          <w:tcPr>
            <w:tcW w:w="160" w:type="dxa"/>
            <w:vAlign w:val="bottom"/>
          </w:tcPr>
          <w:p>
            <w:pPr>
              <w:spacing w:after="0"/>
              <w:rPr>
                <w:sz w:val="18"/>
                <w:szCs w:val="18"/>
                <w:color w:val="auto"/>
              </w:rPr>
            </w:pPr>
          </w:p>
        </w:tc>
        <w:tc>
          <w:tcPr>
            <w:tcW w:w="840" w:type="dxa"/>
            <w:vAlign w:val="bottom"/>
          </w:tcPr>
          <w:p>
            <w:pPr>
              <w:jc w:val="right"/>
              <w:ind w:right="179"/>
              <w:spacing w:after="0"/>
              <w:rPr>
                <w:sz w:val="20"/>
                <w:szCs w:val="20"/>
                <w:color w:val="auto"/>
              </w:rPr>
            </w:pPr>
            <w:r>
              <w:rPr>
                <w:rFonts w:ascii="Arial" w:cs="Arial" w:eastAsia="Arial" w:hAnsi="Arial"/>
                <w:sz w:val="16"/>
                <w:szCs w:val="16"/>
                <w:b w:val="1"/>
                <w:bCs w:val="1"/>
                <w:color w:val="auto"/>
              </w:rPr>
              <w:t>2020</w:t>
            </w:r>
          </w:p>
        </w:tc>
        <w:tc>
          <w:tcPr>
            <w:tcW w:w="1000" w:type="dxa"/>
            <w:vAlign w:val="bottom"/>
            <w:gridSpan w:val="2"/>
          </w:tcPr>
          <w:p>
            <w:pPr>
              <w:jc w:val="right"/>
              <w:ind w:right="179"/>
              <w:spacing w:after="0"/>
              <w:rPr>
                <w:sz w:val="20"/>
                <w:szCs w:val="20"/>
                <w:color w:val="auto"/>
              </w:rPr>
            </w:pPr>
            <w:r>
              <w:rPr>
                <w:rFonts w:ascii="Arial" w:cs="Arial" w:eastAsia="Arial" w:hAnsi="Arial"/>
                <w:sz w:val="16"/>
                <w:szCs w:val="16"/>
                <w:b w:val="1"/>
                <w:bCs w:val="1"/>
                <w:color w:val="auto"/>
              </w:rPr>
              <w:t>2019</w:t>
            </w:r>
          </w:p>
        </w:tc>
        <w:tc>
          <w:tcPr>
            <w:tcW w:w="160" w:type="dxa"/>
            <w:vAlign w:val="bottom"/>
          </w:tcPr>
          <w:p>
            <w:pPr>
              <w:spacing w:after="0"/>
              <w:rPr>
                <w:sz w:val="18"/>
                <w:szCs w:val="18"/>
                <w:color w:val="auto"/>
              </w:rPr>
            </w:pPr>
          </w:p>
        </w:tc>
        <w:tc>
          <w:tcPr>
            <w:tcW w:w="840" w:type="dxa"/>
            <w:vAlign w:val="bottom"/>
          </w:tcPr>
          <w:p>
            <w:pPr>
              <w:jc w:val="right"/>
              <w:ind w:right="179"/>
              <w:spacing w:after="0"/>
              <w:rPr>
                <w:sz w:val="20"/>
                <w:szCs w:val="20"/>
                <w:color w:val="auto"/>
              </w:rPr>
            </w:pPr>
            <w:r>
              <w:rPr>
                <w:rFonts w:ascii="Arial" w:cs="Arial" w:eastAsia="Arial" w:hAnsi="Arial"/>
                <w:sz w:val="16"/>
                <w:szCs w:val="16"/>
                <w:b w:val="1"/>
                <w:bCs w:val="1"/>
                <w:color w:val="auto"/>
              </w:rPr>
              <w:t>2020</w:t>
            </w:r>
          </w:p>
        </w:tc>
        <w:tc>
          <w:tcPr>
            <w:tcW w:w="1000" w:type="dxa"/>
            <w:vAlign w:val="bottom"/>
            <w:gridSpan w:val="2"/>
          </w:tcPr>
          <w:p>
            <w:pPr>
              <w:jc w:val="right"/>
              <w:ind w:right="179"/>
              <w:spacing w:after="0"/>
              <w:rPr>
                <w:sz w:val="20"/>
                <w:szCs w:val="20"/>
                <w:color w:val="auto"/>
              </w:rPr>
            </w:pPr>
            <w:r>
              <w:rPr>
                <w:rFonts w:ascii="Arial" w:cs="Arial" w:eastAsia="Arial" w:hAnsi="Arial"/>
                <w:sz w:val="16"/>
                <w:szCs w:val="16"/>
                <w:b w:val="1"/>
                <w:bCs w:val="1"/>
                <w:color w:val="auto"/>
              </w:rPr>
              <w:t>2019</w:t>
            </w:r>
          </w:p>
        </w:tc>
        <w:tc>
          <w:tcPr>
            <w:tcW w:w="160" w:type="dxa"/>
            <w:vAlign w:val="bottom"/>
          </w:tcPr>
          <w:p>
            <w:pPr>
              <w:spacing w:after="0"/>
              <w:rPr>
                <w:sz w:val="18"/>
                <w:szCs w:val="18"/>
                <w:color w:val="auto"/>
              </w:rPr>
            </w:pPr>
          </w:p>
        </w:tc>
        <w:tc>
          <w:tcPr>
            <w:tcW w:w="860" w:type="dxa"/>
            <w:vAlign w:val="bottom"/>
          </w:tcPr>
          <w:p>
            <w:pPr>
              <w:jc w:val="right"/>
              <w:ind w:right="199"/>
              <w:spacing w:after="0"/>
              <w:rPr>
                <w:sz w:val="20"/>
                <w:szCs w:val="20"/>
                <w:color w:val="auto"/>
              </w:rPr>
            </w:pPr>
            <w:r>
              <w:rPr>
                <w:rFonts w:ascii="Arial" w:cs="Arial" w:eastAsia="Arial" w:hAnsi="Arial"/>
                <w:sz w:val="16"/>
                <w:szCs w:val="16"/>
                <w:b w:val="1"/>
                <w:bCs w:val="1"/>
                <w:color w:val="auto"/>
              </w:rPr>
              <w:t>2020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ind w:right="139"/>
              <w:spacing w:after="0"/>
              <w:rPr>
                <w:sz w:val="20"/>
                <w:szCs w:val="20"/>
                <w:color w:val="auto"/>
              </w:rPr>
            </w:pPr>
            <w:r>
              <w:rPr>
                <w:rFonts w:ascii="Arial" w:cs="Arial" w:eastAsia="Arial" w:hAnsi="Arial"/>
                <w:sz w:val="16"/>
                <w:szCs w:val="16"/>
                <w:b w:val="1"/>
                <w:bCs w:val="1"/>
                <w:color w:val="auto"/>
              </w:rPr>
              <w:t>2019</w:t>
            </w:r>
          </w:p>
        </w:tc>
      </w:tr>
      <w:tr>
        <w:trPr>
          <w:trHeight w:val="203"/>
        </w:trPr>
        <w:tc>
          <w:tcPr>
            <w:tcW w:w="1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sales</w:t>
            </w:r>
          </w:p>
        </w:tc>
        <w:tc>
          <w:tcPr>
            <w:tcW w:w="1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7"/>
              </w:rPr>
              <w:t>$ 1,032,062</w:t>
            </w:r>
          </w:p>
        </w:tc>
        <w:tc>
          <w:tcPr>
            <w:tcW w:w="1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$ 1,015,125</w:t>
            </w:r>
          </w:p>
        </w:tc>
        <w:tc>
          <w:tcPr>
            <w:tcW w:w="1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$ 1,242,001</w:t>
            </w:r>
          </w:p>
        </w:tc>
        <w:tc>
          <w:tcPr>
            <w:tcW w:w="1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$ 1,239,817</w:t>
            </w:r>
          </w:p>
        </w:tc>
        <w:tc>
          <w:tcPr>
            <w:tcW w:w="1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$ 1,486,227</w:t>
            </w:r>
          </w:p>
        </w:tc>
        <w:tc>
          <w:tcPr>
            <w:tcW w:w="1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$ 1,163,026</w:t>
            </w:r>
          </w:p>
        </w:tc>
        <w:tc>
          <w:tcPr>
            <w:tcW w:w="1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$ 1,393,708</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998,041</w:t>
            </w:r>
          </w:p>
        </w:tc>
      </w:tr>
      <w:tr>
        <w:trPr>
          <w:trHeight w:val="203"/>
        </w:trPr>
        <w:tc>
          <w:tcPr>
            <w:tcW w:w="1060" w:type="dxa"/>
            <w:vAlign w:val="bottom"/>
          </w:tcPr>
          <w:p>
            <w:pPr>
              <w:spacing w:after="0"/>
              <w:rPr>
                <w:sz w:val="20"/>
                <w:szCs w:val="20"/>
                <w:color w:val="auto"/>
              </w:rPr>
            </w:pPr>
            <w:r>
              <w:rPr>
                <w:rFonts w:ascii="Arial" w:cs="Arial" w:eastAsia="Arial" w:hAnsi="Arial"/>
                <w:sz w:val="16"/>
                <w:szCs w:val="16"/>
                <w:color w:val="auto"/>
              </w:rPr>
              <w:t>Gross profit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167,236</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154,267</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204,931</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186,726</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241,074</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187,270</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187,055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w w:val="93"/>
              </w:rPr>
              <w:t>157,255</w:t>
            </w:r>
          </w:p>
        </w:tc>
      </w:tr>
      <w:tr>
        <w:trPr>
          <w:trHeight w:val="203"/>
        </w:trPr>
        <w:tc>
          <w:tcPr>
            <w:tcW w:w="1060" w:type="dxa"/>
            <w:vAlign w:val="bottom"/>
            <w:shd w:val="clear" w:color="auto" w:fill="CCEEFF"/>
          </w:tcPr>
          <w:p>
            <w:pPr>
              <w:spacing w:after="0"/>
              <w:rPr>
                <w:sz w:val="20"/>
                <w:szCs w:val="20"/>
                <w:color w:val="auto"/>
              </w:rPr>
            </w:pPr>
            <w:r>
              <w:rPr>
                <w:rFonts w:ascii="Arial" w:cs="Arial" w:eastAsia="Arial" w:hAnsi="Arial"/>
                <w:sz w:val="16"/>
                <w:szCs w:val="16"/>
                <w:color w:val="auto"/>
              </w:rPr>
              <w:t>Net earnings</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40,570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36,002</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69,694</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55,145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78,861</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52,581</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64,757</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38,676</w:t>
            </w:r>
          </w:p>
        </w:tc>
      </w:tr>
      <w:tr>
        <w:trPr>
          <w:trHeight w:val="193"/>
        </w:trPr>
        <w:tc>
          <w:tcPr>
            <w:tcW w:w="1060" w:type="dxa"/>
            <w:vAlign w:val="bottom"/>
          </w:tcPr>
          <w:p>
            <w:pPr>
              <w:spacing w:after="0"/>
              <w:rPr>
                <w:sz w:val="20"/>
                <w:szCs w:val="20"/>
                <w:color w:val="auto"/>
              </w:rPr>
            </w:pPr>
            <w:r>
              <w:rPr>
                <w:rFonts w:ascii="Arial" w:cs="Arial" w:eastAsia="Arial" w:hAnsi="Arial"/>
                <w:sz w:val="16"/>
                <w:szCs w:val="16"/>
                <w:color w:val="auto"/>
              </w:rPr>
              <w:t>Net earnings</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203"/>
        </w:trPr>
        <w:tc>
          <w:tcPr>
            <w:tcW w:w="1060" w:type="dxa"/>
            <w:vAlign w:val="bottom"/>
          </w:tcPr>
          <w:p>
            <w:pPr>
              <w:spacing w:after="0"/>
              <w:rPr>
                <w:sz w:val="20"/>
                <w:szCs w:val="20"/>
                <w:color w:val="auto"/>
              </w:rPr>
            </w:pPr>
            <w:r>
              <w:rPr>
                <w:rFonts w:ascii="Arial" w:cs="Arial" w:eastAsia="Arial" w:hAnsi="Arial"/>
                <w:sz w:val="16"/>
                <w:szCs w:val="16"/>
                <w:color w:val="auto"/>
              </w:rPr>
              <w:t>attributable to</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1060" w:type="dxa"/>
            <w:vAlign w:val="bottom"/>
          </w:tcPr>
          <w:p>
            <w:pPr>
              <w:spacing w:after="0"/>
              <w:rPr>
                <w:sz w:val="20"/>
                <w:szCs w:val="20"/>
                <w:color w:val="auto"/>
              </w:rPr>
            </w:pPr>
            <w:r>
              <w:rPr>
                <w:rFonts w:ascii="Arial" w:cs="Arial" w:eastAsia="Arial" w:hAnsi="Arial"/>
                <w:sz w:val="16"/>
                <w:szCs w:val="16"/>
                <w:color w:val="auto"/>
              </w:rPr>
              <w:t>controlling</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6"/>
        </w:trPr>
        <w:tc>
          <w:tcPr>
            <w:tcW w:w="1060" w:type="dxa"/>
            <w:vAlign w:val="bottom"/>
          </w:tcPr>
          <w:p>
            <w:pPr>
              <w:spacing w:after="0"/>
              <w:rPr>
                <w:sz w:val="20"/>
                <w:szCs w:val="20"/>
                <w:color w:val="auto"/>
              </w:rPr>
            </w:pPr>
            <w:r>
              <w:rPr>
                <w:rFonts w:ascii="Arial" w:cs="Arial" w:eastAsia="Arial" w:hAnsi="Arial"/>
                <w:sz w:val="16"/>
                <w:szCs w:val="16"/>
                <w:color w:val="auto"/>
              </w:rPr>
              <w:t>interest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40,159</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35,540</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66,463</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54,515</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77,204</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51,859</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62,952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37,736</w:t>
            </w:r>
          </w:p>
        </w:tc>
      </w:tr>
      <w:tr>
        <w:trPr>
          <w:trHeight w:val="199"/>
        </w:trPr>
        <w:tc>
          <w:tcPr>
            <w:tcW w:w="1060" w:type="dxa"/>
            <w:vAlign w:val="bottom"/>
            <w:shd w:val="clear" w:color="auto" w:fill="CCEEFF"/>
          </w:tcPr>
          <w:p>
            <w:pPr>
              <w:spacing w:after="0"/>
              <w:rPr>
                <w:sz w:val="20"/>
                <w:szCs w:val="20"/>
                <w:color w:val="auto"/>
              </w:rPr>
            </w:pPr>
            <w:r>
              <w:rPr>
                <w:rFonts w:ascii="Arial" w:cs="Arial" w:eastAsia="Arial" w:hAnsi="Arial"/>
                <w:sz w:val="16"/>
                <w:szCs w:val="16"/>
                <w:color w:val="auto"/>
                <w:w w:val="99"/>
              </w:rPr>
              <w:t>Basic earnings</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r>
      <w:tr>
        <w:trPr>
          <w:trHeight w:val="212"/>
        </w:trPr>
        <w:tc>
          <w:tcPr>
            <w:tcW w:w="1060" w:type="dxa"/>
            <w:vAlign w:val="bottom"/>
            <w:shd w:val="clear" w:color="auto" w:fill="CCEEFF"/>
          </w:tcPr>
          <w:p>
            <w:pPr>
              <w:spacing w:after="0"/>
              <w:rPr>
                <w:sz w:val="20"/>
                <w:szCs w:val="20"/>
                <w:color w:val="auto"/>
              </w:rPr>
            </w:pPr>
            <w:r>
              <w:rPr>
                <w:rFonts w:ascii="Arial" w:cs="Arial" w:eastAsia="Arial" w:hAnsi="Arial"/>
                <w:sz w:val="16"/>
                <w:szCs w:val="16"/>
                <w:color w:val="auto"/>
              </w:rPr>
              <w:t>per share</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0.65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0.58</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0.88</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0.84</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0.61</w:t>
            </w:r>
          </w:p>
        </w:tc>
      </w:tr>
      <w:tr>
        <w:trPr>
          <w:trHeight w:val="193"/>
        </w:trPr>
        <w:tc>
          <w:tcPr>
            <w:tcW w:w="1060" w:type="dxa"/>
            <w:vAlign w:val="bottom"/>
          </w:tcPr>
          <w:p>
            <w:pPr>
              <w:spacing w:after="0"/>
              <w:rPr>
                <w:sz w:val="20"/>
                <w:szCs w:val="20"/>
                <w:color w:val="auto"/>
              </w:rPr>
            </w:pPr>
            <w:r>
              <w:rPr>
                <w:rFonts w:ascii="Arial" w:cs="Arial" w:eastAsia="Arial" w:hAnsi="Arial"/>
                <w:sz w:val="16"/>
                <w:szCs w:val="16"/>
                <w:color w:val="auto"/>
              </w:rPr>
              <w:t>Diluted</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203"/>
        </w:trPr>
        <w:tc>
          <w:tcPr>
            <w:tcW w:w="1060" w:type="dxa"/>
            <w:vAlign w:val="bottom"/>
          </w:tcPr>
          <w:p>
            <w:pPr>
              <w:spacing w:after="0"/>
              <w:rPr>
                <w:sz w:val="20"/>
                <w:szCs w:val="20"/>
                <w:color w:val="auto"/>
              </w:rPr>
            </w:pPr>
            <w:r>
              <w:rPr>
                <w:rFonts w:ascii="Arial" w:cs="Arial" w:eastAsia="Arial" w:hAnsi="Arial"/>
                <w:sz w:val="16"/>
                <w:szCs w:val="16"/>
                <w:color w:val="auto"/>
              </w:rPr>
              <w:t>earnings per</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6"/>
        </w:trPr>
        <w:tc>
          <w:tcPr>
            <w:tcW w:w="1060" w:type="dxa"/>
            <w:vAlign w:val="bottom"/>
          </w:tcPr>
          <w:p>
            <w:pPr>
              <w:spacing w:after="0"/>
              <w:rPr>
                <w:sz w:val="20"/>
                <w:szCs w:val="20"/>
                <w:color w:val="auto"/>
              </w:rPr>
            </w:pPr>
            <w:r>
              <w:rPr>
                <w:rFonts w:ascii="Arial" w:cs="Arial" w:eastAsia="Arial" w:hAnsi="Arial"/>
                <w:sz w:val="16"/>
                <w:szCs w:val="16"/>
                <w:color w:val="auto"/>
              </w:rPr>
              <w:t>share</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0.65</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0.58</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1.08</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0.88</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1.25</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0.84</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1.02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0.61</w:t>
            </w:r>
          </w:p>
        </w:tc>
      </w:tr>
    </w:tbl>
    <w:p>
      <w:pPr>
        <w:spacing w:after="0" w:line="217" w:lineRule="exact"/>
        <w:rPr>
          <w:sz w:val="20"/>
          <w:szCs w:val="20"/>
          <w:color w:val="auto"/>
        </w:rPr>
      </w:pPr>
    </w:p>
    <w:p>
      <w:pPr>
        <w:ind w:left="700" w:hanging="650"/>
        <w:spacing w:after="0"/>
        <w:tabs>
          <w:tab w:leader="none" w:pos="70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SUBSEQUENT EVENTS</w:t>
      </w:r>
    </w:p>
    <w:p>
      <w:pPr>
        <w:spacing w:after="0" w:line="229" w:lineRule="exact"/>
        <w:rPr>
          <w:sz w:val="20"/>
          <w:szCs w:val="20"/>
          <w:color w:val="auto"/>
        </w:rPr>
      </w:pPr>
    </w:p>
    <w:p>
      <w:pPr>
        <w:ind w:left="60" w:right="79" w:firstLine="648"/>
        <w:spacing w:after="0" w:line="289" w:lineRule="auto"/>
        <w:rPr>
          <w:sz w:val="20"/>
          <w:szCs w:val="20"/>
          <w:color w:val="auto"/>
        </w:rPr>
      </w:pPr>
      <w:r>
        <w:rPr>
          <w:rFonts w:ascii="Arial" w:cs="Arial" w:eastAsia="Arial" w:hAnsi="Arial"/>
          <w:sz w:val="16"/>
          <w:szCs w:val="16"/>
          <w:color w:val="auto"/>
        </w:rPr>
        <w:t>On December 28, 2020, we closed on an agreement to purchase 100 percent of the equity of PalletOne, Inc., for approximately $232 million plus $21 million for certain investments in capital projects. The agreement also incorporates a purchase price adjustment based on the actual amount of net working capital at close compared to a pre-determined target. Based in Bartow, Florida, PalletOne is a leading manufacturer of new pallets in the U.S., with 17 pallet manufacturing facilities in the southern and eastern regions of the country. The company also supplies other specialized industrial packaging, including custom bins and crates, and its Sunbelt Forest Products subsidiary operates five pressure-treating facilities in the Southeastern U.S. At this time the net tangible assets and intangible assets acquired cannot be disclosed as these are pending final valuations. Additionally, initial estimates have been made for PalletOne's identifiable intangible and goodwill allocations and deferred tax, however finalization will be completed in 2021.</w:t>
      </w:r>
    </w:p>
    <w:p>
      <w:pPr>
        <w:spacing w:after="0" w:line="166" w:lineRule="exact"/>
        <w:rPr>
          <w:sz w:val="20"/>
          <w:szCs w:val="20"/>
          <w:color w:val="auto"/>
        </w:rPr>
      </w:pPr>
    </w:p>
    <w:p>
      <w:pPr>
        <w:ind w:left="60" w:right="239" w:firstLine="648"/>
        <w:spacing w:after="0" w:line="277" w:lineRule="auto"/>
        <w:rPr>
          <w:sz w:val="20"/>
          <w:szCs w:val="20"/>
          <w:color w:val="auto"/>
        </w:rPr>
      </w:pPr>
      <w:r>
        <w:rPr>
          <w:rFonts w:ascii="Arial" w:cs="Arial" w:eastAsia="Arial" w:hAnsi="Arial"/>
          <w:sz w:val="18"/>
          <w:szCs w:val="18"/>
          <w:color w:val="auto"/>
        </w:rPr>
        <w:t>On February 18, 2021, our credit agreement was amended to increase the availability from $375 million to $550 million by exercising the accordion feature in the original agreement.</w:t>
      </w:r>
    </w:p>
    <w:p>
      <w:pPr>
        <w:spacing w:after="0" w:line="170"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On February 28, 2021, we closed on an agreement to purchase 100 percent of the equity of J.C. Gilmore Pty Ltd located in Australia for approximately $2.4 million. This transaction adds a wide portfolio of consumable packaging to certain industrial packaging products and expands the companies’ customer base throughout Australia. At this time the net tangible assets and intangible assets acquired cannot be disclosed as these are pending final valuations. Additionally, initial estimates have been made for J.C. Gilmore Pty Ltd 's identifiable intangible and goodwill allocations and deferred tax, however finalization will be completed in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6" w:name="page127"/>
    <w:bookmarkEnd w:id="1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MARKET INFORMATION FOR OUR COMMON STOCK</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common stock trades on The Nasdaq Stock Market (“NASDAQ”) under the symbol UFPI.</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STOCK PERFORMANCE GRAPH</w:t>
      </w:r>
    </w:p>
    <w:p>
      <w:pPr>
        <w:spacing w:after="0" w:line="229" w:lineRule="exact"/>
        <w:rPr>
          <w:sz w:val="20"/>
          <w:szCs w:val="20"/>
          <w:color w:val="auto"/>
        </w:rPr>
      </w:pPr>
    </w:p>
    <w:p>
      <w:pPr>
        <w:jc w:val="both"/>
        <w:ind w:left="60" w:right="79" w:firstLine="648"/>
        <w:spacing w:after="0" w:line="286" w:lineRule="auto"/>
        <w:rPr>
          <w:sz w:val="20"/>
          <w:szCs w:val="20"/>
          <w:color w:val="auto"/>
        </w:rPr>
      </w:pPr>
      <w:r>
        <w:rPr>
          <w:rFonts w:ascii="Arial" w:cs="Arial" w:eastAsia="Arial" w:hAnsi="Arial"/>
          <w:sz w:val="17"/>
          <w:szCs w:val="17"/>
          <w:color w:val="auto"/>
        </w:rPr>
        <w:t>The following graph depicts the cumulative total return on our common stock compared to the cumulative total return on the indices for The Nasdaq Stock Market (all U.S. companies) and an industry peer group we selected. The graph assumes an investment of $100 on December 26, 2015, and reinvestment of dividends in all cases.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114300</wp:posOffset>
            </wp:positionV>
            <wp:extent cx="5554980" cy="29489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4">
                      <a:extLst>
                        <a:ext uri="{28A0092B-C50C-407E-A947-70E740481C1C}"/>
                      </a:extLst>
                    </a:blip>
                    <a:srcRect/>
                    <a:stretch>
                      <a:fillRect/>
                    </a:stretch>
                  </pic:blipFill>
                  <pic:spPr bwMode="auto">
                    <a:xfrm>
                      <a:off x="0" y="0"/>
                      <a:ext cx="5554980" cy="2948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companies included in our self-determined industry peer group are as follows:</w:t>
      </w:r>
    </w:p>
    <w:p>
      <w:pPr>
        <w:sectPr>
          <w:pgSz w:w="11900" w:h="16838" w:orient="portrait"/>
          <w:cols w:equalWidth="0" w:num="1">
            <w:col w:w="9019"/>
          </w:cols>
          <w:pgMar w:left="1440" w:top="517" w:right="1440" w:bottom="1440" w:gutter="0" w:footer="0" w:header="0"/>
        </w:sectPr>
      </w:pPr>
    </w:p>
    <w:p>
      <w:pPr>
        <w:spacing w:after="0" w:line="239" w:lineRule="exact"/>
        <w:rPr>
          <w:sz w:val="20"/>
          <w:szCs w:val="20"/>
          <w:color w:val="auto"/>
        </w:rPr>
      </w:pPr>
    </w:p>
    <w:p>
      <w:pPr>
        <w:ind w:left="60"/>
        <w:spacing w:after="0"/>
        <w:rPr>
          <w:sz w:val="20"/>
          <w:szCs w:val="20"/>
          <w:color w:val="auto"/>
        </w:rPr>
      </w:pPr>
      <w:r>
        <w:rPr>
          <w:rFonts w:ascii="Arial" w:cs="Arial" w:eastAsia="Arial" w:hAnsi="Arial"/>
          <w:sz w:val="16"/>
          <w:szCs w:val="16"/>
          <w:color w:val="auto"/>
        </w:rPr>
        <w:t>American Woodmark Corporation</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Greif, Inc.</w:t>
      </w:r>
    </w:p>
    <w:p>
      <w:pPr>
        <w:spacing w:after="0" w:line="129" w:lineRule="exact"/>
        <w:rPr>
          <w:sz w:val="20"/>
          <w:szCs w:val="20"/>
          <w:color w:val="auto"/>
        </w:rPr>
      </w:pPr>
    </w:p>
    <w:p>
      <w:pPr>
        <w:sectPr>
          <w:pgSz w:w="11900" w:h="16838" w:orient="portrait"/>
          <w:cols w:equalWidth="0" w:num="2">
            <w:col w:w="3800" w:space="720"/>
            <w:col w:w="4499"/>
          </w:cols>
          <w:pgMar w:left="1440" w:top="517" w:right="1440" w:bottom="1440" w:gutter="0" w:footer="0" w:header="0"/>
          <w:type w:val="continuous"/>
        </w:sectPr>
      </w:pPr>
    </w:p>
    <w:p>
      <w:pPr>
        <w:ind w:left="60"/>
        <w:spacing w:after="0"/>
        <w:rPr>
          <w:sz w:val="20"/>
          <w:szCs w:val="20"/>
          <w:color w:val="auto"/>
        </w:rPr>
      </w:pPr>
      <w:r>
        <w:rPr>
          <w:rFonts w:ascii="Arial" w:cs="Arial" w:eastAsia="Arial" w:hAnsi="Arial"/>
          <w:sz w:val="17"/>
          <w:szCs w:val="17"/>
          <w:color w:val="auto"/>
        </w:rPr>
        <w:t>BlueLinx Holdings,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Louisiana-Pacific Corporation</w:t>
      </w:r>
    </w:p>
    <w:p>
      <w:pPr>
        <w:spacing w:after="0" w:line="140" w:lineRule="exact"/>
        <w:rPr>
          <w:sz w:val="20"/>
          <w:szCs w:val="20"/>
          <w:color w:val="auto"/>
        </w:rPr>
      </w:pPr>
    </w:p>
    <w:p>
      <w:pPr>
        <w:sectPr>
          <w:pgSz w:w="11900" w:h="16838" w:orient="portrait"/>
          <w:cols w:equalWidth="0" w:num="2">
            <w:col w:w="3800" w:space="720"/>
            <w:col w:w="4499"/>
          </w:cols>
          <w:pgMar w:left="1440" w:top="517" w:right="1440" w:bottom="1440" w:gutter="0" w:footer="0" w:header="0"/>
          <w:type w:val="continuous"/>
        </w:sectPr>
      </w:pPr>
    </w:p>
    <w:p>
      <w:pPr>
        <w:ind w:left="60"/>
        <w:spacing w:after="0"/>
        <w:rPr>
          <w:sz w:val="20"/>
          <w:szCs w:val="20"/>
          <w:color w:val="auto"/>
        </w:rPr>
      </w:pPr>
      <w:r>
        <w:rPr>
          <w:rFonts w:ascii="Arial" w:cs="Arial" w:eastAsia="Arial" w:hAnsi="Arial"/>
          <w:sz w:val="16"/>
          <w:szCs w:val="16"/>
          <w:color w:val="auto"/>
        </w:rPr>
        <w:t>BMC Stock Holdings,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Masco Corporation</w:t>
      </w:r>
    </w:p>
    <w:p>
      <w:pPr>
        <w:spacing w:after="0" w:line="140" w:lineRule="exact"/>
        <w:rPr>
          <w:sz w:val="20"/>
          <w:szCs w:val="20"/>
          <w:color w:val="auto"/>
        </w:rPr>
      </w:pPr>
    </w:p>
    <w:p>
      <w:pPr>
        <w:sectPr>
          <w:pgSz w:w="11900" w:h="16838" w:orient="portrait"/>
          <w:cols w:equalWidth="0" w:num="2">
            <w:col w:w="3800" w:space="720"/>
            <w:col w:w="4499"/>
          </w:cols>
          <w:pgMar w:left="1440" w:top="517" w:right="1440" w:bottom="1440" w:gutter="0" w:footer="0" w:header="0"/>
          <w:type w:val="continuous"/>
        </w:sectPr>
      </w:pPr>
    </w:p>
    <w:p>
      <w:pPr>
        <w:ind w:left="60"/>
        <w:spacing w:after="0"/>
        <w:rPr>
          <w:sz w:val="20"/>
          <w:szCs w:val="20"/>
          <w:color w:val="auto"/>
        </w:rPr>
      </w:pPr>
      <w:r>
        <w:rPr>
          <w:rFonts w:ascii="Arial" w:cs="Arial" w:eastAsia="Arial" w:hAnsi="Arial"/>
          <w:sz w:val="15"/>
          <w:szCs w:val="15"/>
          <w:color w:val="auto"/>
        </w:rPr>
        <w:t>Boise Cascade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Simpson Manufacturing Company, Inc.</w:t>
      </w:r>
    </w:p>
    <w:p>
      <w:pPr>
        <w:spacing w:after="0" w:line="140" w:lineRule="exact"/>
        <w:rPr>
          <w:sz w:val="20"/>
          <w:szCs w:val="20"/>
          <w:color w:val="auto"/>
        </w:rPr>
      </w:pPr>
    </w:p>
    <w:p>
      <w:pPr>
        <w:sectPr>
          <w:pgSz w:w="11900" w:h="16838" w:orient="portrait"/>
          <w:cols w:equalWidth="0" w:num="2">
            <w:col w:w="3800" w:space="720"/>
            <w:col w:w="4499"/>
          </w:cols>
          <w:pgMar w:left="1440" w:top="517" w:right="1440" w:bottom="1440" w:gutter="0" w:footer="0" w:header="0"/>
          <w:type w:val="continuous"/>
        </w:sectPr>
      </w:pPr>
    </w:p>
    <w:p>
      <w:pPr>
        <w:ind w:left="60"/>
        <w:spacing w:after="0"/>
        <w:rPr>
          <w:sz w:val="20"/>
          <w:szCs w:val="20"/>
          <w:color w:val="auto"/>
        </w:rPr>
      </w:pPr>
      <w:r>
        <w:rPr>
          <w:rFonts w:ascii="Arial" w:cs="Arial" w:eastAsia="Arial" w:hAnsi="Arial"/>
          <w:sz w:val="16"/>
          <w:szCs w:val="16"/>
          <w:color w:val="auto"/>
        </w:rPr>
        <w:t>Builders FirstSource, Inc.</w:t>
      </w:r>
    </w:p>
    <w:p>
      <w:pPr>
        <w:spacing w:after="0" w:line="20" w:lineRule="exact"/>
        <w:rPr>
          <w:sz w:val="20"/>
          <w:szCs w:val="20"/>
          <w:color w:val="auto"/>
        </w:rPr>
      </w:pPr>
      <w:r>
        <w:rPr>
          <w:sz w:val="20"/>
          <w:szCs w:val="20"/>
          <w:color w:val="auto"/>
        </w:rPr>
        <w:br w:type="column"/>
      </w:r>
    </w:p>
    <w:p>
      <w:pPr>
        <w:jc w:val="center"/>
        <w:ind w:right="2539"/>
        <w:spacing w:after="0"/>
        <w:rPr>
          <w:sz w:val="20"/>
          <w:szCs w:val="20"/>
          <w:color w:val="auto"/>
        </w:rPr>
      </w:pPr>
      <w:r>
        <w:rPr>
          <w:rFonts w:ascii="Arial" w:cs="Arial" w:eastAsia="Arial" w:hAnsi="Arial"/>
          <w:sz w:val="16"/>
          <w:szCs w:val="16"/>
          <w:color w:val="auto"/>
        </w:rPr>
        <w:t>Sonoco Products Company</w:t>
      </w:r>
    </w:p>
    <w:p>
      <w:pPr>
        <w:spacing w:after="0" w:line="140" w:lineRule="exact"/>
        <w:rPr>
          <w:sz w:val="20"/>
          <w:szCs w:val="20"/>
          <w:color w:val="auto"/>
        </w:rPr>
      </w:pPr>
    </w:p>
    <w:p>
      <w:pPr>
        <w:sectPr>
          <w:pgSz w:w="11900" w:h="16838" w:orient="portrait"/>
          <w:cols w:equalWidth="0" w:num="2">
            <w:col w:w="3800" w:space="720"/>
            <w:col w:w="4499"/>
          </w:cols>
          <w:pgMar w:left="1440" w:top="517" w:right="1440" w:bottom="1440" w:gutter="0" w:footer="0" w:header="0"/>
          <w:type w:val="continuous"/>
        </w:sectPr>
      </w:pPr>
    </w:p>
    <w:p>
      <w:pPr>
        <w:ind w:left="60"/>
        <w:spacing w:after="0"/>
        <w:rPr>
          <w:sz w:val="20"/>
          <w:szCs w:val="20"/>
          <w:color w:val="auto"/>
        </w:rPr>
      </w:pPr>
      <w:r>
        <w:rPr>
          <w:rFonts w:ascii="Arial" w:cs="Arial" w:eastAsia="Arial" w:hAnsi="Arial"/>
          <w:sz w:val="16"/>
          <w:szCs w:val="16"/>
          <w:color w:val="auto"/>
        </w:rPr>
        <w:t>Cornerstone Building Brands,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Trex Company, Inc.</w:t>
      </w:r>
    </w:p>
    <w:p>
      <w:pPr>
        <w:spacing w:after="0" w:line="140" w:lineRule="exact"/>
        <w:rPr>
          <w:sz w:val="20"/>
          <w:szCs w:val="20"/>
          <w:color w:val="auto"/>
        </w:rPr>
      </w:pPr>
    </w:p>
    <w:p>
      <w:pPr>
        <w:sectPr>
          <w:pgSz w:w="11900" w:h="16838" w:orient="portrait"/>
          <w:cols w:equalWidth="0" w:num="2">
            <w:col w:w="3800" w:space="720"/>
            <w:col w:w="4499"/>
          </w:cols>
          <w:pgMar w:left="1440" w:top="517" w:right="1440" w:bottom="1440" w:gutter="0" w:footer="0" w:header="0"/>
          <w:type w:val="continuous"/>
        </w:sectPr>
      </w:pPr>
    </w:p>
    <w:p>
      <w:pPr>
        <w:ind w:left="60"/>
        <w:spacing w:after="0"/>
        <w:rPr>
          <w:sz w:val="20"/>
          <w:szCs w:val="20"/>
          <w:color w:val="auto"/>
        </w:rPr>
      </w:pPr>
      <w:r>
        <w:rPr>
          <w:rFonts w:ascii="Arial" w:cs="Arial" w:eastAsia="Arial" w:hAnsi="Arial"/>
          <w:sz w:val="16"/>
          <w:szCs w:val="16"/>
          <w:color w:val="auto"/>
        </w:rPr>
        <w:t>Gibraltar Industries,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WestRock Company</w:t>
      </w:r>
    </w:p>
    <w:p>
      <w:pPr>
        <w:spacing w:after="0" w:line="200" w:lineRule="exact"/>
        <w:rPr>
          <w:sz w:val="20"/>
          <w:szCs w:val="20"/>
          <w:color w:val="auto"/>
        </w:rPr>
      </w:pPr>
    </w:p>
    <w:p>
      <w:pPr>
        <w:sectPr>
          <w:pgSz w:w="11900" w:h="16838" w:orient="portrait"/>
          <w:cols w:equalWidth="0" w:num="2">
            <w:col w:w="3800" w:space="720"/>
            <w:col w:w="4499"/>
          </w:cols>
          <w:pgMar w:left="1440" w:top="517" w:right="1440" w:bottom="1440" w:gutter="0" w:footer="0" w:header="0"/>
          <w:type w:val="continuous"/>
        </w:sectPr>
      </w:pPr>
    </w:p>
    <w:p>
      <w:pPr>
        <w:spacing w:after="0" w:line="156"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The returns of each company included in the self-determined peer group are weighted according to each respective company’s stock market capitalization at the beginning of each period presented in the graph above. In determining the members of our peer group, we considered companies who selected UFPI as a member of their peer group, and looked for similarly sized companies or companies that are a good fit with the markets we serve.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7" w:name="page128"/>
    <w:bookmarkEnd w:id="1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Directors and Executive Officers</w:t>
      </w:r>
    </w:p>
    <w:p>
      <w:pPr>
        <w:sectPr>
          <w:pgSz w:w="11900" w:h="16838" w:orient="portrait"/>
          <w:cols w:equalWidth="0" w:num="1">
            <w:col w:w="9019"/>
          </w:cols>
          <w:pgMar w:left="1440" w:top="517" w:right="1440" w:bottom="1440" w:gutter="0" w:footer="0" w:header="0"/>
        </w:sectPr>
      </w:pPr>
    </w:p>
    <w:p>
      <w:pPr>
        <w:spacing w:after="0" w:line="262"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BOARD OF DIRECTORS</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jc w:val="center"/>
        <w:ind w:right="2519"/>
        <w:spacing w:after="0"/>
        <w:rPr>
          <w:sz w:val="20"/>
          <w:szCs w:val="20"/>
          <w:color w:val="auto"/>
        </w:rPr>
      </w:pPr>
      <w:r>
        <w:rPr>
          <w:rFonts w:ascii="Arial" w:cs="Arial" w:eastAsia="Arial" w:hAnsi="Arial"/>
          <w:sz w:val="17"/>
          <w:szCs w:val="17"/>
          <w:b w:val="1"/>
          <w:bCs w:val="1"/>
          <w:color w:val="auto"/>
        </w:rPr>
        <w:t>SECTION 16 OFFICERS</w:t>
      </w:r>
    </w:p>
    <w:p>
      <w:pPr>
        <w:spacing w:after="0" w:line="200" w:lineRule="exact"/>
        <w:rPr>
          <w:sz w:val="20"/>
          <w:szCs w:val="20"/>
          <w:color w:val="auto"/>
        </w:rPr>
      </w:pPr>
    </w:p>
    <w:p>
      <w:pPr>
        <w:sectPr>
          <w:pgSz w:w="11900" w:h="16838" w:orient="portrait"/>
          <w:cols w:equalWidth="0" w:num="2">
            <w:col w:w="3800" w:space="720"/>
            <w:col w:w="4499"/>
          </w:cols>
          <w:pgMar w:left="1440" w:top="517" w:right="1440" w:bottom="1440" w:gutter="0" w:footer="0" w:header="0"/>
          <w:type w:val="continuous"/>
        </w:sectPr>
      </w:pPr>
    </w:p>
    <w:p>
      <w:pPr>
        <w:spacing w:after="0" w:line="41" w:lineRule="exact"/>
        <w:rPr>
          <w:sz w:val="20"/>
          <w:szCs w:val="20"/>
          <w:color w:val="auto"/>
        </w:rPr>
      </w:pPr>
    </w:p>
    <w:p>
      <w:pPr>
        <w:ind w:left="60"/>
        <w:spacing w:after="0"/>
        <w:rPr>
          <w:sz w:val="20"/>
          <w:szCs w:val="20"/>
          <w:color w:val="auto"/>
        </w:rPr>
      </w:pPr>
      <w:r>
        <w:rPr>
          <w:rFonts w:ascii="Arial" w:cs="Arial" w:eastAsia="Arial" w:hAnsi="Arial"/>
          <w:sz w:val="18"/>
          <w:szCs w:val="18"/>
          <w:color w:val="auto"/>
        </w:rPr>
        <w:t>William G. Currie</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6"/>
          <w:szCs w:val="16"/>
          <w:color w:val="auto"/>
        </w:rPr>
        <w:t>Chairman of the Board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UFP Industries, Inc.</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Matthew J. Missad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w:t>
      </w:r>
    </w:p>
    <w:p>
      <w:pPr>
        <w:spacing w:after="0" w:line="438" w:lineRule="exact"/>
        <w:rPr>
          <w:sz w:val="20"/>
          <w:szCs w:val="20"/>
          <w:color w:val="auto"/>
        </w:rPr>
      </w:pPr>
    </w:p>
    <w:p>
      <w:pPr>
        <w:sectPr>
          <w:pgSz w:w="11900" w:h="16838" w:orient="portrait"/>
          <w:cols w:equalWidth="0" w:num="2">
            <w:col w:w="3800" w:space="720"/>
            <w:col w:w="4499"/>
          </w:cols>
          <w:pgMar w:left="1440" w:top="517" w:right="1440" w:bottom="1440" w:gutter="0" w:footer="0" w:header="0"/>
          <w:type w:val="continuous"/>
        </w:sectPr>
      </w:pPr>
    </w:p>
    <w:p>
      <w:pPr>
        <w:spacing w:after="0" w:line="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Matthew J. Missad</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6"/>
          <w:szCs w:val="16"/>
          <w:color w:val="auto"/>
        </w:rPr>
        <w:t>Chief Executive Officer</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UFP Industries,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Patrick M. Webster</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President and Chief Operating Officer</w:t>
      </w:r>
    </w:p>
    <w:p>
      <w:pPr>
        <w:spacing w:after="0" w:line="438" w:lineRule="exact"/>
        <w:rPr>
          <w:sz w:val="20"/>
          <w:szCs w:val="20"/>
          <w:color w:val="auto"/>
        </w:rPr>
      </w:pPr>
    </w:p>
    <w:p>
      <w:pPr>
        <w:sectPr>
          <w:pgSz w:w="11900" w:h="16838" w:orient="portrait"/>
          <w:cols w:equalWidth="0" w:num="2">
            <w:col w:w="3800" w:space="720"/>
            <w:col w:w="4499"/>
          </w:cols>
          <w:pgMar w:left="1440" w:top="517" w:right="1440" w:bottom="1440" w:gutter="0" w:footer="0" w:header="0"/>
          <w:type w:val="continuous"/>
        </w:sectPr>
      </w:pPr>
    </w:p>
    <w:p>
      <w:pPr>
        <w:spacing w:after="0" w:line="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Thomas W. Rhodes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6"/>
          <w:szCs w:val="16"/>
          <w:color w:val="auto"/>
        </w:rPr>
        <w:t>President and Chief Executive Officer</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TWR Enterprises,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Michael R. Cole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 and Treasurer</w:t>
      </w:r>
    </w:p>
    <w:p>
      <w:pPr>
        <w:spacing w:after="0" w:line="438" w:lineRule="exact"/>
        <w:rPr>
          <w:sz w:val="20"/>
          <w:szCs w:val="20"/>
          <w:color w:val="auto"/>
        </w:rPr>
      </w:pPr>
    </w:p>
    <w:p>
      <w:pPr>
        <w:sectPr>
          <w:pgSz w:w="11900" w:h="16838" w:orient="portrait"/>
          <w:cols w:equalWidth="0" w:num="2">
            <w:col w:w="3800" w:space="720"/>
            <w:col w:w="4499"/>
          </w:cols>
          <w:pgMar w:left="1440" w:top="517" w:right="1440" w:bottom="1440" w:gutter="0" w:footer="0" w:header="0"/>
          <w:type w:val="continuous"/>
        </w:sectPr>
      </w:pPr>
    </w:p>
    <w:p>
      <w:pPr>
        <w:spacing w:after="0" w:line="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Bruce A. Merino</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6"/>
          <w:szCs w:val="16"/>
          <w:color w:val="auto"/>
        </w:rPr>
        <w:t>Former Senior Vice President of Merchandising</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Home Depot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Allen T. Peters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President and Chief Operating Officer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UFP Retail Solutions, LLC</w:t>
      </w:r>
    </w:p>
    <w:p>
      <w:pPr>
        <w:spacing w:after="0" w:line="200" w:lineRule="exact"/>
        <w:rPr>
          <w:sz w:val="20"/>
          <w:szCs w:val="20"/>
          <w:color w:val="auto"/>
        </w:rPr>
      </w:pPr>
    </w:p>
    <w:p>
      <w:pPr>
        <w:sectPr>
          <w:pgSz w:w="11900" w:h="16838" w:orient="portrait"/>
          <w:cols w:equalWidth="0" w:num="2">
            <w:col w:w="3800" w:space="720"/>
            <w:col w:w="4499"/>
          </w:cols>
          <w:pgMar w:left="1440" w:top="517" w:right="1440" w:bottom="1440" w:gutter="0" w:footer="0" w:header="0"/>
          <w:type w:val="continuous"/>
        </w:sectPr>
      </w:pPr>
    </w:p>
    <w:p>
      <w:pPr>
        <w:spacing w:after="0" w:line="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Mary Tuuk Kuras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6"/>
          <w:szCs w:val="16"/>
          <w:color w:val="auto"/>
        </w:rPr>
        <w:t>President and Chief Executive Officer</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Grand Rapids Symphony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Patrick Benton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UFP Construction, LLC</w:t>
      </w:r>
    </w:p>
    <w:p>
      <w:pPr>
        <w:spacing w:after="0" w:line="222" w:lineRule="exact"/>
        <w:rPr>
          <w:sz w:val="20"/>
          <w:szCs w:val="20"/>
          <w:color w:val="auto"/>
        </w:rPr>
      </w:pPr>
    </w:p>
    <w:p>
      <w:pPr>
        <w:sectPr>
          <w:pgSz w:w="11900" w:h="16838" w:orient="portrait"/>
          <w:cols w:equalWidth="0" w:num="2">
            <w:col w:w="3800" w:space="720"/>
            <w:col w:w="4499"/>
          </w:cols>
          <w:pgMar w:left="1440" w:top="517" w:right="1440" w:bottom="1440" w:gutter="0" w:footer="0" w:header="0"/>
          <w:type w:val="continuous"/>
        </w:sectPr>
      </w:pPr>
    </w:p>
    <w:p>
      <w:pPr>
        <w:spacing w:after="0" w:line="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Brian C. Walker</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6"/>
          <w:szCs w:val="16"/>
          <w:color w:val="auto"/>
        </w:rPr>
        <w:t>Partner-Strategic Leadership</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Huron Capital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Scott A. Worthington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President</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UFP Industrial, LLC</w:t>
      </w:r>
    </w:p>
    <w:p>
      <w:pPr>
        <w:spacing w:after="0" w:line="211" w:lineRule="exact"/>
        <w:rPr>
          <w:sz w:val="20"/>
          <w:szCs w:val="20"/>
          <w:color w:val="auto"/>
        </w:rPr>
      </w:pPr>
    </w:p>
    <w:p>
      <w:pPr>
        <w:sectPr>
          <w:pgSz w:w="11900" w:h="16838" w:orient="portrait"/>
          <w:cols w:equalWidth="0" w:num="2">
            <w:col w:w="3800" w:space="720"/>
            <w:col w:w="4499"/>
          </w:cols>
          <w:pgMar w:left="1440" w:top="517" w:right="1440" w:bottom="1440" w:gutter="0" w:footer="0" w:header="0"/>
          <w:type w:val="continuous"/>
        </w:sectPr>
      </w:pPr>
    </w:p>
    <w:p>
      <w:pPr>
        <w:spacing w:after="0" w:line="11" w:lineRule="exact"/>
        <w:rPr>
          <w:sz w:val="20"/>
          <w:szCs w:val="20"/>
          <w:color w:val="auto"/>
        </w:rPr>
      </w:pPr>
    </w:p>
    <w:p>
      <w:pPr>
        <w:ind w:left="60"/>
        <w:spacing w:after="0"/>
        <w:rPr>
          <w:sz w:val="20"/>
          <w:szCs w:val="20"/>
          <w:color w:val="auto"/>
        </w:rPr>
      </w:pPr>
      <w:r>
        <w:rPr>
          <w:rFonts w:ascii="Arial" w:cs="Arial" w:eastAsia="Arial" w:hAnsi="Arial"/>
          <w:sz w:val="16"/>
          <w:szCs w:val="16"/>
          <w:color w:val="auto"/>
        </w:rPr>
        <w:t>Michael G. Wooldridge</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Partner</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Varnum, LLP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Scott T. Bravata</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Vice President of Accounting</w:t>
      </w:r>
    </w:p>
    <w:p>
      <w:pPr>
        <w:spacing w:after="0" w:line="438" w:lineRule="exact"/>
        <w:rPr>
          <w:sz w:val="20"/>
          <w:szCs w:val="20"/>
          <w:color w:val="auto"/>
        </w:rPr>
      </w:pPr>
    </w:p>
    <w:p>
      <w:pPr>
        <w:sectPr>
          <w:pgSz w:w="11900" w:h="16838" w:orient="portrait"/>
          <w:cols w:equalWidth="0" w:num="2">
            <w:col w:w="3800" w:space="720"/>
            <w:col w:w="4499"/>
          </w:cols>
          <w:pgMar w:left="1440" w:top="517" w:right="1440" w:bottom="1440" w:gutter="0" w:footer="0" w:header="0"/>
          <w:type w:val="continuous"/>
        </w:sectPr>
      </w:pPr>
    </w:p>
    <w:p>
      <w:pPr>
        <w:spacing w:after="0" w:line="11" w:lineRule="exact"/>
        <w:rPr>
          <w:sz w:val="20"/>
          <w:szCs w:val="20"/>
          <w:color w:val="auto"/>
        </w:rPr>
      </w:pPr>
    </w:p>
    <w:p>
      <w:pPr>
        <w:ind w:left="60"/>
        <w:spacing w:after="0"/>
        <w:rPr>
          <w:sz w:val="20"/>
          <w:szCs w:val="20"/>
          <w:color w:val="auto"/>
        </w:rPr>
      </w:pPr>
      <w:r>
        <w:rPr>
          <w:rFonts w:ascii="Arial" w:cs="Arial" w:eastAsia="Arial" w:hAnsi="Arial"/>
          <w:sz w:val="17"/>
          <w:szCs w:val="17"/>
          <w:color w:val="auto"/>
        </w:rPr>
        <w:t>Joan A. Budden</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6"/>
          <w:szCs w:val="16"/>
          <w:color w:val="auto"/>
        </w:rPr>
        <w:t>Former President</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Priority Health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David A. Tutas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Chief Compliance Officer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General Counsel</w:t>
      </w:r>
    </w:p>
    <w:p>
      <w:pPr>
        <w:spacing w:after="0" w:line="200" w:lineRule="exact"/>
        <w:rPr>
          <w:sz w:val="20"/>
          <w:szCs w:val="20"/>
          <w:color w:val="auto"/>
        </w:rPr>
      </w:pPr>
    </w:p>
    <w:p>
      <w:pPr>
        <w:sectPr>
          <w:pgSz w:w="11900" w:h="16838" w:orient="portrait"/>
          <w:cols w:equalWidth="0" w:num="2">
            <w:col w:w="3800" w:space="720"/>
            <w:col w:w="4499"/>
          </w:cols>
          <w:pgMar w:left="1440" w:top="517" w:right="1440" w:bottom="1440" w:gutter="0" w:footer="0" w:header="0"/>
          <w:type w:val="continuous"/>
        </w:sectPr>
      </w:pPr>
    </w:p>
    <w:p>
      <w:pPr>
        <w:spacing w:after="0" w:line="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Benjamin J. McLean</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Ruan Transportation Management Systems,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8" w:name="page129"/>
    <w:bookmarkEnd w:id="1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Shareholder Information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ANNUAL MEETING</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2021 Annual Shareholder’s Meeting of UFP Industries, Inc. will be held virtually at 8:30 a.m. on April 21, 2021.</w:t>
      </w:r>
    </w:p>
    <w:p>
      <w:pPr>
        <w:spacing w:after="0" w:line="23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SHAREHOLDER INFORMATION</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Shares of our stock are traded under the symbol UFPI on the NASDAQ Stock Market. Our 10-K report, filed with the Securities and Exchange Commission, will be provided free of charge to any shareholder upon written request. For more information contact:</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Investor Relations Department</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UFP Industries, Inc.</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2801 East Beltline NE</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Grand Rapids, MI 49525</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Telephone: (616) 364-6161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Web: www.ufpi.com</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SECURITIES COUNSEL</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Varnum, LLP</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Grand Rapids, MI</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Deloitte &amp; Touche LLP</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Grand Rapids, MI</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TRANSFER AGENT/SHAREHOLDER INQUIRIES</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American Stock Transfer &amp; Trust Company serves as the transfer agent for the Corporation. Inquiries relating to stock transfers, changes of ownership, lost or stolen stock certificates, changes of address, and dividend payments should be addressed to:</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American Stock Transfer &amp; Trust Co.</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6201 15th Ave</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Brooklyn, NY 11219</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Telephone: (800) 937-5449</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UFP INDUSTRIES®, INC., CORPORATE HEADQUARTERS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2801 East Beltline NE</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Grand Rapids, MI 49525</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Telephone: (616) 364-6161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Facsimile: (616) 364-5558</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9" w:name="page130"/>
    <w:bookmarkEnd w:id="129"/>
    <w:tbl>
      <w:tblPr>
        <w:tblLayout w:type="fixed"/>
        <w:tblInd w:w="40" w:type="dxa"/>
        <w:tblCellMar>
          <w:top w:w="0" w:type="dxa"/>
          <w:left w:w="0" w:type="dxa"/>
          <w:bottom w:w="0" w:type="dxa"/>
          <w:right w:w="0" w:type="dxa"/>
        </w:tblCellMar>
      </w:tblPr>
      <w:tr>
        <w:trPr>
          <w:trHeight w:val="281"/>
        </w:trPr>
        <w:tc>
          <w:tcPr>
            <w:tcW w:w="7540" w:type="dxa"/>
            <w:vAlign w:val="bottom"/>
            <w:gridSpan w:val="5"/>
            <w:vMerge w:val="restart"/>
          </w:tcPr>
          <w:p>
            <w:pPr>
              <w:ind w:left="1980"/>
              <w:spacing w:after="0"/>
              <w:rPr>
                <w:sz w:val="20"/>
                <w:szCs w:val="20"/>
                <w:color w:val="auto"/>
              </w:rPr>
            </w:pPr>
            <w:r>
              <w:rPr>
                <w:rFonts w:ascii="Arial" w:cs="Arial" w:eastAsia="Arial" w:hAnsi="Arial"/>
                <w:sz w:val="18"/>
                <w:szCs w:val="18"/>
                <w:b w:val="1"/>
                <w:bCs w:val="1"/>
                <w:color w:val="auto"/>
              </w:rPr>
              <w:t>LIST OF REGISTRANT'S SUBSIDIARIES AND AFFILIATES</w:t>
            </w:r>
          </w:p>
        </w:tc>
        <w:tc>
          <w:tcPr>
            <w:tcW w:w="1520" w:type="dxa"/>
            <w:vAlign w:val="bottom"/>
            <w:gridSpan w:val="2"/>
          </w:tcPr>
          <w:p>
            <w:pPr>
              <w:ind w:left="180"/>
              <w:spacing w:after="0"/>
              <w:rPr>
                <w:sz w:val="20"/>
                <w:szCs w:val="20"/>
                <w:color w:val="auto"/>
              </w:rPr>
            </w:pPr>
            <w:r>
              <w:rPr>
                <w:rFonts w:ascii="Arial" w:cs="Arial" w:eastAsia="Arial" w:hAnsi="Arial"/>
                <w:sz w:val="22"/>
                <w:szCs w:val="22"/>
                <w:b w:val="1"/>
                <w:bCs w:val="1"/>
                <w:color w:val="auto"/>
              </w:rPr>
              <w:t>EXHIBIT 21</w:t>
            </w:r>
          </w:p>
        </w:tc>
        <w:tc>
          <w:tcPr>
            <w:tcW w:w="0" w:type="dxa"/>
            <w:vAlign w:val="bottom"/>
          </w:tcPr>
          <w:p>
            <w:pPr>
              <w:spacing w:after="0"/>
              <w:rPr>
                <w:sz w:val="1"/>
                <w:szCs w:val="1"/>
                <w:color w:val="auto"/>
              </w:rPr>
            </w:pPr>
          </w:p>
        </w:tc>
      </w:tr>
      <w:tr>
        <w:trPr>
          <w:trHeight w:val="165"/>
        </w:trPr>
        <w:tc>
          <w:tcPr>
            <w:tcW w:w="7540" w:type="dxa"/>
            <w:vAlign w:val="bottom"/>
            <w:gridSpan w:val="5"/>
            <w:vMerge w:val="continue"/>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980" w:type="dxa"/>
            <w:vAlign w:val="bottom"/>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2700" w:type="dxa"/>
            <w:vAlign w:val="bottom"/>
            <w:tcBorders>
              <w:top w:val="single" w:sz="8" w:color="auto"/>
            </w:tcBorders>
          </w:tcPr>
          <w:p>
            <w:pPr>
              <w:spacing w:after="0"/>
              <w:rPr>
                <w:sz w:val="21"/>
                <w:szCs w:val="21"/>
                <w:color w:val="auto"/>
              </w:rPr>
            </w:pPr>
          </w:p>
        </w:tc>
        <w:tc>
          <w:tcPr>
            <w:tcW w:w="6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11032 Tidewater Trail, LLC</w:t>
            </w:r>
          </w:p>
        </w:tc>
        <w:tc>
          <w:tcPr>
            <w:tcW w:w="11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Delaware</w:t>
            </w:r>
          </w:p>
        </w:tc>
        <w:tc>
          <w:tcPr>
            <w:tcW w:w="33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UFP Gear, LLC</w:t>
            </w:r>
          </w:p>
        </w:tc>
        <w:tc>
          <w:tcPr>
            <w:tcW w:w="152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3120" w:type="dxa"/>
            <w:vAlign w:val="bottom"/>
            <w:gridSpan w:val="2"/>
          </w:tcPr>
          <w:p>
            <w:pPr>
              <w:spacing w:after="0"/>
              <w:rPr>
                <w:sz w:val="20"/>
                <w:szCs w:val="20"/>
                <w:color w:val="auto"/>
              </w:rPr>
            </w:pPr>
            <w:r>
              <w:rPr>
                <w:rFonts w:ascii="Arial" w:cs="Arial" w:eastAsia="Arial" w:hAnsi="Arial"/>
                <w:sz w:val="16"/>
                <w:szCs w:val="16"/>
                <w:color w:val="auto"/>
              </w:rPr>
              <w:t>234 Springs Rd., LLC</w:t>
            </w:r>
          </w:p>
        </w:tc>
        <w:tc>
          <w:tcPr>
            <w:tcW w:w="1120" w:type="dxa"/>
            <w:vAlign w:val="bottom"/>
          </w:tcPr>
          <w:p>
            <w:pPr>
              <w:ind w:left="240"/>
              <w:spacing w:after="0"/>
              <w:rPr>
                <w:sz w:val="20"/>
                <w:szCs w:val="20"/>
                <w:color w:val="auto"/>
              </w:rPr>
            </w:pPr>
            <w:r>
              <w:rPr>
                <w:rFonts w:ascii="Arial" w:cs="Arial" w:eastAsia="Arial" w:hAnsi="Arial"/>
                <w:sz w:val="16"/>
                <w:szCs w:val="16"/>
                <w:color w:val="auto"/>
              </w:rPr>
              <w:t>Delaware</w:t>
            </w:r>
          </w:p>
        </w:tc>
        <w:tc>
          <w:tcPr>
            <w:tcW w:w="3300" w:type="dxa"/>
            <w:vAlign w:val="bottom"/>
            <w:gridSpan w:val="2"/>
          </w:tcPr>
          <w:p>
            <w:pPr>
              <w:ind w:left="100"/>
              <w:spacing w:after="0"/>
              <w:rPr>
                <w:sz w:val="20"/>
                <w:szCs w:val="20"/>
                <w:color w:val="auto"/>
              </w:rPr>
            </w:pPr>
            <w:r>
              <w:rPr>
                <w:rFonts w:ascii="Arial" w:cs="Arial" w:eastAsia="Arial" w:hAnsi="Arial"/>
                <w:sz w:val="16"/>
                <w:szCs w:val="16"/>
                <w:color w:val="auto"/>
              </w:rPr>
              <w:t>UFP Global Holdings Limited</w:t>
            </w:r>
          </w:p>
        </w:tc>
        <w:tc>
          <w:tcPr>
            <w:tcW w:w="1520" w:type="dxa"/>
            <w:vAlign w:val="bottom"/>
            <w:gridSpan w:val="2"/>
          </w:tcPr>
          <w:p>
            <w:pPr>
              <w:ind w:left="540"/>
              <w:spacing w:after="0"/>
              <w:rPr>
                <w:sz w:val="20"/>
                <w:szCs w:val="20"/>
                <w:color w:val="auto"/>
              </w:rPr>
            </w:pPr>
            <w:r>
              <w:rPr>
                <w:rFonts w:ascii="Arial" w:cs="Arial" w:eastAsia="Arial" w:hAnsi="Arial"/>
                <w:sz w:val="16"/>
                <w:szCs w:val="16"/>
                <w:color w:val="auto"/>
                <w:w w:val="89"/>
              </w:rPr>
              <w:t>England/Wales</w:t>
            </w:r>
          </w:p>
        </w:tc>
        <w:tc>
          <w:tcPr>
            <w:tcW w:w="0" w:type="dxa"/>
            <w:vAlign w:val="bottom"/>
          </w:tcPr>
          <w:p>
            <w:pPr>
              <w:spacing w:after="0"/>
              <w:rPr>
                <w:sz w:val="1"/>
                <w:szCs w:val="1"/>
                <w:color w:val="auto"/>
              </w:rPr>
            </w:pPr>
          </w:p>
        </w:tc>
      </w:tr>
      <w:tr>
        <w:trPr>
          <w:trHeight w:val="203"/>
        </w:trPr>
        <w:tc>
          <w:tcPr>
            <w:tcW w:w="3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2875 Needmore Rd. LLC</w:t>
            </w:r>
          </w:p>
        </w:tc>
        <w:tc>
          <w:tcPr>
            <w:tcW w:w="11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Delaware</w:t>
            </w:r>
          </w:p>
        </w:tc>
        <w:tc>
          <w:tcPr>
            <w:tcW w:w="33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UFP Gordon, LLC</w:t>
            </w:r>
          </w:p>
        </w:tc>
        <w:tc>
          <w:tcPr>
            <w:tcW w:w="152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3120" w:type="dxa"/>
            <w:vAlign w:val="bottom"/>
            <w:gridSpan w:val="2"/>
          </w:tcPr>
          <w:p>
            <w:pPr>
              <w:spacing w:after="0"/>
              <w:rPr>
                <w:sz w:val="20"/>
                <w:szCs w:val="20"/>
                <w:color w:val="auto"/>
              </w:rPr>
            </w:pPr>
            <w:r>
              <w:rPr>
                <w:rFonts w:ascii="Arial" w:cs="Arial" w:eastAsia="Arial" w:hAnsi="Arial"/>
                <w:sz w:val="16"/>
                <w:szCs w:val="16"/>
                <w:color w:val="auto"/>
              </w:rPr>
              <w:t>621 Hall St., LLC</w:t>
            </w:r>
          </w:p>
        </w:tc>
        <w:tc>
          <w:tcPr>
            <w:tcW w:w="1120" w:type="dxa"/>
            <w:vAlign w:val="bottom"/>
          </w:tcPr>
          <w:p>
            <w:pPr>
              <w:ind w:left="240"/>
              <w:spacing w:after="0"/>
              <w:rPr>
                <w:sz w:val="20"/>
                <w:szCs w:val="20"/>
                <w:color w:val="auto"/>
              </w:rPr>
            </w:pPr>
            <w:r>
              <w:rPr>
                <w:rFonts w:ascii="Arial" w:cs="Arial" w:eastAsia="Arial" w:hAnsi="Arial"/>
                <w:sz w:val="16"/>
                <w:szCs w:val="16"/>
                <w:color w:val="auto"/>
              </w:rPr>
              <w:t>Delaware</w:t>
            </w:r>
          </w:p>
        </w:tc>
        <w:tc>
          <w:tcPr>
            <w:tcW w:w="3300" w:type="dxa"/>
            <w:vAlign w:val="bottom"/>
            <w:gridSpan w:val="2"/>
          </w:tcPr>
          <w:p>
            <w:pPr>
              <w:ind w:left="100"/>
              <w:spacing w:after="0"/>
              <w:rPr>
                <w:sz w:val="20"/>
                <w:szCs w:val="20"/>
                <w:color w:val="auto"/>
              </w:rPr>
            </w:pPr>
            <w:r>
              <w:rPr>
                <w:rFonts w:ascii="Arial" w:cs="Arial" w:eastAsia="Arial" w:hAnsi="Arial"/>
                <w:sz w:val="16"/>
                <w:szCs w:val="16"/>
                <w:color w:val="auto"/>
              </w:rPr>
              <w:t>UFP Grand Rapids, LLC</w:t>
            </w:r>
          </w:p>
        </w:tc>
        <w:tc>
          <w:tcPr>
            <w:tcW w:w="1520" w:type="dxa"/>
            <w:vAlign w:val="bottom"/>
            <w:gridSpan w:val="2"/>
          </w:tcPr>
          <w:p>
            <w:pPr>
              <w:ind w:left="54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3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Aljoma Holding Company, LLC</w:t>
            </w:r>
          </w:p>
        </w:tc>
        <w:tc>
          <w:tcPr>
            <w:tcW w:w="11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Michigan</w:t>
            </w:r>
          </w:p>
        </w:tc>
        <w:tc>
          <w:tcPr>
            <w:tcW w:w="33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UFP Grandview, LLC</w:t>
            </w:r>
          </w:p>
        </w:tc>
        <w:tc>
          <w:tcPr>
            <w:tcW w:w="152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3120" w:type="dxa"/>
            <w:vAlign w:val="bottom"/>
            <w:gridSpan w:val="2"/>
          </w:tcPr>
          <w:p>
            <w:pPr>
              <w:spacing w:after="0"/>
              <w:rPr>
                <w:sz w:val="20"/>
                <w:szCs w:val="20"/>
                <w:color w:val="auto"/>
              </w:rPr>
            </w:pPr>
            <w:r>
              <w:rPr>
                <w:rFonts w:ascii="Arial" w:cs="Arial" w:eastAsia="Arial" w:hAnsi="Arial"/>
                <w:sz w:val="16"/>
                <w:szCs w:val="16"/>
                <w:color w:val="auto"/>
              </w:rPr>
              <w:t>Aljoma Lumber, Inc.</w:t>
            </w:r>
          </w:p>
        </w:tc>
        <w:tc>
          <w:tcPr>
            <w:tcW w:w="1120" w:type="dxa"/>
            <w:vAlign w:val="bottom"/>
          </w:tcPr>
          <w:p>
            <w:pPr>
              <w:ind w:left="240"/>
              <w:spacing w:after="0"/>
              <w:rPr>
                <w:sz w:val="20"/>
                <w:szCs w:val="20"/>
                <w:color w:val="auto"/>
              </w:rPr>
            </w:pPr>
            <w:r>
              <w:rPr>
                <w:rFonts w:ascii="Arial" w:cs="Arial" w:eastAsia="Arial" w:hAnsi="Arial"/>
                <w:sz w:val="16"/>
                <w:szCs w:val="16"/>
                <w:color w:val="auto"/>
              </w:rPr>
              <w:t>Florida</w:t>
            </w:r>
          </w:p>
        </w:tc>
        <w:tc>
          <w:tcPr>
            <w:tcW w:w="3300" w:type="dxa"/>
            <w:vAlign w:val="bottom"/>
            <w:gridSpan w:val="2"/>
          </w:tcPr>
          <w:p>
            <w:pPr>
              <w:ind w:left="100"/>
              <w:spacing w:after="0"/>
              <w:rPr>
                <w:sz w:val="20"/>
                <w:szCs w:val="20"/>
                <w:color w:val="auto"/>
              </w:rPr>
            </w:pPr>
            <w:r>
              <w:rPr>
                <w:rFonts w:ascii="Arial" w:cs="Arial" w:eastAsia="Arial" w:hAnsi="Arial"/>
                <w:sz w:val="16"/>
                <w:szCs w:val="16"/>
                <w:color w:val="auto"/>
              </w:rPr>
              <w:t>UFP Granger, LLC</w:t>
            </w:r>
          </w:p>
        </w:tc>
        <w:tc>
          <w:tcPr>
            <w:tcW w:w="1520" w:type="dxa"/>
            <w:vAlign w:val="bottom"/>
            <w:gridSpan w:val="2"/>
          </w:tcPr>
          <w:p>
            <w:pPr>
              <w:ind w:left="54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3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Ardellis Insurance Ltd.</w:t>
            </w:r>
          </w:p>
        </w:tc>
        <w:tc>
          <w:tcPr>
            <w:tcW w:w="11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Bermuda</w:t>
            </w:r>
          </w:p>
        </w:tc>
        <w:tc>
          <w:tcPr>
            <w:tcW w:w="33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UFP Great Lakes, LLC</w:t>
            </w:r>
          </w:p>
        </w:tc>
        <w:tc>
          <w:tcPr>
            <w:tcW w:w="152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3120" w:type="dxa"/>
            <w:vAlign w:val="bottom"/>
            <w:gridSpan w:val="2"/>
          </w:tcPr>
          <w:p>
            <w:pPr>
              <w:spacing w:after="0"/>
              <w:rPr>
                <w:sz w:val="20"/>
                <w:szCs w:val="20"/>
                <w:color w:val="auto"/>
              </w:rPr>
            </w:pPr>
            <w:r>
              <w:rPr>
                <w:rFonts w:ascii="Arial" w:cs="Arial" w:eastAsia="Arial" w:hAnsi="Arial"/>
                <w:sz w:val="16"/>
                <w:szCs w:val="16"/>
                <w:color w:val="auto"/>
              </w:rPr>
              <w:t>Caliper Building Systems, LLC</w:t>
            </w:r>
          </w:p>
        </w:tc>
        <w:tc>
          <w:tcPr>
            <w:tcW w:w="1120" w:type="dxa"/>
            <w:vAlign w:val="bottom"/>
          </w:tcPr>
          <w:p>
            <w:pPr>
              <w:ind w:left="240"/>
              <w:spacing w:after="0"/>
              <w:rPr>
                <w:sz w:val="20"/>
                <w:szCs w:val="20"/>
                <w:color w:val="auto"/>
              </w:rPr>
            </w:pPr>
            <w:r>
              <w:rPr>
                <w:rFonts w:ascii="Arial" w:cs="Arial" w:eastAsia="Arial" w:hAnsi="Arial"/>
                <w:sz w:val="16"/>
                <w:szCs w:val="16"/>
                <w:color w:val="auto"/>
              </w:rPr>
              <w:t>Michigan</w:t>
            </w:r>
          </w:p>
        </w:tc>
        <w:tc>
          <w:tcPr>
            <w:tcW w:w="3300" w:type="dxa"/>
            <w:vAlign w:val="bottom"/>
            <w:gridSpan w:val="2"/>
          </w:tcPr>
          <w:p>
            <w:pPr>
              <w:ind w:left="100"/>
              <w:spacing w:after="0"/>
              <w:rPr>
                <w:sz w:val="20"/>
                <w:szCs w:val="20"/>
                <w:color w:val="auto"/>
              </w:rPr>
            </w:pPr>
            <w:r>
              <w:rPr>
                <w:rFonts w:ascii="Arial" w:cs="Arial" w:eastAsia="Arial" w:hAnsi="Arial"/>
                <w:sz w:val="16"/>
                <w:szCs w:val="16"/>
                <w:color w:val="auto"/>
              </w:rPr>
              <w:t>UFP Gulf, LLC</w:t>
            </w:r>
          </w:p>
        </w:tc>
        <w:tc>
          <w:tcPr>
            <w:tcW w:w="1520" w:type="dxa"/>
            <w:vAlign w:val="bottom"/>
            <w:gridSpan w:val="2"/>
          </w:tcPr>
          <w:p>
            <w:pPr>
              <w:ind w:left="54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3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Deckorators, Inc.</w:t>
            </w:r>
          </w:p>
        </w:tc>
        <w:tc>
          <w:tcPr>
            <w:tcW w:w="11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Michigan</w:t>
            </w:r>
          </w:p>
        </w:tc>
        <w:tc>
          <w:tcPr>
            <w:tcW w:w="33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UFP Haleyville, LLC</w:t>
            </w:r>
          </w:p>
        </w:tc>
        <w:tc>
          <w:tcPr>
            <w:tcW w:w="152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3120" w:type="dxa"/>
            <w:vAlign w:val="bottom"/>
            <w:gridSpan w:val="2"/>
          </w:tcPr>
          <w:p>
            <w:pPr>
              <w:spacing w:after="0"/>
              <w:rPr>
                <w:sz w:val="20"/>
                <w:szCs w:val="20"/>
                <w:color w:val="auto"/>
              </w:rPr>
            </w:pPr>
            <w:r>
              <w:rPr>
                <w:rFonts w:ascii="Arial" w:cs="Arial" w:eastAsia="Arial" w:hAnsi="Arial"/>
                <w:sz w:val="16"/>
                <w:szCs w:val="16"/>
                <w:color w:val="auto"/>
              </w:rPr>
              <w:t>Enwrap Logistic and Packaging S.r.l.</w:t>
            </w:r>
          </w:p>
        </w:tc>
        <w:tc>
          <w:tcPr>
            <w:tcW w:w="1120" w:type="dxa"/>
            <w:vAlign w:val="bottom"/>
          </w:tcPr>
          <w:p>
            <w:pPr>
              <w:ind w:left="240"/>
              <w:spacing w:after="0"/>
              <w:rPr>
                <w:sz w:val="20"/>
                <w:szCs w:val="20"/>
                <w:color w:val="auto"/>
              </w:rPr>
            </w:pPr>
            <w:r>
              <w:rPr>
                <w:rFonts w:ascii="Arial" w:cs="Arial" w:eastAsia="Arial" w:hAnsi="Arial"/>
                <w:sz w:val="16"/>
                <w:szCs w:val="16"/>
                <w:color w:val="auto"/>
              </w:rPr>
              <w:t>Italy</w:t>
            </w:r>
          </w:p>
        </w:tc>
        <w:tc>
          <w:tcPr>
            <w:tcW w:w="3300" w:type="dxa"/>
            <w:vAlign w:val="bottom"/>
            <w:gridSpan w:val="2"/>
          </w:tcPr>
          <w:p>
            <w:pPr>
              <w:ind w:left="100"/>
              <w:spacing w:after="0"/>
              <w:rPr>
                <w:sz w:val="20"/>
                <w:szCs w:val="20"/>
                <w:color w:val="auto"/>
              </w:rPr>
            </w:pPr>
            <w:r>
              <w:rPr>
                <w:rFonts w:ascii="Arial" w:cs="Arial" w:eastAsia="Arial" w:hAnsi="Arial"/>
                <w:sz w:val="16"/>
                <w:szCs w:val="16"/>
                <w:color w:val="auto"/>
              </w:rPr>
              <w:t>UFP Hamilton, LLC</w:t>
            </w:r>
          </w:p>
        </w:tc>
        <w:tc>
          <w:tcPr>
            <w:tcW w:w="1520" w:type="dxa"/>
            <w:vAlign w:val="bottom"/>
            <w:gridSpan w:val="2"/>
          </w:tcPr>
          <w:p>
            <w:pPr>
              <w:ind w:left="54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3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Eovations, LLC</w:t>
            </w:r>
          </w:p>
        </w:tc>
        <w:tc>
          <w:tcPr>
            <w:tcW w:w="11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Michigan</w:t>
            </w:r>
          </w:p>
        </w:tc>
        <w:tc>
          <w:tcPr>
            <w:tcW w:w="33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UFP Harrisonville, LLC</w:t>
            </w:r>
          </w:p>
        </w:tc>
        <w:tc>
          <w:tcPr>
            <w:tcW w:w="152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3120" w:type="dxa"/>
            <w:vAlign w:val="bottom"/>
            <w:gridSpan w:val="2"/>
          </w:tcPr>
          <w:p>
            <w:pPr>
              <w:spacing w:after="0"/>
              <w:rPr>
                <w:sz w:val="20"/>
                <w:szCs w:val="20"/>
                <w:color w:val="auto"/>
              </w:rPr>
            </w:pPr>
            <w:r>
              <w:rPr>
                <w:rFonts w:ascii="Arial" w:cs="Arial" w:eastAsia="Arial" w:hAnsi="Arial"/>
                <w:sz w:val="16"/>
                <w:szCs w:val="16"/>
                <w:color w:val="auto"/>
                <w:w w:val="99"/>
              </w:rPr>
              <w:t>Fire Retardant Chemical Technologies, LLC</w:t>
            </w:r>
          </w:p>
        </w:tc>
        <w:tc>
          <w:tcPr>
            <w:tcW w:w="1120" w:type="dxa"/>
            <w:vAlign w:val="bottom"/>
          </w:tcPr>
          <w:p>
            <w:pPr>
              <w:ind w:left="240"/>
              <w:spacing w:after="0"/>
              <w:rPr>
                <w:sz w:val="20"/>
                <w:szCs w:val="20"/>
                <w:color w:val="auto"/>
              </w:rPr>
            </w:pPr>
            <w:r>
              <w:rPr>
                <w:rFonts w:ascii="Arial" w:cs="Arial" w:eastAsia="Arial" w:hAnsi="Arial"/>
                <w:sz w:val="16"/>
                <w:szCs w:val="16"/>
                <w:color w:val="auto"/>
              </w:rPr>
              <w:t>Illinois</w:t>
            </w:r>
          </w:p>
        </w:tc>
        <w:tc>
          <w:tcPr>
            <w:tcW w:w="3300" w:type="dxa"/>
            <w:vAlign w:val="bottom"/>
            <w:gridSpan w:val="2"/>
          </w:tcPr>
          <w:p>
            <w:pPr>
              <w:ind w:left="100"/>
              <w:spacing w:after="0"/>
              <w:rPr>
                <w:sz w:val="20"/>
                <w:szCs w:val="20"/>
                <w:color w:val="auto"/>
              </w:rPr>
            </w:pPr>
            <w:r>
              <w:rPr>
                <w:rFonts w:ascii="Arial" w:cs="Arial" w:eastAsia="Arial" w:hAnsi="Arial"/>
                <w:sz w:val="16"/>
                <w:szCs w:val="16"/>
                <w:color w:val="auto"/>
              </w:rPr>
              <w:t>UFP Hartford, LLC</w:t>
            </w:r>
          </w:p>
        </w:tc>
        <w:tc>
          <w:tcPr>
            <w:tcW w:w="1520" w:type="dxa"/>
            <w:vAlign w:val="bottom"/>
            <w:gridSpan w:val="2"/>
          </w:tcPr>
          <w:p>
            <w:pPr>
              <w:ind w:left="540"/>
              <w:spacing w:after="0"/>
              <w:rPr>
                <w:sz w:val="20"/>
                <w:szCs w:val="20"/>
                <w:color w:val="auto"/>
              </w:rPr>
            </w:pPr>
            <w:r>
              <w:rPr>
                <w:rFonts w:ascii="Arial" w:cs="Arial" w:eastAsia="Arial" w:hAnsi="Arial"/>
                <w:sz w:val="16"/>
                <w:szCs w:val="16"/>
                <w:color w:val="auto"/>
              </w:rPr>
              <w:t>Wisconsin</w:t>
            </w:r>
          </w:p>
        </w:tc>
        <w:tc>
          <w:tcPr>
            <w:tcW w:w="0" w:type="dxa"/>
            <w:vAlign w:val="bottom"/>
          </w:tcPr>
          <w:p>
            <w:pPr>
              <w:spacing w:after="0"/>
              <w:rPr>
                <w:sz w:val="1"/>
                <w:szCs w:val="1"/>
                <w:color w:val="auto"/>
              </w:rPr>
            </w:pPr>
          </w:p>
        </w:tc>
      </w:tr>
      <w:tr>
        <w:trPr>
          <w:trHeight w:val="203"/>
        </w:trPr>
        <w:tc>
          <w:tcPr>
            <w:tcW w:w="3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Forestal Universal SA de CV</w:t>
            </w:r>
          </w:p>
        </w:tc>
        <w:tc>
          <w:tcPr>
            <w:tcW w:w="11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Mexico</w:t>
            </w:r>
          </w:p>
        </w:tc>
        <w:tc>
          <w:tcPr>
            <w:tcW w:w="33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UFP Hillsboro, LLC</w:t>
            </w:r>
          </w:p>
        </w:tc>
        <w:tc>
          <w:tcPr>
            <w:tcW w:w="152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3120" w:type="dxa"/>
            <w:vAlign w:val="bottom"/>
            <w:gridSpan w:val="2"/>
          </w:tcPr>
          <w:p>
            <w:pPr>
              <w:spacing w:after="0"/>
              <w:rPr>
                <w:sz w:val="20"/>
                <w:szCs w:val="20"/>
                <w:color w:val="auto"/>
              </w:rPr>
            </w:pPr>
            <w:r>
              <w:rPr>
                <w:rFonts w:ascii="Arial" w:cs="Arial" w:eastAsia="Arial" w:hAnsi="Arial"/>
                <w:sz w:val="16"/>
                <w:szCs w:val="16"/>
                <w:color w:val="auto"/>
              </w:rPr>
              <w:t>Horizon Terra, Incorporated</w:t>
            </w:r>
          </w:p>
        </w:tc>
        <w:tc>
          <w:tcPr>
            <w:tcW w:w="1120" w:type="dxa"/>
            <w:vAlign w:val="bottom"/>
          </w:tcPr>
          <w:p>
            <w:pPr>
              <w:ind w:left="240"/>
              <w:spacing w:after="0"/>
              <w:rPr>
                <w:sz w:val="20"/>
                <w:szCs w:val="20"/>
                <w:color w:val="auto"/>
              </w:rPr>
            </w:pPr>
            <w:r>
              <w:rPr>
                <w:rFonts w:ascii="Arial" w:cs="Arial" w:eastAsia="Arial" w:hAnsi="Arial"/>
                <w:sz w:val="16"/>
                <w:szCs w:val="16"/>
                <w:color w:val="auto"/>
              </w:rPr>
              <w:t>Indiana</w:t>
            </w:r>
          </w:p>
        </w:tc>
        <w:tc>
          <w:tcPr>
            <w:tcW w:w="3300" w:type="dxa"/>
            <w:vAlign w:val="bottom"/>
            <w:gridSpan w:val="2"/>
          </w:tcPr>
          <w:p>
            <w:pPr>
              <w:ind w:left="100"/>
              <w:spacing w:after="0"/>
              <w:rPr>
                <w:sz w:val="20"/>
                <w:szCs w:val="20"/>
                <w:color w:val="auto"/>
              </w:rPr>
            </w:pPr>
            <w:r>
              <w:rPr>
                <w:rFonts w:ascii="Arial" w:cs="Arial" w:eastAsia="Arial" w:hAnsi="Arial"/>
                <w:sz w:val="16"/>
                <w:szCs w:val="16"/>
                <w:color w:val="auto"/>
              </w:rPr>
              <w:t>UFP Industrial, LLC</w:t>
            </w:r>
          </w:p>
        </w:tc>
        <w:tc>
          <w:tcPr>
            <w:tcW w:w="1520" w:type="dxa"/>
            <w:vAlign w:val="bottom"/>
            <w:gridSpan w:val="2"/>
          </w:tcPr>
          <w:p>
            <w:pPr>
              <w:ind w:left="54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3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Idaho Western, Inc.</w:t>
            </w:r>
          </w:p>
        </w:tc>
        <w:tc>
          <w:tcPr>
            <w:tcW w:w="11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Idaho</w:t>
            </w:r>
          </w:p>
        </w:tc>
        <w:tc>
          <w:tcPr>
            <w:tcW w:w="33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UFP Industries, Inc.</w:t>
            </w:r>
          </w:p>
        </w:tc>
        <w:tc>
          <w:tcPr>
            <w:tcW w:w="152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3120" w:type="dxa"/>
            <w:vAlign w:val="bottom"/>
            <w:gridSpan w:val="2"/>
          </w:tcPr>
          <w:p>
            <w:pPr>
              <w:spacing w:after="0"/>
              <w:rPr>
                <w:sz w:val="20"/>
                <w:szCs w:val="20"/>
                <w:color w:val="auto"/>
              </w:rPr>
            </w:pPr>
            <w:r>
              <w:rPr>
                <w:rFonts w:ascii="Arial" w:cs="Arial" w:eastAsia="Arial" w:hAnsi="Arial"/>
                <w:sz w:val="16"/>
                <w:szCs w:val="16"/>
                <w:color w:val="auto"/>
              </w:rPr>
              <w:t>idX (China) Display System Co., Ltd.</w:t>
            </w:r>
          </w:p>
        </w:tc>
        <w:tc>
          <w:tcPr>
            <w:tcW w:w="1120" w:type="dxa"/>
            <w:vAlign w:val="bottom"/>
          </w:tcPr>
          <w:p>
            <w:pPr>
              <w:ind w:left="240"/>
              <w:spacing w:after="0"/>
              <w:rPr>
                <w:sz w:val="20"/>
                <w:szCs w:val="20"/>
                <w:color w:val="auto"/>
              </w:rPr>
            </w:pPr>
            <w:r>
              <w:rPr>
                <w:rFonts w:ascii="Arial" w:cs="Arial" w:eastAsia="Arial" w:hAnsi="Arial"/>
                <w:sz w:val="16"/>
                <w:szCs w:val="16"/>
                <w:color w:val="auto"/>
              </w:rPr>
              <w:t>China</w:t>
            </w:r>
          </w:p>
        </w:tc>
        <w:tc>
          <w:tcPr>
            <w:tcW w:w="3300" w:type="dxa"/>
            <w:vAlign w:val="bottom"/>
            <w:gridSpan w:val="2"/>
          </w:tcPr>
          <w:p>
            <w:pPr>
              <w:ind w:left="100"/>
              <w:spacing w:after="0"/>
              <w:rPr>
                <w:sz w:val="20"/>
                <w:szCs w:val="20"/>
                <w:color w:val="auto"/>
              </w:rPr>
            </w:pPr>
            <w:r>
              <w:rPr>
                <w:rFonts w:ascii="Arial" w:cs="Arial" w:eastAsia="Arial" w:hAnsi="Arial"/>
                <w:sz w:val="16"/>
                <w:szCs w:val="16"/>
                <w:color w:val="auto"/>
                <w:w w:val="98"/>
              </w:rPr>
              <w:t>UFP International Employment Services, LLC</w:t>
            </w:r>
          </w:p>
        </w:tc>
        <w:tc>
          <w:tcPr>
            <w:tcW w:w="1520" w:type="dxa"/>
            <w:vAlign w:val="bottom"/>
            <w:gridSpan w:val="2"/>
          </w:tcPr>
          <w:p>
            <w:pPr>
              <w:ind w:left="54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3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idX (India) Display Private Ltd.</w:t>
            </w:r>
          </w:p>
        </w:tc>
        <w:tc>
          <w:tcPr>
            <w:tcW w:w="11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India</w:t>
            </w:r>
          </w:p>
        </w:tc>
        <w:tc>
          <w:tcPr>
            <w:tcW w:w="33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UFP International, LLC</w:t>
            </w:r>
          </w:p>
        </w:tc>
        <w:tc>
          <w:tcPr>
            <w:tcW w:w="152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3120" w:type="dxa"/>
            <w:vAlign w:val="bottom"/>
            <w:gridSpan w:val="2"/>
          </w:tcPr>
          <w:p>
            <w:pPr>
              <w:spacing w:after="0"/>
              <w:rPr>
                <w:sz w:val="20"/>
                <w:szCs w:val="20"/>
                <w:color w:val="auto"/>
              </w:rPr>
            </w:pPr>
            <w:r>
              <w:rPr>
                <w:rFonts w:ascii="Arial" w:cs="Arial" w:eastAsia="Arial" w:hAnsi="Arial"/>
                <w:sz w:val="16"/>
                <w:szCs w:val="16"/>
                <w:color w:val="auto"/>
              </w:rPr>
              <w:t>idX Amsterdam B.V.</w:t>
            </w:r>
          </w:p>
        </w:tc>
        <w:tc>
          <w:tcPr>
            <w:tcW w:w="1120" w:type="dxa"/>
            <w:vAlign w:val="bottom"/>
          </w:tcPr>
          <w:p>
            <w:pPr>
              <w:ind w:left="240"/>
              <w:spacing w:after="0"/>
              <w:rPr>
                <w:sz w:val="20"/>
                <w:szCs w:val="20"/>
                <w:color w:val="auto"/>
              </w:rPr>
            </w:pPr>
            <w:r>
              <w:rPr>
                <w:rFonts w:ascii="Arial" w:cs="Arial" w:eastAsia="Arial" w:hAnsi="Arial"/>
                <w:sz w:val="16"/>
                <w:szCs w:val="16"/>
                <w:color w:val="auto"/>
                <w:w w:val="99"/>
              </w:rPr>
              <w:t>Netherlands</w:t>
            </w:r>
          </w:p>
        </w:tc>
        <w:tc>
          <w:tcPr>
            <w:tcW w:w="3300" w:type="dxa"/>
            <w:vAlign w:val="bottom"/>
            <w:gridSpan w:val="2"/>
          </w:tcPr>
          <w:p>
            <w:pPr>
              <w:ind w:left="100"/>
              <w:spacing w:after="0"/>
              <w:rPr>
                <w:sz w:val="20"/>
                <w:szCs w:val="20"/>
                <w:color w:val="auto"/>
              </w:rPr>
            </w:pPr>
            <w:r>
              <w:rPr>
                <w:rFonts w:ascii="Arial" w:cs="Arial" w:eastAsia="Arial" w:hAnsi="Arial"/>
                <w:sz w:val="16"/>
                <w:szCs w:val="16"/>
                <w:color w:val="auto"/>
              </w:rPr>
              <w:t>UFP Janesville, LLC</w:t>
            </w:r>
          </w:p>
        </w:tc>
        <w:tc>
          <w:tcPr>
            <w:tcW w:w="1520" w:type="dxa"/>
            <w:vAlign w:val="bottom"/>
            <w:gridSpan w:val="2"/>
          </w:tcPr>
          <w:p>
            <w:pPr>
              <w:ind w:left="54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3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idX Asia Fixtures Limited</w:t>
            </w:r>
          </w:p>
        </w:tc>
        <w:tc>
          <w:tcPr>
            <w:tcW w:w="11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Hong Kong</w:t>
            </w:r>
          </w:p>
        </w:tc>
        <w:tc>
          <w:tcPr>
            <w:tcW w:w="33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UFP Kyle, LLC</w:t>
            </w:r>
          </w:p>
        </w:tc>
        <w:tc>
          <w:tcPr>
            <w:tcW w:w="152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3120" w:type="dxa"/>
            <w:vAlign w:val="bottom"/>
            <w:gridSpan w:val="2"/>
          </w:tcPr>
          <w:p>
            <w:pPr>
              <w:spacing w:after="0"/>
              <w:rPr>
                <w:sz w:val="20"/>
                <w:szCs w:val="20"/>
                <w:color w:val="auto"/>
              </w:rPr>
            </w:pPr>
            <w:r>
              <w:rPr>
                <w:rFonts w:ascii="Arial" w:cs="Arial" w:eastAsia="Arial" w:hAnsi="Arial"/>
                <w:sz w:val="16"/>
                <w:szCs w:val="16"/>
                <w:color w:val="auto"/>
              </w:rPr>
              <w:t>idX Asia Trading Limited</w:t>
            </w:r>
          </w:p>
        </w:tc>
        <w:tc>
          <w:tcPr>
            <w:tcW w:w="1120" w:type="dxa"/>
            <w:vAlign w:val="bottom"/>
          </w:tcPr>
          <w:p>
            <w:pPr>
              <w:ind w:left="240"/>
              <w:spacing w:after="0"/>
              <w:rPr>
                <w:sz w:val="20"/>
                <w:szCs w:val="20"/>
                <w:color w:val="auto"/>
              </w:rPr>
            </w:pPr>
            <w:r>
              <w:rPr>
                <w:rFonts w:ascii="Arial" w:cs="Arial" w:eastAsia="Arial" w:hAnsi="Arial"/>
                <w:sz w:val="16"/>
                <w:szCs w:val="16"/>
                <w:color w:val="auto"/>
              </w:rPr>
              <w:t>Hong Kong</w:t>
            </w:r>
          </w:p>
        </w:tc>
        <w:tc>
          <w:tcPr>
            <w:tcW w:w="3300" w:type="dxa"/>
            <w:vAlign w:val="bottom"/>
            <w:gridSpan w:val="2"/>
          </w:tcPr>
          <w:p>
            <w:pPr>
              <w:ind w:left="100"/>
              <w:spacing w:after="0"/>
              <w:rPr>
                <w:sz w:val="20"/>
                <w:szCs w:val="20"/>
                <w:color w:val="auto"/>
              </w:rPr>
            </w:pPr>
            <w:r>
              <w:rPr>
                <w:rFonts w:ascii="Arial" w:cs="Arial" w:eastAsia="Arial" w:hAnsi="Arial"/>
                <w:sz w:val="16"/>
                <w:szCs w:val="16"/>
                <w:color w:val="auto"/>
              </w:rPr>
              <w:t>UFP Lafayette, LLC</w:t>
            </w:r>
          </w:p>
        </w:tc>
        <w:tc>
          <w:tcPr>
            <w:tcW w:w="1520" w:type="dxa"/>
            <w:vAlign w:val="bottom"/>
            <w:gridSpan w:val="2"/>
          </w:tcPr>
          <w:p>
            <w:pPr>
              <w:ind w:left="54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3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idX Chicago, LLC</w:t>
            </w:r>
          </w:p>
        </w:tc>
        <w:tc>
          <w:tcPr>
            <w:tcW w:w="11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Delaware</w:t>
            </w:r>
          </w:p>
        </w:tc>
        <w:tc>
          <w:tcPr>
            <w:tcW w:w="33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UFP Lansing, LLC</w:t>
            </w:r>
          </w:p>
        </w:tc>
        <w:tc>
          <w:tcPr>
            <w:tcW w:w="152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3120" w:type="dxa"/>
            <w:vAlign w:val="bottom"/>
            <w:gridSpan w:val="2"/>
          </w:tcPr>
          <w:p>
            <w:pPr>
              <w:spacing w:after="0"/>
              <w:rPr>
                <w:sz w:val="20"/>
                <w:szCs w:val="20"/>
                <w:color w:val="auto"/>
              </w:rPr>
            </w:pPr>
            <w:r>
              <w:rPr>
                <w:rFonts w:ascii="Arial" w:cs="Arial" w:eastAsia="Arial" w:hAnsi="Arial"/>
                <w:sz w:val="16"/>
                <w:szCs w:val="16"/>
                <w:color w:val="auto"/>
              </w:rPr>
              <w:t>idX Corporation</w:t>
            </w:r>
          </w:p>
        </w:tc>
        <w:tc>
          <w:tcPr>
            <w:tcW w:w="1120" w:type="dxa"/>
            <w:vAlign w:val="bottom"/>
          </w:tcPr>
          <w:p>
            <w:pPr>
              <w:ind w:left="240"/>
              <w:spacing w:after="0"/>
              <w:rPr>
                <w:sz w:val="20"/>
                <w:szCs w:val="20"/>
                <w:color w:val="auto"/>
              </w:rPr>
            </w:pPr>
            <w:r>
              <w:rPr>
                <w:rFonts w:ascii="Arial" w:cs="Arial" w:eastAsia="Arial" w:hAnsi="Arial"/>
                <w:sz w:val="16"/>
                <w:szCs w:val="16"/>
                <w:color w:val="auto"/>
              </w:rPr>
              <w:t>Delaware</w:t>
            </w:r>
          </w:p>
        </w:tc>
        <w:tc>
          <w:tcPr>
            <w:tcW w:w="3300" w:type="dxa"/>
            <w:vAlign w:val="bottom"/>
            <w:gridSpan w:val="2"/>
          </w:tcPr>
          <w:p>
            <w:pPr>
              <w:ind w:left="100"/>
              <w:spacing w:after="0"/>
              <w:rPr>
                <w:sz w:val="20"/>
                <w:szCs w:val="20"/>
                <w:color w:val="auto"/>
              </w:rPr>
            </w:pPr>
            <w:r>
              <w:rPr>
                <w:rFonts w:ascii="Arial" w:cs="Arial" w:eastAsia="Arial" w:hAnsi="Arial"/>
                <w:sz w:val="16"/>
                <w:szCs w:val="16"/>
                <w:color w:val="auto"/>
              </w:rPr>
              <w:t>UFP Londonderry, LLC</w:t>
            </w:r>
          </w:p>
        </w:tc>
        <w:tc>
          <w:tcPr>
            <w:tcW w:w="1520" w:type="dxa"/>
            <w:vAlign w:val="bottom"/>
            <w:gridSpan w:val="2"/>
          </w:tcPr>
          <w:p>
            <w:pPr>
              <w:ind w:left="54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3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idX Corporation London Limited</w:t>
            </w:r>
          </w:p>
        </w:tc>
        <w:tc>
          <w:tcPr>
            <w:tcW w:w="442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England/WalesUFP Magna, LLC</w:t>
            </w:r>
          </w:p>
        </w:tc>
        <w:tc>
          <w:tcPr>
            <w:tcW w:w="152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3120" w:type="dxa"/>
            <w:vAlign w:val="bottom"/>
            <w:gridSpan w:val="2"/>
          </w:tcPr>
          <w:p>
            <w:pPr>
              <w:spacing w:after="0"/>
              <w:rPr>
                <w:sz w:val="20"/>
                <w:szCs w:val="20"/>
                <w:color w:val="auto"/>
              </w:rPr>
            </w:pPr>
            <w:r>
              <w:rPr>
                <w:rFonts w:ascii="Arial" w:cs="Arial" w:eastAsia="Arial" w:hAnsi="Arial"/>
                <w:sz w:val="16"/>
                <w:szCs w:val="16"/>
                <w:color w:val="auto"/>
              </w:rPr>
              <w:t>idX Dallas, LLC</w:t>
            </w:r>
          </w:p>
        </w:tc>
        <w:tc>
          <w:tcPr>
            <w:tcW w:w="1120" w:type="dxa"/>
            <w:vAlign w:val="bottom"/>
          </w:tcPr>
          <w:p>
            <w:pPr>
              <w:ind w:left="240"/>
              <w:spacing w:after="0"/>
              <w:rPr>
                <w:sz w:val="20"/>
                <w:szCs w:val="20"/>
                <w:color w:val="auto"/>
              </w:rPr>
            </w:pPr>
            <w:r>
              <w:rPr>
                <w:rFonts w:ascii="Arial" w:cs="Arial" w:eastAsia="Arial" w:hAnsi="Arial"/>
                <w:sz w:val="16"/>
                <w:szCs w:val="16"/>
                <w:color w:val="auto"/>
              </w:rPr>
              <w:t>Delaware</w:t>
            </w:r>
          </w:p>
        </w:tc>
        <w:tc>
          <w:tcPr>
            <w:tcW w:w="3300" w:type="dxa"/>
            <w:vAlign w:val="bottom"/>
            <w:gridSpan w:val="2"/>
          </w:tcPr>
          <w:p>
            <w:pPr>
              <w:ind w:left="100"/>
              <w:spacing w:after="0"/>
              <w:rPr>
                <w:sz w:val="20"/>
                <w:szCs w:val="20"/>
                <w:color w:val="auto"/>
              </w:rPr>
            </w:pPr>
            <w:r>
              <w:rPr>
                <w:rFonts w:ascii="Arial" w:cs="Arial" w:eastAsia="Arial" w:hAnsi="Arial"/>
                <w:sz w:val="16"/>
                <w:szCs w:val="16"/>
                <w:color w:val="auto"/>
              </w:rPr>
              <w:t>UFP McMinnville, LLC</w:t>
            </w:r>
          </w:p>
        </w:tc>
        <w:tc>
          <w:tcPr>
            <w:tcW w:w="1520" w:type="dxa"/>
            <w:vAlign w:val="bottom"/>
            <w:gridSpan w:val="2"/>
          </w:tcPr>
          <w:p>
            <w:pPr>
              <w:ind w:left="54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3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idX Dayton, LLC</w:t>
            </w:r>
          </w:p>
        </w:tc>
        <w:tc>
          <w:tcPr>
            <w:tcW w:w="11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Delaware</w:t>
            </w:r>
          </w:p>
        </w:tc>
        <w:tc>
          <w:tcPr>
            <w:tcW w:w="4820" w:type="dxa"/>
            <w:vAlign w:val="bottom"/>
            <w:gridSpan w:val="4"/>
            <w:shd w:val="clear" w:color="auto" w:fill="CCEEFF"/>
          </w:tcPr>
          <w:p>
            <w:pPr>
              <w:ind w:left="100"/>
              <w:spacing w:after="0"/>
              <w:rPr>
                <w:sz w:val="20"/>
                <w:szCs w:val="20"/>
                <w:color w:val="auto"/>
              </w:rPr>
            </w:pPr>
            <w:r>
              <w:rPr>
                <w:rFonts w:ascii="Arial" w:cs="Arial" w:eastAsia="Arial" w:hAnsi="Arial"/>
                <w:sz w:val="16"/>
                <w:szCs w:val="16"/>
                <w:color w:val="auto"/>
              </w:rPr>
              <w:t>UFP Mexico Embalaje y Distribution, S. de R.L. de C. V.Mexico</w:t>
            </w:r>
          </w:p>
        </w:tc>
        <w:tc>
          <w:tcPr>
            <w:tcW w:w="0" w:type="dxa"/>
            <w:vAlign w:val="bottom"/>
          </w:tcPr>
          <w:p>
            <w:pPr>
              <w:spacing w:after="0"/>
              <w:rPr>
                <w:sz w:val="1"/>
                <w:szCs w:val="1"/>
                <w:color w:val="auto"/>
              </w:rPr>
            </w:pPr>
          </w:p>
        </w:tc>
      </w:tr>
      <w:tr>
        <w:trPr>
          <w:trHeight w:val="203"/>
        </w:trPr>
        <w:tc>
          <w:tcPr>
            <w:tcW w:w="3120" w:type="dxa"/>
            <w:vAlign w:val="bottom"/>
            <w:gridSpan w:val="2"/>
          </w:tcPr>
          <w:p>
            <w:pPr>
              <w:spacing w:after="0"/>
              <w:rPr>
                <w:sz w:val="20"/>
                <w:szCs w:val="20"/>
                <w:color w:val="auto"/>
              </w:rPr>
            </w:pPr>
            <w:r>
              <w:rPr>
                <w:rFonts w:ascii="Arial" w:cs="Arial" w:eastAsia="Arial" w:hAnsi="Arial"/>
                <w:sz w:val="16"/>
                <w:szCs w:val="16"/>
                <w:color w:val="auto"/>
              </w:rPr>
              <w:t>idX Holdings, Inc.</w:t>
            </w:r>
          </w:p>
        </w:tc>
        <w:tc>
          <w:tcPr>
            <w:tcW w:w="1120" w:type="dxa"/>
            <w:vAlign w:val="bottom"/>
          </w:tcPr>
          <w:p>
            <w:pPr>
              <w:ind w:left="240"/>
              <w:spacing w:after="0"/>
              <w:rPr>
                <w:sz w:val="20"/>
                <w:szCs w:val="20"/>
                <w:color w:val="auto"/>
              </w:rPr>
            </w:pPr>
            <w:r>
              <w:rPr>
                <w:rFonts w:ascii="Arial" w:cs="Arial" w:eastAsia="Arial" w:hAnsi="Arial"/>
                <w:sz w:val="16"/>
                <w:szCs w:val="16"/>
                <w:color w:val="auto"/>
              </w:rPr>
              <w:t>Delaware</w:t>
            </w:r>
          </w:p>
        </w:tc>
        <w:tc>
          <w:tcPr>
            <w:tcW w:w="3300" w:type="dxa"/>
            <w:vAlign w:val="bottom"/>
            <w:gridSpan w:val="2"/>
          </w:tcPr>
          <w:p>
            <w:pPr>
              <w:ind w:left="100"/>
              <w:spacing w:after="0"/>
              <w:rPr>
                <w:sz w:val="20"/>
                <w:szCs w:val="20"/>
                <w:color w:val="auto"/>
              </w:rPr>
            </w:pPr>
            <w:r>
              <w:rPr>
                <w:rFonts w:ascii="Arial" w:cs="Arial" w:eastAsia="Arial" w:hAnsi="Arial"/>
                <w:sz w:val="16"/>
                <w:szCs w:val="16"/>
                <w:color w:val="auto"/>
              </w:rPr>
              <w:t>UFP Mexico Investment, LLC</w:t>
            </w:r>
          </w:p>
        </w:tc>
        <w:tc>
          <w:tcPr>
            <w:tcW w:w="1520" w:type="dxa"/>
            <w:vAlign w:val="bottom"/>
            <w:gridSpan w:val="2"/>
          </w:tcPr>
          <w:p>
            <w:pPr>
              <w:ind w:left="54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3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idX Impressions, LLC</w:t>
            </w:r>
          </w:p>
        </w:tc>
        <w:tc>
          <w:tcPr>
            <w:tcW w:w="11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Delaware</w:t>
            </w:r>
          </w:p>
        </w:tc>
        <w:tc>
          <w:tcPr>
            <w:tcW w:w="33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UFP Mid-Atlantic, LLC</w:t>
            </w:r>
          </w:p>
        </w:tc>
        <w:tc>
          <w:tcPr>
            <w:tcW w:w="152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3120" w:type="dxa"/>
            <w:vAlign w:val="bottom"/>
            <w:gridSpan w:val="2"/>
          </w:tcPr>
          <w:p>
            <w:pPr>
              <w:spacing w:after="0"/>
              <w:rPr>
                <w:sz w:val="20"/>
                <w:szCs w:val="20"/>
                <w:color w:val="auto"/>
              </w:rPr>
            </w:pPr>
            <w:r>
              <w:rPr>
                <w:rFonts w:ascii="Arial" w:cs="Arial" w:eastAsia="Arial" w:hAnsi="Arial"/>
                <w:sz w:val="16"/>
                <w:szCs w:val="16"/>
                <w:color w:val="auto"/>
              </w:rPr>
              <w:t>idX Los Angeles, LLC</w:t>
            </w:r>
          </w:p>
        </w:tc>
        <w:tc>
          <w:tcPr>
            <w:tcW w:w="1120" w:type="dxa"/>
            <w:vAlign w:val="bottom"/>
          </w:tcPr>
          <w:p>
            <w:pPr>
              <w:ind w:left="240"/>
              <w:spacing w:after="0"/>
              <w:rPr>
                <w:sz w:val="20"/>
                <w:szCs w:val="20"/>
                <w:color w:val="auto"/>
              </w:rPr>
            </w:pPr>
            <w:r>
              <w:rPr>
                <w:rFonts w:ascii="Arial" w:cs="Arial" w:eastAsia="Arial" w:hAnsi="Arial"/>
                <w:sz w:val="16"/>
                <w:szCs w:val="16"/>
                <w:color w:val="auto"/>
              </w:rPr>
              <w:t>Delaware</w:t>
            </w:r>
          </w:p>
        </w:tc>
        <w:tc>
          <w:tcPr>
            <w:tcW w:w="3300" w:type="dxa"/>
            <w:vAlign w:val="bottom"/>
            <w:gridSpan w:val="2"/>
          </w:tcPr>
          <w:p>
            <w:pPr>
              <w:ind w:left="100"/>
              <w:spacing w:after="0"/>
              <w:rPr>
                <w:sz w:val="20"/>
                <w:szCs w:val="20"/>
                <w:color w:val="auto"/>
              </w:rPr>
            </w:pPr>
            <w:r>
              <w:rPr>
                <w:rFonts w:ascii="Arial" w:cs="Arial" w:eastAsia="Arial" w:hAnsi="Arial"/>
                <w:sz w:val="16"/>
                <w:szCs w:val="16"/>
                <w:color w:val="auto"/>
              </w:rPr>
              <w:t>UFP Milwaukee, LLC</w:t>
            </w:r>
          </w:p>
        </w:tc>
        <w:tc>
          <w:tcPr>
            <w:tcW w:w="1520" w:type="dxa"/>
            <w:vAlign w:val="bottom"/>
            <w:gridSpan w:val="2"/>
          </w:tcPr>
          <w:p>
            <w:pPr>
              <w:ind w:left="54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3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idX Mexico, S. de R.L. de C.V.</w:t>
            </w:r>
          </w:p>
        </w:tc>
        <w:tc>
          <w:tcPr>
            <w:tcW w:w="11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Mexico</w:t>
            </w:r>
          </w:p>
        </w:tc>
        <w:tc>
          <w:tcPr>
            <w:tcW w:w="33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UFP Minneota, LLC</w:t>
            </w:r>
          </w:p>
        </w:tc>
        <w:tc>
          <w:tcPr>
            <w:tcW w:w="152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3120" w:type="dxa"/>
            <w:vAlign w:val="bottom"/>
            <w:gridSpan w:val="2"/>
          </w:tcPr>
          <w:p>
            <w:pPr>
              <w:spacing w:after="0"/>
              <w:rPr>
                <w:sz w:val="20"/>
                <w:szCs w:val="20"/>
                <w:color w:val="auto"/>
              </w:rPr>
            </w:pPr>
            <w:r>
              <w:rPr>
                <w:rFonts w:ascii="Arial" w:cs="Arial" w:eastAsia="Arial" w:hAnsi="Arial"/>
                <w:sz w:val="16"/>
                <w:szCs w:val="16"/>
                <w:color w:val="auto"/>
              </w:rPr>
              <w:t>idX Shanghai Trading Company Ltd.</w:t>
            </w:r>
          </w:p>
        </w:tc>
        <w:tc>
          <w:tcPr>
            <w:tcW w:w="1120" w:type="dxa"/>
            <w:vAlign w:val="bottom"/>
          </w:tcPr>
          <w:p>
            <w:pPr>
              <w:ind w:left="240"/>
              <w:spacing w:after="0"/>
              <w:rPr>
                <w:sz w:val="20"/>
                <w:szCs w:val="20"/>
                <w:color w:val="auto"/>
              </w:rPr>
            </w:pPr>
            <w:r>
              <w:rPr>
                <w:rFonts w:ascii="Arial" w:cs="Arial" w:eastAsia="Arial" w:hAnsi="Arial"/>
                <w:sz w:val="16"/>
                <w:szCs w:val="16"/>
                <w:color w:val="auto"/>
              </w:rPr>
              <w:t>China</w:t>
            </w:r>
          </w:p>
        </w:tc>
        <w:tc>
          <w:tcPr>
            <w:tcW w:w="3300" w:type="dxa"/>
            <w:vAlign w:val="bottom"/>
            <w:gridSpan w:val="2"/>
          </w:tcPr>
          <w:p>
            <w:pPr>
              <w:ind w:left="100"/>
              <w:spacing w:after="0"/>
              <w:rPr>
                <w:sz w:val="20"/>
                <w:szCs w:val="20"/>
                <w:color w:val="auto"/>
              </w:rPr>
            </w:pPr>
            <w:r>
              <w:rPr>
                <w:rFonts w:ascii="Arial" w:cs="Arial" w:eastAsia="Arial" w:hAnsi="Arial"/>
                <w:sz w:val="16"/>
                <w:szCs w:val="16"/>
                <w:color w:val="auto"/>
              </w:rPr>
              <w:t>UFP Morristown, LLC</w:t>
            </w:r>
          </w:p>
        </w:tc>
        <w:tc>
          <w:tcPr>
            <w:tcW w:w="1520" w:type="dxa"/>
            <w:vAlign w:val="bottom"/>
            <w:gridSpan w:val="2"/>
          </w:tcPr>
          <w:p>
            <w:pPr>
              <w:ind w:left="54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3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Integra International Pty Ltd</w:t>
            </w:r>
          </w:p>
        </w:tc>
        <w:tc>
          <w:tcPr>
            <w:tcW w:w="11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Australia</w:t>
            </w:r>
          </w:p>
        </w:tc>
        <w:tc>
          <w:tcPr>
            <w:tcW w:w="33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UFP Moultrie, LLC</w:t>
            </w:r>
          </w:p>
        </w:tc>
        <w:tc>
          <w:tcPr>
            <w:tcW w:w="152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3120" w:type="dxa"/>
            <w:vAlign w:val="bottom"/>
            <w:gridSpan w:val="2"/>
          </w:tcPr>
          <w:p>
            <w:pPr>
              <w:spacing w:after="0"/>
              <w:rPr>
                <w:sz w:val="20"/>
                <w:szCs w:val="20"/>
                <w:color w:val="auto"/>
              </w:rPr>
            </w:pPr>
            <w:r>
              <w:rPr>
                <w:rFonts w:ascii="Arial" w:cs="Arial" w:eastAsia="Arial" w:hAnsi="Arial"/>
                <w:sz w:val="16"/>
                <w:szCs w:val="16"/>
                <w:color w:val="auto"/>
              </w:rPr>
              <w:t>Integra Packaging Pty Ltd</w:t>
            </w:r>
          </w:p>
        </w:tc>
        <w:tc>
          <w:tcPr>
            <w:tcW w:w="1120" w:type="dxa"/>
            <w:vAlign w:val="bottom"/>
          </w:tcPr>
          <w:p>
            <w:pPr>
              <w:ind w:left="240"/>
              <w:spacing w:after="0"/>
              <w:rPr>
                <w:sz w:val="20"/>
                <w:szCs w:val="20"/>
                <w:color w:val="auto"/>
              </w:rPr>
            </w:pPr>
            <w:r>
              <w:rPr>
                <w:rFonts w:ascii="Arial" w:cs="Arial" w:eastAsia="Arial" w:hAnsi="Arial"/>
                <w:sz w:val="16"/>
                <w:szCs w:val="16"/>
                <w:color w:val="auto"/>
              </w:rPr>
              <w:t>Australia</w:t>
            </w:r>
          </w:p>
        </w:tc>
        <w:tc>
          <w:tcPr>
            <w:tcW w:w="3300" w:type="dxa"/>
            <w:vAlign w:val="bottom"/>
            <w:gridSpan w:val="2"/>
          </w:tcPr>
          <w:p>
            <w:pPr>
              <w:ind w:left="100"/>
              <w:spacing w:after="0"/>
              <w:rPr>
                <w:sz w:val="20"/>
                <w:szCs w:val="20"/>
                <w:color w:val="auto"/>
              </w:rPr>
            </w:pPr>
            <w:r>
              <w:rPr>
                <w:rFonts w:ascii="Arial" w:cs="Arial" w:eastAsia="Arial" w:hAnsi="Arial"/>
                <w:sz w:val="16"/>
                <w:szCs w:val="16"/>
                <w:color w:val="auto"/>
              </w:rPr>
              <w:t>UFP Mountain West, LLC</w:t>
            </w:r>
          </w:p>
        </w:tc>
        <w:tc>
          <w:tcPr>
            <w:tcW w:w="1520" w:type="dxa"/>
            <w:vAlign w:val="bottom"/>
            <w:gridSpan w:val="2"/>
          </w:tcPr>
          <w:p>
            <w:pPr>
              <w:ind w:left="54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2"/>
        </w:trPr>
        <w:tc>
          <w:tcPr>
            <w:tcW w:w="3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Landura, LLC</w:t>
            </w:r>
          </w:p>
        </w:tc>
        <w:tc>
          <w:tcPr>
            <w:tcW w:w="11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Texas</w:t>
            </w:r>
          </w:p>
        </w:tc>
        <w:tc>
          <w:tcPr>
            <w:tcW w:w="33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UFP NAC, LLC</w:t>
            </w:r>
          </w:p>
        </w:tc>
        <w:tc>
          <w:tcPr>
            <w:tcW w:w="152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3120" w:type="dxa"/>
            <w:vAlign w:val="bottom"/>
            <w:gridSpan w:val="2"/>
          </w:tcPr>
          <w:p>
            <w:pPr>
              <w:spacing w:after="0"/>
              <w:rPr>
                <w:sz w:val="20"/>
                <w:szCs w:val="20"/>
                <w:color w:val="auto"/>
              </w:rPr>
            </w:pPr>
            <w:r>
              <w:rPr>
                <w:rFonts w:ascii="Arial" w:cs="Arial" w:eastAsia="Arial" w:hAnsi="Arial"/>
                <w:sz w:val="16"/>
                <w:szCs w:val="16"/>
                <w:color w:val="auto"/>
              </w:rPr>
              <w:t>Metaworld Technologies, LLC</w:t>
            </w:r>
          </w:p>
        </w:tc>
        <w:tc>
          <w:tcPr>
            <w:tcW w:w="1120" w:type="dxa"/>
            <w:vAlign w:val="bottom"/>
          </w:tcPr>
          <w:p>
            <w:pPr>
              <w:ind w:left="240"/>
              <w:spacing w:after="0"/>
              <w:rPr>
                <w:sz w:val="20"/>
                <w:szCs w:val="20"/>
                <w:color w:val="auto"/>
              </w:rPr>
            </w:pPr>
            <w:r>
              <w:rPr>
                <w:rFonts w:ascii="Arial" w:cs="Arial" w:eastAsia="Arial" w:hAnsi="Arial"/>
                <w:sz w:val="16"/>
                <w:szCs w:val="16"/>
                <w:color w:val="auto"/>
              </w:rPr>
              <w:t>Michigan</w:t>
            </w:r>
          </w:p>
        </w:tc>
        <w:tc>
          <w:tcPr>
            <w:tcW w:w="3300" w:type="dxa"/>
            <w:vAlign w:val="bottom"/>
            <w:gridSpan w:val="2"/>
          </w:tcPr>
          <w:p>
            <w:pPr>
              <w:ind w:left="100"/>
              <w:spacing w:after="0"/>
              <w:rPr>
                <w:sz w:val="20"/>
                <w:szCs w:val="20"/>
                <w:color w:val="auto"/>
              </w:rPr>
            </w:pPr>
            <w:r>
              <w:rPr>
                <w:rFonts w:ascii="Arial" w:cs="Arial" w:eastAsia="Arial" w:hAnsi="Arial"/>
                <w:sz w:val="16"/>
                <w:szCs w:val="16"/>
                <w:color w:val="auto"/>
              </w:rPr>
              <w:t>UFP Nappanee, LLC</w:t>
            </w:r>
          </w:p>
        </w:tc>
        <w:tc>
          <w:tcPr>
            <w:tcW w:w="1520" w:type="dxa"/>
            <w:vAlign w:val="bottom"/>
            <w:gridSpan w:val="2"/>
          </w:tcPr>
          <w:p>
            <w:pPr>
              <w:ind w:left="54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3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North Atlantic Framing, LLC</w:t>
            </w:r>
          </w:p>
        </w:tc>
        <w:tc>
          <w:tcPr>
            <w:tcW w:w="11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Michigan</w:t>
            </w:r>
          </w:p>
        </w:tc>
        <w:tc>
          <w:tcPr>
            <w:tcW w:w="33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UFP New London, LLC</w:t>
            </w:r>
          </w:p>
        </w:tc>
        <w:tc>
          <w:tcPr>
            <w:tcW w:w="152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3120" w:type="dxa"/>
            <w:vAlign w:val="bottom"/>
            <w:gridSpan w:val="2"/>
          </w:tcPr>
          <w:p>
            <w:pPr>
              <w:spacing w:after="0"/>
              <w:rPr>
                <w:sz w:val="20"/>
                <w:szCs w:val="20"/>
                <w:color w:val="auto"/>
              </w:rPr>
            </w:pPr>
            <w:r>
              <w:rPr>
                <w:rFonts w:ascii="Arial" w:cs="Arial" w:eastAsia="Arial" w:hAnsi="Arial"/>
                <w:sz w:val="16"/>
                <w:szCs w:val="16"/>
                <w:color w:val="auto"/>
              </w:rPr>
              <w:t>Norpal S. de R.L. de C.V.</w:t>
            </w:r>
          </w:p>
        </w:tc>
        <w:tc>
          <w:tcPr>
            <w:tcW w:w="1120" w:type="dxa"/>
            <w:vAlign w:val="bottom"/>
          </w:tcPr>
          <w:p>
            <w:pPr>
              <w:ind w:left="240"/>
              <w:spacing w:after="0"/>
              <w:rPr>
                <w:sz w:val="20"/>
                <w:szCs w:val="20"/>
                <w:color w:val="auto"/>
              </w:rPr>
            </w:pPr>
            <w:r>
              <w:rPr>
                <w:rFonts w:ascii="Arial" w:cs="Arial" w:eastAsia="Arial" w:hAnsi="Arial"/>
                <w:sz w:val="16"/>
                <w:szCs w:val="16"/>
                <w:color w:val="auto"/>
              </w:rPr>
              <w:t>Mexico</w:t>
            </w:r>
          </w:p>
        </w:tc>
        <w:tc>
          <w:tcPr>
            <w:tcW w:w="3300" w:type="dxa"/>
            <w:vAlign w:val="bottom"/>
            <w:gridSpan w:val="2"/>
          </w:tcPr>
          <w:p>
            <w:pPr>
              <w:ind w:left="100"/>
              <w:spacing w:after="0"/>
              <w:rPr>
                <w:sz w:val="20"/>
                <w:szCs w:val="20"/>
                <w:color w:val="auto"/>
              </w:rPr>
            </w:pPr>
            <w:r>
              <w:rPr>
                <w:rFonts w:ascii="Arial" w:cs="Arial" w:eastAsia="Arial" w:hAnsi="Arial"/>
                <w:sz w:val="16"/>
                <w:szCs w:val="16"/>
                <w:color w:val="auto"/>
              </w:rPr>
              <w:t>UFP New Waverly, LLC</w:t>
            </w:r>
          </w:p>
        </w:tc>
        <w:tc>
          <w:tcPr>
            <w:tcW w:w="1520" w:type="dxa"/>
            <w:vAlign w:val="bottom"/>
            <w:gridSpan w:val="2"/>
          </w:tcPr>
          <w:p>
            <w:pPr>
              <w:ind w:left="54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3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Pinelli Lumber, Inc.</w:t>
            </w:r>
          </w:p>
        </w:tc>
        <w:tc>
          <w:tcPr>
            <w:tcW w:w="11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Texas</w:t>
            </w:r>
          </w:p>
        </w:tc>
        <w:tc>
          <w:tcPr>
            <w:tcW w:w="33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UFP New Windsor, LLC</w:t>
            </w:r>
          </w:p>
        </w:tc>
        <w:tc>
          <w:tcPr>
            <w:tcW w:w="152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3120" w:type="dxa"/>
            <w:vAlign w:val="bottom"/>
            <w:gridSpan w:val="2"/>
          </w:tcPr>
          <w:p>
            <w:pPr>
              <w:spacing w:after="0"/>
              <w:rPr>
                <w:sz w:val="20"/>
                <w:szCs w:val="20"/>
                <w:color w:val="auto"/>
              </w:rPr>
            </w:pPr>
            <w:r>
              <w:rPr>
                <w:rFonts w:ascii="Arial" w:cs="Arial" w:eastAsia="Arial" w:hAnsi="Arial"/>
                <w:sz w:val="16"/>
                <w:szCs w:val="16"/>
                <w:color w:val="auto"/>
              </w:rPr>
              <w:t>Pinelli Universal TKT, S de R.L. de C.V.</w:t>
            </w:r>
          </w:p>
        </w:tc>
        <w:tc>
          <w:tcPr>
            <w:tcW w:w="1120" w:type="dxa"/>
            <w:vAlign w:val="bottom"/>
          </w:tcPr>
          <w:p>
            <w:pPr>
              <w:ind w:left="240"/>
              <w:spacing w:after="0"/>
              <w:rPr>
                <w:sz w:val="20"/>
                <w:szCs w:val="20"/>
                <w:color w:val="auto"/>
              </w:rPr>
            </w:pPr>
            <w:r>
              <w:rPr>
                <w:rFonts w:ascii="Arial" w:cs="Arial" w:eastAsia="Arial" w:hAnsi="Arial"/>
                <w:sz w:val="16"/>
                <w:szCs w:val="16"/>
                <w:color w:val="auto"/>
              </w:rPr>
              <w:t>Mexico</w:t>
            </w:r>
          </w:p>
        </w:tc>
        <w:tc>
          <w:tcPr>
            <w:tcW w:w="3300" w:type="dxa"/>
            <w:vAlign w:val="bottom"/>
            <w:gridSpan w:val="2"/>
          </w:tcPr>
          <w:p>
            <w:pPr>
              <w:ind w:left="100"/>
              <w:spacing w:after="0"/>
              <w:rPr>
                <w:sz w:val="20"/>
                <w:szCs w:val="20"/>
                <w:color w:val="auto"/>
              </w:rPr>
            </w:pPr>
            <w:r>
              <w:rPr>
                <w:rFonts w:ascii="Arial" w:cs="Arial" w:eastAsia="Arial" w:hAnsi="Arial"/>
                <w:sz w:val="16"/>
                <w:szCs w:val="16"/>
                <w:color w:val="auto"/>
              </w:rPr>
              <w:t>UFP New York, LLC</w:t>
            </w:r>
          </w:p>
        </w:tc>
        <w:tc>
          <w:tcPr>
            <w:tcW w:w="1520" w:type="dxa"/>
            <w:vAlign w:val="bottom"/>
            <w:gridSpan w:val="2"/>
          </w:tcPr>
          <w:p>
            <w:pPr>
              <w:ind w:left="54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3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Pinelli Universal, S de R.L. de C.V.</w:t>
            </w:r>
          </w:p>
        </w:tc>
        <w:tc>
          <w:tcPr>
            <w:tcW w:w="11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Mexico</w:t>
            </w:r>
          </w:p>
        </w:tc>
        <w:tc>
          <w:tcPr>
            <w:tcW w:w="33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UFP North Atlantic, LLC</w:t>
            </w:r>
          </w:p>
        </w:tc>
        <w:tc>
          <w:tcPr>
            <w:tcW w:w="152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3120" w:type="dxa"/>
            <w:vAlign w:val="bottom"/>
            <w:gridSpan w:val="2"/>
          </w:tcPr>
          <w:p>
            <w:pPr>
              <w:spacing w:after="0"/>
              <w:rPr>
                <w:sz w:val="20"/>
                <w:szCs w:val="20"/>
                <w:color w:val="auto"/>
              </w:rPr>
            </w:pPr>
            <w:r>
              <w:rPr>
                <w:rFonts w:ascii="Arial" w:cs="Arial" w:eastAsia="Arial" w:hAnsi="Arial"/>
                <w:sz w:val="16"/>
                <w:szCs w:val="16"/>
                <w:color w:val="auto"/>
              </w:rPr>
              <w:t>Pinelli Universal Chile S.A.</w:t>
            </w:r>
          </w:p>
        </w:tc>
        <w:tc>
          <w:tcPr>
            <w:tcW w:w="1120" w:type="dxa"/>
            <w:vAlign w:val="bottom"/>
          </w:tcPr>
          <w:p>
            <w:pPr>
              <w:ind w:left="240"/>
              <w:spacing w:after="0"/>
              <w:rPr>
                <w:sz w:val="20"/>
                <w:szCs w:val="20"/>
                <w:color w:val="auto"/>
              </w:rPr>
            </w:pPr>
            <w:r>
              <w:rPr>
                <w:rFonts w:ascii="Arial" w:cs="Arial" w:eastAsia="Arial" w:hAnsi="Arial"/>
                <w:sz w:val="16"/>
                <w:szCs w:val="16"/>
                <w:color w:val="auto"/>
              </w:rPr>
              <w:t>Chile</w:t>
            </w:r>
          </w:p>
        </w:tc>
        <w:tc>
          <w:tcPr>
            <w:tcW w:w="3300" w:type="dxa"/>
            <w:vAlign w:val="bottom"/>
            <w:gridSpan w:val="2"/>
          </w:tcPr>
          <w:p>
            <w:pPr>
              <w:ind w:left="100"/>
              <w:spacing w:after="0"/>
              <w:rPr>
                <w:sz w:val="20"/>
                <w:szCs w:val="20"/>
                <w:color w:val="auto"/>
              </w:rPr>
            </w:pPr>
            <w:r>
              <w:rPr>
                <w:rFonts w:ascii="Arial" w:cs="Arial" w:eastAsia="Arial" w:hAnsi="Arial"/>
                <w:sz w:val="16"/>
                <w:szCs w:val="16"/>
                <w:color w:val="auto"/>
              </w:rPr>
              <w:t>UFP Northeast, LLC</w:t>
            </w:r>
          </w:p>
        </w:tc>
        <w:tc>
          <w:tcPr>
            <w:tcW w:w="1520" w:type="dxa"/>
            <w:vAlign w:val="bottom"/>
            <w:gridSpan w:val="2"/>
          </w:tcPr>
          <w:p>
            <w:pPr>
              <w:ind w:left="54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3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PR Distribution, LLC</w:t>
            </w:r>
          </w:p>
        </w:tc>
        <w:tc>
          <w:tcPr>
            <w:tcW w:w="11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Puerto Rico</w:t>
            </w:r>
          </w:p>
        </w:tc>
        <w:tc>
          <w:tcPr>
            <w:tcW w:w="33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UFP Orlando, LLC</w:t>
            </w:r>
          </w:p>
        </w:tc>
        <w:tc>
          <w:tcPr>
            <w:tcW w:w="152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3120" w:type="dxa"/>
            <w:vAlign w:val="bottom"/>
            <w:gridSpan w:val="2"/>
          </w:tcPr>
          <w:p>
            <w:pPr>
              <w:spacing w:after="0"/>
              <w:rPr>
                <w:sz w:val="20"/>
                <w:szCs w:val="20"/>
                <w:color w:val="auto"/>
              </w:rPr>
            </w:pPr>
            <w:r>
              <w:rPr>
                <w:rFonts w:ascii="Arial" w:cs="Arial" w:eastAsia="Arial" w:hAnsi="Arial"/>
                <w:sz w:val="16"/>
                <w:szCs w:val="16"/>
                <w:color w:val="auto"/>
              </w:rPr>
              <w:t>Shawnlee Construction, LLC</w:t>
            </w:r>
          </w:p>
        </w:tc>
        <w:tc>
          <w:tcPr>
            <w:tcW w:w="1120" w:type="dxa"/>
            <w:vAlign w:val="bottom"/>
          </w:tcPr>
          <w:p>
            <w:pPr>
              <w:ind w:left="240"/>
              <w:spacing w:after="0"/>
              <w:rPr>
                <w:sz w:val="20"/>
                <w:szCs w:val="20"/>
                <w:color w:val="auto"/>
              </w:rPr>
            </w:pPr>
            <w:r>
              <w:rPr>
                <w:rFonts w:ascii="Arial" w:cs="Arial" w:eastAsia="Arial" w:hAnsi="Arial"/>
                <w:sz w:val="16"/>
                <w:szCs w:val="16"/>
                <w:color w:val="auto"/>
              </w:rPr>
              <w:t>Michigan</w:t>
            </w:r>
          </w:p>
        </w:tc>
        <w:tc>
          <w:tcPr>
            <w:tcW w:w="3300" w:type="dxa"/>
            <w:vAlign w:val="bottom"/>
            <w:gridSpan w:val="2"/>
          </w:tcPr>
          <w:p>
            <w:pPr>
              <w:ind w:left="100"/>
              <w:spacing w:after="0"/>
              <w:rPr>
                <w:sz w:val="20"/>
                <w:szCs w:val="20"/>
                <w:color w:val="auto"/>
              </w:rPr>
            </w:pPr>
            <w:r>
              <w:rPr>
                <w:rFonts w:ascii="Arial" w:cs="Arial" w:eastAsia="Arial" w:hAnsi="Arial"/>
                <w:sz w:val="16"/>
                <w:szCs w:val="16"/>
                <w:color w:val="auto"/>
              </w:rPr>
              <w:t>UFP Packaging, LLC</w:t>
            </w:r>
          </w:p>
        </w:tc>
        <w:tc>
          <w:tcPr>
            <w:tcW w:w="1520" w:type="dxa"/>
            <w:vAlign w:val="bottom"/>
            <w:gridSpan w:val="2"/>
          </w:tcPr>
          <w:p>
            <w:pPr>
              <w:ind w:left="54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3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Shepardville Construction, LLC</w:t>
            </w:r>
          </w:p>
        </w:tc>
        <w:tc>
          <w:tcPr>
            <w:tcW w:w="11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Michigan</w:t>
            </w:r>
          </w:p>
        </w:tc>
        <w:tc>
          <w:tcPr>
            <w:tcW w:w="33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UFP Palm Beach, LLC</w:t>
            </w:r>
          </w:p>
        </w:tc>
        <w:tc>
          <w:tcPr>
            <w:tcW w:w="152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3120" w:type="dxa"/>
            <w:vAlign w:val="bottom"/>
            <w:gridSpan w:val="2"/>
          </w:tcPr>
          <w:p>
            <w:pPr>
              <w:spacing w:after="0"/>
              <w:rPr>
                <w:sz w:val="20"/>
                <w:szCs w:val="20"/>
                <w:color w:val="auto"/>
              </w:rPr>
            </w:pPr>
            <w:r>
              <w:rPr>
                <w:rFonts w:ascii="Arial" w:cs="Arial" w:eastAsia="Arial" w:hAnsi="Arial"/>
                <w:sz w:val="16"/>
                <w:szCs w:val="16"/>
                <w:color w:val="auto"/>
              </w:rPr>
              <w:t>Store Fixtures Canada Holdings, Inc.</w:t>
            </w:r>
          </w:p>
        </w:tc>
        <w:tc>
          <w:tcPr>
            <w:tcW w:w="1120" w:type="dxa"/>
            <w:vAlign w:val="bottom"/>
          </w:tcPr>
          <w:p>
            <w:pPr>
              <w:ind w:left="240"/>
              <w:spacing w:after="0"/>
              <w:rPr>
                <w:sz w:val="20"/>
                <w:szCs w:val="20"/>
                <w:color w:val="auto"/>
              </w:rPr>
            </w:pPr>
            <w:r>
              <w:rPr>
                <w:rFonts w:ascii="Arial" w:cs="Arial" w:eastAsia="Arial" w:hAnsi="Arial"/>
                <w:sz w:val="16"/>
                <w:szCs w:val="16"/>
                <w:color w:val="auto"/>
              </w:rPr>
              <w:t>Delaware</w:t>
            </w:r>
          </w:p>
        </w:tc>
        <w:tc>
          <w:tcPr>
            <w:tcW w:w="3300" w:type="dxa"/>
            <w:vAlign w:val="bottom"/>
            <w:gridSpan w:val="2"/>
          </w:tcPr>
          <w:p>
            <w:pPr>
              <w:ind w:left="100"/>
              <w:spacing w:after="0"/>
              <w:rPr>
                <w:sz w:val="20"/>
                <w:szCs w:val="20"/>
                <w:color w:val="auto"/>
              </w:rPr>
            </w:pPr>
            <w:r>
              <w:rPr>
                <w:rFonts w:ascii="Arial" w:cs="Arial" w:eastAsia="Arial" w:hAnsi="Arial"/>
                <w:sz w:val="16"/>
                <w:szCs w:val="16"/>
                <w:color w:val="auto"/>
              </w:rPr>
              <w:t>UFP Parker, LLC</w:t>
            </w:r>
          </w:p>
        </w:tc>
        <w:tc>
          <w:tcPr>
            <w:tcW w:w="1520" w:type="dxa"/>
            <w:vAlign w:val="bottom"/>
            <w:gridSpan w:val="2"/>
          </w:tcPr>
          <w:p>
            <w:pPr>
              <w:ind w:left="54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3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The UBEECO Group Pty Ltd</w:t>
            </w:r>
          </w:p>
        </w:tc>
        <w:tc>
          <w:tcPr>
            <w:tcW w:w="11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Australia</w:t>
            </w:r>
          </w:p>
        </w:tc>
        <w:tc>
          <w:tcPr>
            <w:tcW w:w="33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UFP Purchasing, Inc.</w:t>
            </w:r>
          </w:p>
        </w:tc>
        <w:tc>
          <w:tcPr>
            <w:tcW w:w="152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4240" w:type="dxa"/>
            <w:vAlign w:val="bottom"/>
            <w:gridSpan w:val="3"/>
          </w:tcPr>
          <w:p>
            <w:pPr>
              <w:spacing w:after="0"/>
              <w:rPr>
                <w:sz w:val="20"/>
                <w:szCs w:val="20"/>
                <w:color w:val="auto"/>
              </w:rPr>
            </w:pPr>
            <w:r>
              <w:rPr>
                <w:rFonts w:ascii="Arial" w:cs="Arial" w:eastAsia="Arial" w:hAnsi="Arial"/>
                <w:sz w:val="16"/>
                <w:szCs w:val="16"/>
                <w:color w:val="auto"/>
              </w:rPr>
              <w:t>Tibasa Universal Forest Products S. de R.L. de C.V.Mexico</w:t>
            </w:r>
          </w:p>
        </w:tc>
        <w:tc>
          <w:tcPr>
            <w:tcW w:w="3300" w:type="dxa"/>
            <w:vAlign w:val="bottom"/>
            <w:gridSpan w:val="2"/>
          </w:tcPr>
          <w:p>
            <w:pPr>
              <w:ind w:left="100"/>
              <w:spacing w:after="0"/>
              <w:rPr>
                <w:sz w:val="20"/>
                <w:szCs w:val="20"/>
                <w:color w:val="auto"/>
              </w:rPr>
            </w:pPr>
            <w:r>
              <w:rPr>
                <w:rFonts w:ascii="Arial" w:cs="Arial" w:eastAsia="Arial" w:hAnsi="Arial"/>
                <w:sz w:val="16"/>
                <w:szCs w:val="16"/>
                <w:color w:val="auto"/>
              </w:rPr>
              <w:t>UFP Ranson, LLC</w:t>
            </w:r>
          </w:p>
        </w:tc>
        <w:tc>
          <w:tcPr>
            <w:tcW w:w="1520" w:type="dxa"/>
            <w:vAlign w:val="bottom"/>
            <w:gridSpan w:val="2"/>
          </w:tcPr>
          <w:p>
            <w:pPr>
              <w:ind w:left="54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3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Tresstar, LLC</w:t>
            </w:r>
          </w:p>
        </w:tc>
        <w:tc>
          <w:tcPr>
            <w:tcW w:w="11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Michigan</w:t>
            </w:r>
          </w:p>
        </w:tc>
        <w:tc>
          <w:tcPr>
            <w:tcW w:w="33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UFP Real Estate, LLC</w:t>
            </w:r>
          </w:p>
        </w:tc>
        <w:tc>
          <w:tcPr>
            <w:tcW w:w="152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3120" w:type="dxa"/>
            <w:vAlign w:val="bottom"/>
            <w:gridSpan w:val="2"/>
          </w:tcPr>
          <w:p>
            <w:pPr>
              <w:spacing w:after="0"/>
              <w:rPr>
                <w:sz w:val="20"/>
                <w:szCs w:val="20"/>
                <w:color w:val="auto"/>
              </w:rPr>
            </w:pPr>
            <w:r>
              <w:rPr>
                <w:rFonts w:ascii="Arial" w:cs="Arial" w:eastAsia="Arial" w:hAnsi="Arial"/>
                <w:sz w:val="16"/>
                <w:szCs w:val="16"/>
                <w:color w:val="auto"/>
              </w:rPr>
              <w:t>Triangle Systems, Inc.</w:t>
            </w:r>
          </w:p>
        </w:tc>
        <w:tc>
          <w:tcPr>
            <w:tcW w:w="1120" w:type="dxa"/>
            <w:vAlign w:val="bottom"/>
          </w:tcPr>
          <w:p>
            <w:pPr>
              <w:ind w:left="240"/>
              <w:spacing w:after="0"/>
              <w:rPr>
                <w:sz w:val="20"/>
                <w:szCs w:val="20"/>
                <w:color w:val="auto"/>
              </w:rPr>
            </w:pPr>
            <w:r>
              <w:rPr>
                <w:rFonts w:ascii="Arial" w:cs="Arial" w:eastAsia="Arial" w:hAnsi="Arial"/>
                <w:sz w:val="16"/>
                <w:szCs w:val="16"/>
                <w:color w:val="auto"/>
              </w:rPr>
              <w:t>Delaware</w:t>
            </w:r>
          </w:p>
        </w:tc>
        <w:tc>
          <w:tcPr>
            <w:tcW w:w="3300" w:type="dxa"/>
            <w:vAlign w:val="bottom"/>
            <w:gridSpan w:val="2"/>
          </w:tcPr>
          <w:p>
            <w:pPr>
              <w:ind w:left="100"/>
              <w:spacing w:after="0"/>
              <w:rPr>
                <w:sz w:val="20"/>
                <w:szCs w:val="20"/>
                <w:color w:val="auto"/>
              </w:rPr>
            </w:pPr>
            <w:r>
              <w:rPr>
                <w:rFonts w:ascii="Arial" w:cs="Arial" w:eastAsia="Arial" w:hAnsi="Arial"/>
                <w:sz w:val="16"/>
                <w:szCs w:val="16"/>
                <w:color w:val="auto"/>
              </w:rPr>
              <w:t>UFP Retail, LLC</w:t>
            </w:r>
          </w:p>
        </w:tc>
        <w:tc>
          <w:tcPr>
            <w:tcW w:w="1520" w:type="dxa"/>
            <w:vAlign w:val="bottom"/>
            <w:gridSpan w:val="2"/>
          </w:tcPr>
          <w:p>
            <w:pPr>
              <w:ind w:left="54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3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U.F.P. Mexico Holdings, S. de R.L.de CV</w:t>
            </w:r>
          </w:p>
        </w:tc>
        <w:tc>
          <w:tcPr>
            <w:tcW w:w="11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Mexico</w:t>
            </w:r>
          </w:p>
        </w:tc>
        <w:tc>
          <w:tcPr>
            <w:tcW w:w="33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UFP Riverside, LLC</w:t>
            </w:r>
          </w:p>
        </w:tc>
        <w:tc>
          <w:tcPr>
            <w:tcW w:w="152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3120" w:type="dxa"/>
            <w:vAlign w:val="bottom"/>
            <w:gridSpan w:val="2"/>
          </w:tcPr>
          <w:p>
            <w:pPr>
              <w:spacing w:after="0"/>
              <w:rPr>
                <w:sz w:val="20"/>
                <w:szCs w:val="20"/>
                <w:color w:val="auto"/>
              </w:rPr>
            </w:pPr>
            <w:r>
              <w:rPr>
                <w:rFonts w:ascii="Arial" w:cs="Arial" w:eastAsia="Arial" w:hAnsi="Arial"/>
                <w:sz w:val="16"/>
                <w:szCs w:val="16"/>
                <w:color w:val="auto"/>
              </w:rPr>
              <w:t>UFP Ashburn, LLC</w:t>
            </w:r>
          </w:p>
        </w:tc>
        <w:tc>
          <w:tcPr>
            <w:tcW w:w="1120" w:type="dxa"/>
            <w:vAlign w:val="bottom"/>
          </w:tcPr>
          <w:p>
            <w:pPr>
              <w:ind w:left="240"/>
              <w:spacing w:after="0"/>
              <w:rPr>
                <w:sz w:val="20"/>
                <w:szCs w:val="20"/>
                <w:color w:val="auto"/>
              </w:rPr>
            </w:pPr>
            <w:r>
              <w:rPr>
                <w:rFonts w:ascii="Arial" w:cs="Arial" w:eastAsia="Arial" w:hAnsi="Arial"/>
                <w:sz w:val="16"/>
                <w:szCs w:val="16"/>
                <w:color w:val="auto"/>
              </w:rPr>
              <w:t>Michigan</w:t>
            </w:r>
          </w:p>
        </w:tc>
        <w:tc>
          <w:tcPr>
            <w:tcW w:w="3300" w:type="dxa"/>
            <w:vAlign w:val="bottom"/>
            <w:gridSpan w:val="2"/>
          </w:tcPr>
          <w:p>
            <w:pPr>
              <w:ind w:left="100"/>
              <w:spacing w:after="0"/>
              <w:rPr>
                <w:sz w:val="20"/>
                <w:szCs w:val="20"/>
                <w:color w:val="auto"/>
              </w:rPr>
            </w:pPr>
            <w:r>
              <w:rPr>
                <w:rFonts w:ascii="Arial" w:cs="Arial" w:eastAsia="Arial" w:hAnsi="Arial"/>
                <w:sz w:val="16"/>
                <w:szCs w:val="16"/>
                <w:color w:val="auto"/>
              </w:rPr>
              <w:t>UFP RMS, LLC</w:t>
            </w:r>
          </w:p>
        </w:tc>
        <w:tc>
          <w:tcPr>
            <w:tcW w:w="1520" w:type="dxa"/>
            <w:vAlign w:val="bottom"/>
            <w:gridSpan w:val="2"/>
          </w:tcPr>
          <w:p>
            <w:pPr>
              <w:ind w:left="54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3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UFP Atlantic Division, LLC</w:t>
            </w:r>
          </w:p>
        </w:tc>
        <w:tc>
          <w:tcPr>
            <w:tcW w:w="11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Michigan</w:t>
            </w:r>
          </w:p>
        </w:tc>
        <w:tc>
          <w:tcPr>
            <w:tcW w:w="33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UFP Rockingham, LLC</w:t>
            </w:r>
          </w:p>
        </w:tc>
        <w:tc>
          <w:tcPr>
            <w:tcW w:w="152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3120" w:type="dxa"/>
            <w:vAlign w:val="bottom"/>
            <w:gridSpan w:val="2"/>
          </w:tcPr>
          <w:p>
            <w:pPr>
              <w:spacing w:after="0"/>
              <w:rPr>
                <w:sz w:val="20"/>
                <w:szCs w:val="20"/>
                <w:color w:val="auto"/>
              </w:rPr>
            </w:pPr>
            <w:r>
              <w:rPr>
                <w:rFonts w:ascii="Arial" w:cs="Arial" w:eastAsia="Arial" w:hAnsi="Arial"/>
                <w:sz w:val="16"/>
                <w:szCs w:val="16"/>
                <w:color w:val="auto"/>
              </w:rPr>
              <w:t>UFP Atlantic, LLC</w:t>
            </w:r>
          </w:p>
        </w:tc>
        <w:tc>
          <w:tcPr>
            <w:tcW w:w="1120" w:type="dxa"/>
            <w:vAlign w:val="bottom"/>
          </w:tcPr>
          <w:p>
            <w:pPr>
              <w:ind w:left="240"/>
              <w:spacing w:after="0"/>
              <w:rPr>
                <w:sz w:val="20"/>
                <w:szCs w:val="20"/>
                <w:color w:val="auto"/>
              </w:rPr>
            </w:pPr>
            <w:r>
              <w:rPr>
                <w:rFonts w:ascii="Arial" w:cs="Arial" w:eastAsia="Arial" w:hAnsi="Arial"/>
                <w:sz w:val="16"/>
                <w:szCs w:val="16"/>
                <w:color w:val="auto"/>
              </w:rPr>
              <w:t>Michigan</w:t>
            </w:r>
          </w:p>
        </w:tc>
        <w:tc>
          <w:tcPr>
            <w:tcW w:w="3300" w:type="dxa"/>
            <w:vAlign w:val="bottom"/>
            <w:gridSpan w:val="2"/>
          </w:tcPr>
          <w:p>
            <w:pPr>
              <w:ind w:left="100"/>
              <w:spacing w:after="0"/>
              <w:rPr>
                <w:sz w:val="20"/>
                <w:szCs w:val="20"/>
                <w:color w:val="auto"/>
              </w:rPr>
            </w:pPr>
            <w:r>
              <w:rPr>
                <w:rFonts w:ascii="Arial" w:cs="Arial" w:eastAsia="Arial" w:hAnsi="Arial"/>
                <w:sz w:val="16"/>
                <w:szCs w:val="16"/>
                <w:color w:val="auto"/>
              </w:rPr>
              <w:t>UFP Rockwell, LLC</w:t>
            </w:r>
          </w:p>
        </w:tc>
        <w:tc>
          <w:tcPr>
            <w:tcW w:w="1520" w:type="dxa"/>
            <w:vAlign w:val="bottom"/>
            <w:gridSpan w:val="2"/>
          </w:tcPr>
          <w:p>
            <w:pPr>
              <w:ind w:left="54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3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UFP Auburndale, LLC</w:t>
            </w:r>
          </w:p>
        </w:tc>
        <w:tc>
          <w:tcPr>
            <w:tcW w:w="11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Michigan</w:t>
            </w:r>
          </w:p>
        </w:tc>
        <w:tc>
          <w:tcPr>
            <w:tcW w:w="33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UFP Saginaw, LLC</w:t>
            </w:r>
          </w:p>
        </w:tc>
        <w:tc>
          <w:tcPr>
            <w:tcW w:w="152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2"/>
        </w:trPr>
        <w:tc>
          <w:tcPr>
            <w:tcW w:w="3120" w:type="dxa"/>
            <w:vAlign w:val="bottom"/>
            <w:gridSpan w:val="2"/>
          </w:tcPr>
          <w:p>
            <w:pPr>
              <w:spacing w:after="0"/>
              <w:rPr>
                <w:sz w:val="20"/>
                <w:szCs w:val="20"/>
                <w:color w:val="auto"/>
              </w:rPr>
            </w:pPr>
            <w:r>
              <w:rPr>
                <w:rFonts w:ascii="Arial" w:cs="Arial" w:eastAsia="Arial" w:hAnsi="Arial"/>
                <w:sz w:val="16"/>
                <w:szCs w:val="16"/>
                <w:color w:val="auto"/>
              </w:rPr>
              <w:t>UFP Aurora, LLC</w:t>
            </w:r>
          </w:p>
        </w:tc>
        <w:tc>
          <w:tcPr>
            <w:tcW w:w="1120" w:type="dxa"/>
            <w:vAlign w:val="bottom"/>
          </w:tcPr>
          <w:p>
            <w:pPr>
              <w:ind w:left="240"/>
              <w:spacing w:after="0"/>
              <w:rPr>
                <w:sz w:val="20"/>
                <w:szCs w:val="20"/>
                <w:color w:val="auto"/>
              </w:rPr>
            </w:pPr>
            <w:r>
              <w:rPr>
                <w:rFonts w:ascii="Arial" w:cs="Arial" w:eastAsia="Arial" w:hAnsi="Arial"/>
                <w:sz w:val="16"/>
                <w:szCs w:val="16"/>
                <w:color w:val="auto"/>
              </w:rPr>
              <w:t>Michigan</w:t>
            </w:r>
          </w:p>
        </w:tc>
        <w:tc>
          <w:tcPr>
            <w:tcW w:w="3300" w:type="dxa"/>
            <w:vAlign w:val="bottom"/>
            <w:gridSpan w:val="2"/>
          </w:tcPr>
          <w:p>
            <w:pPr>
              <w:ind w:left="100"/>
              <w:spacing w:after="0"/>
              <w:rPr>
                <w:sz w:val="20"/>
                <w:szCs w:val="20"/>
                <w:color w:val="auto"/>
              </w:rPr>
            </w:pPr>
            <w:r>
              <w:rPr>
                <w:rFonts w:ascii="Arial" w:cs="Arial" w:eastAsia="Arial" w:hAnsi="Arial"/>
                <w:sz w:val="16"/>
                <w:szCs w:val="16"/>
                <w:color w:val="auto"/>
              </w:rPr>
              <w:t>UFP Salisbury, LLC</w:t>
            </w:r>
          </w:p>
        </w:tc>
        <w:tc>
          <w:tcPr>
            <w:tcW w:w="1520" w:type="dxa"/>
            <w:vAlign w:val="bottom"/>
            <w:gridSpan w:val="2"/>
          </w:tcPr>
          <w:p>
            <w:pPr>
              <w:ind w:left="54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3"/>
        </w:trPr>
        <w:tc>
          <w:tcPr>
            <w:tcW w:w="3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UFP Australia Pty Ltd</w:t>
            </w:r>
          </w:p>
        </w:tc>
        <w:tc>
          <w:tcPr>
            <w:tcW w:w="11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Australia</w:t>
            </w:r>
          </w:p>
        </w:tc>
        <w:tc>
          <w:tcPr>
            <w:tcW w:w="33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UFP San Antonio, LLC</w:t>
            </w:r>
          </w:p>
        </w:tc>
        <w:tc>
          <w:tcPr>
            <w:tcW w:w="152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206"/>
        </w:trPr>
        <w:tc>
          <w:tcPr>
            <w:tcW w:w="3120" w:type="dxa"/>
            <w:vAlign w:val="bottom"/>
            <w:gridSpan w:val="2"/>
          </w:tcPr>
          <w:p>
            <w:pPr>
              <w:spacing w:after="0"/>
              <w:rPr>
                <w:sz w:val="20"/>
                <w:szCs w:val="20"/>
                <w:color w:val="auto"/>
              </w:rPr>
            </w:pPr>
            <w:r>
              <w:rPr>
                <w:rFonts w:ascii="Arial" w:cs="Arial" w:eastAsia="Arial" w:hAnsi="Arial"/>
                <w:sz w:val="16"/>
                <w:szCs w:val="16"/>
                <w:color w:val="auto"/>
              </w:rPr>
              <w:t>UFP Australia Real Estate Pty Ltd</w:t>
            </w:r>
          </w:p>
        </w:tc>
        <w:tc>
          <w:tcPr>
            <w:tcW w:w="1120" w:type="dxa"/>
            <w:vAlign w:val="bottom"/>
          </w:tcPr>
          <w:p>
            <w:pPr>
              <w:ind w:left="240"/>
              <w:spacing w:after="0"/>
              <w:rPr>
                <w:sz w:val="20"/>
                <w:szCs w:val="20"/>
                <w:color w:val="auto"/>
              </w:rPr>
            </w:pPr>
            <w:r>
              <w:rPr>
                <w:rFonts w:ascii="Arial" w:cs="Arial" w:eastAsia="Arial" w:hAnsi="Arial"/>
                <w:sz w:val="16"/>
                <w:szCs w:val="16"/>
                <w:color w:val="auto"/>
              </w:rPr>
              <w:t>Australia</w:t>
            </w:r>
          </w:p>
        </w:tc>
        <w:tc>
          <w:tcPr>
            <w:tcW w:w="3300" w:type="dxa"/>
            <w:vAlign w:val="bottom"/>
            <w:gridSpan w:val="2"/>
          </w:tcPr>
          <w:p>
            <w:pPr>
              <w:ind w:left="100"/>
              <w:spacing w:after="0"/>
              <w:rPr>
                <w:sz w:val="20"/>
                <w:szCs w:val="20"/>
                <w:color w:val="auto"/>
              </w:rPr>
            </w:pPr>
            <w:r>
              <w:rPr>
                <w:rFonts w:ascii="Arial" w:cs="Arial" w:eastAsia="Arial" w:hAnsi="Arial"/>
                <w:sz w:val="16"/>
                <w:szCs w:val="16"/>
                <w:color w:val="auto"/>
              </w:rPr>
              <w:t>UFP Sauk Rapids, LLC</w:t>
            </w:r>
          </w:p>
        </w:tc>
        <w:tc>
          <w:tcPr>
            <w:tcW w:w="1520" w:type="dxa"/>
            <w:vAlign w:val="bottom"/>
            <w:gridSpan w:val="2"/>
          </w:tcPr>
          <w:p>
            <w:pPr>
              <w:ind w:left="540"/>
              <w:spacing w:after="0"/>
              <w:rPr>
                <w:sz w:val="20"/>
                <w:szCs w:val="20"/>
                <w:color w:val="auto"/>
              </w:rPr>
            </w:pPr>
            <w:r>
              <w:rPr>
                <w:rFonts w:ascii="Arial" w:cs="Arial" w:eastAsia="Arial" w:hAnsi="Arial"/>
                <w:sz w:val="16"/>
                <w:szCs w:val="16"/>
                <w:color w:val="auto"/>
              </w:rPr>
              <w:t>Michigan</w:t>
            </w:r>
          </w:p>
        </w:tc>
        <w:tc>
          <w:tcPr>
            <w:tcW w:w="0" w:type="dxa"/>
            <w:vAlign w:val="bottom"/>
          </w:tcPr>
          <w:p>
            <w:pPr>
              <w:spacing w:after="0"/>
              <w:rPr>
                <w:sz w:val="1"/>
                <w:szCs w:val="1"/>
                <w:color w:val="auto"/>
              </w:rPr>
            </w:pPr>
          </w:p>
        </w:tc>
      </w:tr>
      <w:tr>
        <w:trPr>
          <w:trHeight w:val="557"/>
        </w:trPr>
        <w:tc>
          <w:tcPr>
            <w:tcW w:w="19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100"/>
          </w:cols>
          <w:pgMar w:left="1440" w:top="111" w:right="1359" w:bottom="1440" w:gutter="0" w:footer="0" w:header="0"/>
        </w:sectPr>
      </w:pPr>
    </w:p>
    <w:bookmarkStart w:id="130" w:name="page131"/>
    <w:bookmarkEnd w:id="130"/>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02"/>
        </w:trPr>
        <w:tc>
          <w:tcPr>
            <w:tcW w:w="2920" w:type="dxa"/>
            <w:vAlign w:val="bottom"/>
            <w:shd w:val="clear" w:color="auto" w:fill="CCEEFF"/>
          </w:tcPr>
          <w:p>
            <w:pPr>
              <w:spacing w:after="0"/>
              <w:rPr>
                <w:sz w:val="20"/>
                <w:szCs w:val="20"/>
                <w:color w:val="auto"/>
              </w:rPr>
            </w:pPr>
            <w:r>
              <w:rPr>
                <w:rFonts w:ascii="Arial" w:cs="Arial" w:eastAsia="Arial" w:hAnsi="Arial"/>
                <w:sz w:val="16"/>
                <w:szCs w:val="16"/>
                <w:color w:val="auto"/>
              </w:rPr>
              <w:t>UFP Barnesville, LLC</w:t>
            </w:r>
          </w:p>
        </w:tc>
        <w:tc>
          <w:tcPr>
            <w:tcW w:w="1200" w:type="dxa"/>
            <w:vAlign w:val="bottom"/>
            <w:shd w:val="clear" w:color="auto" w:fill="CCEEFF"/>
          </w:tcPr>
          <w:p>
            <w:pPr>
              <w:ind w:left="420"/>
              <w:spacing w:after="0"/>
              <w:rPr>
                <w:sz w:val="20"/>
                <w:szCs w:val="20"/>
                <w:color w:val="auto"/>
              </w:rPr>
            </w:pPr>
            <w:r>
              <w:rPr>
                <w:rFonts w:ascii="Arial" w:cs="Arial" w:eastAsia="Arial" w:hAnsi="Arial"/>
                <w:sz w:val="16"/>
                <w:szCs w:val="16"/>
                <w:color w:val="auto"/>
              </w:rPr>
              <w:t>Michigan</w:t>
            </w:r>
          </w:p>
        </w:tc>
        <w:tc>
          <w:tcPr>
            <w:tcW w:w="32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UFP Schertz, LLC</w:t>
            </w:r>
          </w:p>
        </w:tc>
        <w:tc>
          <w:tcPr>
            <w:tcW w:w="1540" w:type="dxa"/>
            <w:vAlign w:val="bottom"/>
            <w:shd w:val="clear" w:color="auto" w:fill="CCEEFF"/>
          </w:tcPr>
          <w:p>
            <w:pPr>
              <w:ind w:left="600"/>
              <w:spacing w:after="0"/>
              <w:rPr>
                <w:sz w:val="20"/>
                <w:szCs w:val="20"/>
                <w:color w:val="auto"/>
              </w:rPr>
            </w:pPr>
            <w:r>
              <w:rPr>
                <w:rFonts w:ascii="Arial" w:cs="Arial" w:eastAsia="Arial" w:hAnsi="Arial"/>
                <w:sz w:val="16"/>
                <w:szCs w:val="16"/>
                <w:color w:val="auto"/>
              </w:rPr>
              <w:t>Michigan</w:t>
            </w:r>
          </w:p>
        </w:tc>
        <w:tc>
          <w:tcPr>
            <w:tcW w:w="20" w:type="dxa"/>
            <w:vAlign w:val="bottom"/>
            <w:shd w:val="clear" w:color="auto" w:fill="CCEEFF"/>
          </w:tcPr>
          <w:p>
            <w:pPr>
              <w:spacing w:after="0"/>
              <w:rPr>
                <w:sz w:val="17"/>
                <w:szCs w:val="17"/>
                <w:color w:val="auto"/>
              </w:rPr>
            </w:pPr>
          </w:p>
        </w:tc>
      </w:tr>
      <w:tr>
        <w:trPr>
          <w:trHeight w:val="203"/>
        </w:trPr>
        <w:tc>
          <w:tcPr>
            <w:tcW w:w="2920" w:type="dxa"/>
            <w:vAlign w:val="bottom"/>
          </w:tcPr>
          <w:p>
            <w:pPr>
              <w:spacing w:after="0"/>
              <w:rPr>
                <w:sz w:val="20"/>
                <w:szCs w:val="20"/>
                <w:color w:val="auto"/>
              </w:rPr>
            </w:pPr>
            <w:r>
              <w:rPr>
                <w:rFonts w:ascii="Arial" w:cs="Arial" w:eastAsia="Arial" w:hAnsi="Arial"/>
                <w:sz w:val="16"/>
                <w:szCs w:val="16"/>
                <w:color w:val="auto"/>
              </w:rPr>
              <w:t>UFP Belchertown, LLC</w:t>
            </w:r>
          </w:p>
        </w:tc>
        <w:tc>
          <w:tcPr>
            <w:tcW w:w="1200" w:type="dxa"/>
            <w:vAlign w:val="bottom"/>
          </w:tcPr>
          <w:p>
            <w:pPr>
              <w:ind w:left="420"/>
              <w:spacing w:after="0"/>
              <w:rPr>
                <w:sz w:val="20"/>
                <w:szCs w:val="20"/>
                <w:color w:val="auto"/>
              </w:rPr>
            </w:pPr>
            <w:r>
              <w:rPr>
                <w:rFonts w:ascii="Arial" w:cs="Arial" w:eastAsia="Arial" w:hAnsi="Arial"/>
                <w:sz w:val="16"/>
                <w:szCs w:val="16"/>
                <w:color w:val="auto"/>
              </w:rPr>
              <w:t>Michigan</w:t>
            </w:r>
          </w:p>
        </w:tc>
        <w:tc>
          <w:tcPr>
            <w:tcW w:w="3260" w:type="dxa"/>
            <w:vAlign w:val="bottom"/>
          </w:tcPr>
          <w:p>
            <w:pPr>
              <w:ind w:left="180"/>
              <w:spacing w:after="0"/>
              <w:rPr>
                <w:sz w:val="20"/>
                <w:szCs w:val="20"/>
                <w:color w:val="auto"/>
              </w:rPr>
            </w:pPr>
            <w:r>
              <w:rPr>
                <w:rFonts w:ascii="Arial" w:cs="Arial" w:eastAsia="Arial" w:hAnsi="Arial"/>
                <w:sz w:val="16"/>
                <w:szCs w:val="16"/>
                <w:color w:val="auto"/>
              </w:rPr>
              <w:t>UFP Shawnee, LLC</w:t>
            </w:r>
          </w:p>
        </w:tc>
        <w:tc>
          <w:tcPr>
            <w:tcW w:w="1540" w:type="dxa"/>
            <w:vAlign w:val="bottom"/>
          </w:tcPr>
          <w:p>
            <w:pPr>
              <w:ind w:left="600"/>
              <w:spacing w:after="0"/>
              <w:rPr>
                <w:sz w:val="20"/>
                <w:szCs w:val="20"/>
                <w:color w:val="auto"/>
              </w:rPr>
            </w:pPr>
            <w:r>
              <w:rPr>
                <w:rFonts w:ascii="Arial" w:cs="Arial" w:eastAsia="Arial" w:hAnsi="Arial"/>
                <w:sz w:val="16"/>
                <w:szCs w:val="16"/>
                <w:color w:val="auto"/>
              </w:rPr>
              <w:t>Michigan</w:t>
            </w:r>
          </w:p>
        </w:tc>
        <w:tc>
          <w:tcPr>
            <w:tcW w:w="20" w:type="dxa"/>
            <w:vAlign w:val="bottom"/>
          </w:tcPr>
          <w:p>
            <w:pPr>
              <w:spacing w:after="0"/>
              <w:rPr>
                <w:sz w:val="17"/>
                <w:szCs w:val="17"/>
                <w:color w:val="auto"/>
              </w:rPr>
            </w:pPr>
          </w:p>
        </w:tc>
      </w:tr>
      <w:tr>
        <w:trPr>
          <w:trHeight w:val="203"/>
        </w:trPr>
        <w:tc>
          <w:tcPr>
            <w:tcW w:w="2920" w:type="dxa"/>
            <w:vAlign w:val="bottom"/>
            <w:shd w:val="clear" w:color="auto" w:fill="CCEEFF"/>
          </w:tcPr>
          <w:p>
            <w:pPr>
              <w:spacing w:after="0"/>
              <w:rPr>
                <w:sz w:val="20"/>
                <w:szCs w:val="20"/>
                <w:color w:val="auto"/>
              </w:rPr>
            </w:pPr>
            <w:r>
              <w:rPr>
                <w:rFonts w:ascii="Arial" w:cs="Arial" w:eastAsia="Arial" w:hAnsi="Arial"/>
                <w:sz w:val="16"/>
                <w:szCs w:val="16"/>
                <w:color w:val="auto"/>
              </w:rPr>
              <w:t>UFP Berlin, LLC</w:t>
            </w:r>
          </w:p>
        </w:tc>
        <w:tc>
          <w:tcPr>
            <w:tcW w:w="1200" w:type="dxa"/>
            <w:vAlign w:val="bottom"/>
            <w:shd w:val="clear" w:color="auto" w:fill="CCEEFF"/>
          </w:tcPr>
          <w:p>
            <w:pPr>
              <w:ind w:left="420"/>
              <w:spacing w:after="0"/>
              <w:rPr>
                <w:sz w:val="20"/>
                <w:szCs w:val="20"/>
                <w:color w:val="auto"/>
              </w:rPr>
            </w:pPr>
            <w:r>
              <w:rPr>
                <w:rFonts w:ascii="Arial" w:cs="Arial" w:eastAsia="Arial" w:hAnsi="Arial"/>
                <w:sz w:val="16"/>
                <w:szCs w:val="16"/>
                <w:color w:val="auto"/>
              </w:rPr>
              <w:t>Michigan</w:t>
            </w:r>
          </w:p>
        </w:tc>
        <w:tc>
          <w:tcPr>
            <w:tcW w:w="32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UFP Site Built, LLC</w:t>
            </w:r>
          </w:p>
        </w:tc>
        <w:tc>
          <w:tcPr>
            <w:tcW w:w="1540" w:type="dxa"/>
            <w:vAlign w:val="bottom"/>
            <w:shd w:val="clear" w:color="auto" w:fill="CCEEFF"/>
          </w:tcPr>
          <w:p>
            <w:pPr>
              <w:ind w:left="600"/>
              <w:spacing w:after="0"/>
              <w:rPr>
                <w:sz w:val="20"/>
                <w:szCs w:val="20"/>
                <w:color w:val="auto"/>
              </w:rPr>
            </w:pPr>
            <w:r>
              <w:rPr>
                <w:rFonts w:ascii="Arial" w:cs="Arial" w:eastAsia="Arial" w:hAnsi="Arial"/>
                <w:sz w:val="16"/>
                <w:szCs w:val="16"/>
                <w:color w:val="auto"/>
              </w:rPr>
              <w:t>Michigan</w:t>
            </w:r>
          </w:p>
        </w:tc>
        <w:tc>
          <w:tcPr>
            <w:tcW w:w="20" w:type="dxa"/>
            <w:vAlign w:val="bottom"/>
            <w:shd w:val="clear" w:color="auto" w:fill="CCEEFF"/>
          </w:tcPr>
          <w:p>
            <w:pPr>
              <w:spacing w:after="0"/>
              <w:rPr>
                <w:sz w:val="17"/>
                <w:szCs w:val="17"/>
                <w:color w:val="auto"/>
              </w:rPr>
            </w:pPr>
          </w:p>
        </w:tc>
      </w:tr>
      <w:tr>
        <w:trPr>
          <w:trHeight w:val="203"/>
        </w:trPr>
        <w:tc>
          <w:tcPr>
            <w:tcW w:w="2920" w:type="dxa"/>
            <w:vAlign w:val="bottom"/>
          </w:tcPr>
          <w:p>
            <w:pPr>
              <w:spacing w:after="0"/>
              <w:rPr>
                <w:sz w:val="20"/>
                <w:szCs w:val="20"/>
                <w:color w:val="auto"/>
              </w:rPr>
            </w:pPr>
            <w:r>
              <w:rPr>
                <w:rFonts w:ascii="Arial" w:cs="Arial" w:eastAsia="Arial" w:hAnsi="Arial"/>
                <w:sz w:val="16"/>
                <w:szCs w:val="16"/>
                <w:color w:val="auto"/>
              </w:rPr>
              <w:t>UFP Biscoe, LLC</w:t>
            </w:r>
          </w:p>
        </w:tc>
        <w:tc>
          <w:tcPr>
            <w:tcW w:w="1200" w:type="dxa"/>
            <w:vAlign w:val="bottom"/>
          </w:tcPr>
          <w:p>
            <w:pPr>
              <w:ind w:left="420"/>
              <w:spacing w:after="0"/>
              <w:rPr>
                <w:sz w:val="20"/>
                <w:szCs w:val="20"/>
                <w:color w:val="auto"/>
              </w:rPr>
            </w:pPr>
            <w:r>
              <w:rPr>
                <w:rFonts w:ascii="Arial" w:cs="Arial" w:eastAsia="Arial" w:hAnsi="Arial"/>
                <w:sz w:val="16"/>
                <w:szCs w:val="16"/>
                <w:color w:val="auto"/>
              </w:rPr>
              <w:t>Michigan</w:t>
            </w:r>
          </w:p>
        </w:tc>
        <w:tc>
          <w:tcPr>
            <w:tcW w:w="3260" w:type="dxa"/>
            <w:vAlign w:val="bottom"/>
          </w:tcPr>
          <w:p>
            <w:pPr>
              <w:ind w:left="180"/>
              <w:spacing w:after="0"/>
              <w:rPr>
                <w:sz w:val="20"/>
                <w:szCs w:val="20"/>
                <w:color w:val="auto"/>
              </w:rPr>
            </w:pPr>
            <w:r>
              <w:rPr>
                <w:rFonts w:ascii="Arial" w:cs="Arial" w:eastAsia="Arial" w:hAnsi="Arial"/>
                <w:sz w:val="16"/>
                <w:szCs w:val="16"/>
                <w:color w:val="auto"/>
              </w:rPr>
              <w:t>UFP Southeast, LLC</w:t>
            </w:r>
          </w:p>
        </w:tc>
        <w:tc>
          <w:tcPr>
            <w:tcW w:w="1540" w:type="dxa"/>
            <w:vAlign w:val="bottom"/>
          </w:tcPr>
          <w:p>
            <w:pPr>
              <w:ind w:left="600"/>
              <w:spacing w:after="0"/>
              <w:rPr>
                <w:sz w:val="20"/>
                <w:szCs w:val="20"/>
                <w:color w:val="auto"/>
              </w:rPr>
            </w:pPr>
            <w:r>
              <w:rPr>
                <w:rFonts w:ascii="Arial" w:cs="Arial" w:eastAsia="Arial" w:hAnsi="Arial"/>
                <w:sz w:val="16"/>
                <w:szCs w:val="16"/>
                <w:color w:val="auto"/>
              </w:rPr>
              <w:t>Michigan</w:t>
            </w:r>
          </w:p>
        </w:tc>
        <w:tc>
          <w:tcPr>
            <w:tcW w:w="20" w:type="dxa"/>
            <w:vAlign w:val="bottom"/>
          </w:tcPr>
          <w:p>
            <w:pPr>
              <w:spacing w:after="0"/>
              <w:rPr>
                <w:sz w:val="17"/>
                <w:szCs w:val="17"/>
                <w:color w:val="auto"/>
              </w:rPr>
            </w:pPr>
          </w:p>
        </w:tc>
      </w:tr>
      <w:tr>
        <w:trPr>
          <w:trHeight w:val="203"/>
        </w:trPr>
        <w:tc>
          <w:tcPr>
            <w:tcW w:w="2920" w:type="dxa"/>
            <w:vAlign w:val="bottom"/>
            <w:shd w:val="clear" w:color="auto" w:fill="CCEEFF"/>
          </w:tcPr>
          <w:p>
            <w:pPr>
              <w:spacing w:after="0"/>
              <w:rPr>
                <w:sz w:val="20"/>
                <w:szCs w:val="20"/>
                <w:color w:val="auto"/>
              </w:rPr>
            </w:pPr>
            <w:r>
              <w:rPr>
                <w:rFonts w:ascii="Arial" w:cs="Arial" w:eastAsia="Arial" w:hAnsi="Arial"/>
                <w:sz w:val="16"/>
                <w:szCs w:val="16"/>
                <w:color w:val="auto"/>
              </w:rPr>
              <w:t>UFP Blanchester, LLC</w:t>
            </w:r>
          </w:p>
        </w:tc>
        <w:tc>
          <w:tcPr>
            <w:tcW w:w="1200" w:type="dxa"/>
            <w:vAlign w:val="bottom"/>
            <w:shd w:val="clear" w:color="auto" w:fill="CCEEFF"/>
          </w:tcPr>
          <w:p>
            <w:pPr>
              <w:ind w:left="420"/>
              <w:spacing w:after="0"/>
              <w:rPr>
                <w:sz w:val="20"/>
                <w:szCs w:val="20"/>
                <w:color w:val="auto"/>
              </w:rPr>
            </w:pPr>
            <w:r>
              <w:rPr>
                <w:rFonts w:ascii="Arial" w:cs="Arial" w:eastAsia="Arial" w:hAnsi="Arial"/>
                <w:sz w:val="16"/>
                <w:szCs w:val="16"/>
                <w:color w:val="auto"/>
              </w:rPr>
              <w:t>Michigan</w:t>
            </w:r>
          </w:p>
        </w:tc>
        <w:tc>
          <w:tcPr>
            <w:tcW w:w="32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UFP Southwest, LLC</w:t>
            </w:r>
          </w:p>
        </w:tc>
        <w:tc>
          <w:tcPr>
            <w:tcW w:w="1540" w:type="dxa"/>
            <w:vAlign w:val="bottom"/>
            <w:shd w:val="clear" w:color="auto" w:fill="CCEEFF"/>
          </w:tcPr>
          <w:p>
            <w:pPr>
              <w:ind w:left="600"/>
              <w:spacing w:after="0"/>
              <w:rPr>
                <w:sz w:val="20"/>
                <w:szCs w:val="20"/>
                <w:color w:val="auto"/>
              </w:rPr>
            </w:pPr>
            <w:r>
              <w:rPr>
                <w:rFonts w:ascii="Arial" w:cs="Arial" w:eastAsia="Arial" w:hAnsi="Arial"/>
                <w:sz w:val="16"/>
                <w:szCs w:val="16"/>
                <w:color w:val="auto"/>
              </w:rPr>
              <w:t>Michigan</w:t>
            </w:r>
          </w:p>
        </w:tc>
        <w:tc>
          <w:tcPr>
            <w:tcW w:w="20" w:type="dxa"/>
            <w:vAlign w:val="bottom"/>
            <w:shd w:val="clear" w:color="auto" w:fill="CCEEFF"/>
          </w:tcPr>
          <w:p>
            <w:pPr>
              <w:spacing w:after="0"/>
              <w:rPr>
                <w:sz w:val="17"/>
                <w:szCs w:val="17"/>
                <w:color w:val="auto"/>
              </w:rPr>
            </w:pPr>
          </w:p>
        </w:tc>
      </w:tr>
      <w:tr>
        <w:trPr>
          <w:trHeight w:val="203"/>
        </w:trPr>
        <w:tc>
          <w:tcPr>
            <w:tcW w:w="2920" w:type="dxa"/>
            <w:vAlign w:val="bottom"/>
          </w:tcPr>
          <w:p>
            <w:pPr>
              <w:spacing w:after="0"/>
              <w:rPr>
                <w:sz w:val="20"/>
                <w:szCs w:val="20"/>
                <w:color w:val="auto"/>
              </w:rPr>
            </w:pPr>
            <w:r>
              <w:rPr>
                <w:rFonts w:ascii="Arial" w:cs="Arial" w:eastAsia="Arial" w:hAnsi="Arial"/>
                <w:sz w:val="16"/>
                <w:szCs w:val="16"/>
                <w:color w:val="auto"/>
              </w:rPr>
              <w:t>UFP Bonner, LLC</w:t>
            </w:r>
          </w:p>
        </w:tc>
        <w:tc>
          <w:tcPr>
            <w:tcW w:w="1200" w:type="dxa"/>
            <w:vAlign w:val="bottom"/>
          </w:tcPr>
          <w:p>
            <w:pPr>
              <w:ind w:left="420"/>
              <w:spacing w:after="0"/>
              <w:rPr>
                <w:sz w:val="20"/>
                <w:szCs w:val="20"/>
                <w:color w:val="auto"/>
              </w:rPr>
            </w:pPr>
            <w:r>
              <w:rPr>
                <w:rFonts w:ascii="Arial" w:cs="Arial" w:eastAsia="Arial" w:hAnsi="Arial"/>
                <w:sz w:val="16"/>
                <w:szCs w:val="16"/>
                <w:color w:val="auto"/>
              </w:rPr>
              <w:t>Michigan</w:t>
            </w:r>
          </w:p>
        </w:tc>
        <w:tc>
          <w:tcPr>
            <w:tcW w:w="3260" w:type="dxa"/>
            <w:vAlign w:val="bottom"/>
          </w:tcPr>
          <w:p>
            <w:pPr>
              <w:ind w:left="180"/>
              <w:spacing w:after="0"/>
              <w:rPr>
                <w:sz w:val="20"/>
                <w:szCs w:val="20"/>
                <w:color w:val="auto"/>
              </w:rPr>
            </w:pPr>
            <w:r>
              <w:rPr>
                <w:rFonts w:ascii="Arial" w:cs="Arial" w:eastAsia="Arial" w:hAnsi="Arial"/>
                <w:sz w:val="16"/>
                <w:szCs w:val="16"/>
                <w:color w:val="auto"/>
              </w:rPr>
              <w:t>UFP Stafford, LLC</w:t>
            </w:r>
          </w:p>
        </w:tc>
        <w:tc>
          <w:tcPr>
            <w:tcW w:w="1540" w:type="dxa"/>
            <w:vAlign w:val="bottom"/>
          </w:tcPr>
          <w:p>
            <w:pPr>
              <w:ind w:left="600"/>
              <w:spacing w:after="0"/>
              <w:rPr>
                <w:sz w:val="20"/>
                <w:szCs w:val="20"/>
                <w:color w:val="auto"/>
              </w:rPr>
            </w:pPr>
            <w:r>
              <w:rPr>
                <w:rFonts w:ascii="Arial" w:cs="Arial" w:eastAsia="Arial" w:hAnsi="Arial"/>
                <w:sz w:val="16"/>
                <w:szCs w:val="16"/>
                <w:color w:val="auto"/>
              </w:rPr>
              <w:t>Michigan</w:t>
            </w:r>
          </w:p>
        </w:tc>
        <w:tc>
          <w:tcPr>
            <w:tcW w:w="20" w:type="dxa"/>
            <w:vAlign w:val="bottom"/>
          </w:tcPr>
          <w:p>
            <w:pPr>
              <w:spacing w:after="0"/>
              <w:rPr>
                <w:sz w:val="17"/>
                <w:szCs w:val="17"/>
                <w:color w:val="auto"/>
              </w:rPr>
            </w:pPr>
          </w:p>
        </w:tc>
      </w:tr>
      <w:tr>
        <w:trPr>
          <w:trHeight w:val="203"/>
        </w:trPr>
        <w:tc>
          <w:tcPr>
            <w:tcW w:w="2920" w:type="dxa"/>
            <w:vAlign w:val="bottom"/>
            <w:shd w:val="clear" w:color="auto" w:fill="CCEEFF"/>
          </w:tcPr>
          <w:p>
            <w:pPr>
              <w:spacing w:after="0"/>
              <w:rPr>
                <w:sz w:val="20"/>
                <w:szCs w:val="20"/>
                <w:color w:val="auto"/>
              </w:rPr>
            </w:pPr>
            <w:r>
              <w:rPr>
                <w:rFonts w:ascii="Arial" w:cs="Arial" w:eastAsia="Arial" w:hAnsi="Arial"/>
                <w:sz w:val="16"/>
                <w:szCs w:val="16"/>
                <w:color w:val="auto"/>
              </w:rPr>
              <w:t>UFP Caldwell, LLC</w:t>
            </w:r>
          </w:p>
        </w:tc>
        <w:tc>
          <w:tcPr>
            <w:tcW w:w="1200" w:type="dxa"/>
            <w:vAlign w:val="bottom"/>
            <w:shd w:val="clear" w:color="auto" w:fill="CCEEFF"/>
          </w:tcPr>
          <w:p>
            <w:pPr>
              <w:ind w:left="420"/>
              <w:spacing w:after="0"/>
              <w:rPr>
                <w:sz w:val="20"/>
                <w:szCs w:val="20"/>
                <w:color w:val="auto"/>
              </w:rPr>
            </w:pPr>
            <w:r>
              <w:rPr>
                <w:rFonts w:ascii="Arial" w:cs="Arial" w:eastAsia="Arial" w:hAnsi="Arial"/>
                <w:sz w:val="16"/>
                <w:szCs w:val="16"/>
                <w:color w:val="auto"/>
              </w:rPr>
              <w:t>Michigan</w:t>
            </w:r>
          </w:p>
        </w:tc>
        <w:tc>
          <w:tcPr>
            <w:tcW w:w="32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UFP Stockertown, LLC</w:t>
            </w:r>
          </w:p>
        </w:tc>
        <w:tc>
          <w:tcPr>
            <w:tcW w:w="1540" w:type="dxa"/>
            <w:vAlign w:val="bottom"/>
            <w:shd w:val="clear" w:color="auto" w:fill="CCEEFF"/>
          </w:tcPr>
          <w:p>
            <w:pPr>
              <w:ind w:left="600"/>
              <w:spacing w:after="0"/>
              <w:rPr>
                <w:sz w:val="20"/>
                <w:szCs w:val="20"/>
                <w:color w:val="auto"/>
              </w:rPr>
            </w:pPr>
            <w:r>
              <w:rPr>
                <w:rFonts w:ascii="Arial" w:cs="Arial" w:eastAsia="Arial" w:hAnsi="Arial"/>
                <w:sz w:val="16"/>
                <w:szCs w:val="16"/>
                <w:color w:val="auto"/>
              </w:rPr>
              <w:t>Michigan</w:t>
            </w:r>
          </w:p>
        </w:tc>
        <w:tc>
          <w:tcPr>
            <w:tcW w:w="20" w:type="dxa"/>
            <w:vAlign w:val="bottom"/>
            <w:shd w:val="clear" w:color="auto" w:fill="CCEEFF"/>
          </w:tcPr>
          <w:p>
            <w:pPr>
              <w:spacing w:after="0"/>
              <w:rPr>
                <w:sz w:val="17"/>
                <w:szCs w:val="17"/>
                <w:color w:val="auto"/>
              </w:rPr>
            </w:pPr>
          </w:p>
        </w:tc>
      </w:tr>
      <w:tr>
        <w:trPr>
          <w:trHeight w:val="203"/>
        </w:trPr>
        <w:tc>
          <w:tcPr>
            <w:tcW w:w="2920" w:type="dxa"/>
            <w:vAlign w:val="bottom"/>
          </w:tcPr>
          <w:p>
            <w:pPr>
              <w:spacing w:after="0"/>
              <w:rPr>
                <w:sz w:val="20"/>
                <w:szCs w:val="20"/>
                <w:color w:val="auto"/>
              </w:rPr>
            </w:pPr>
            <w:r>
              <w:rPr>
                <w:rFonts w:ascii="Arial" w:cs="Arial" w:eastAsia="Arial" w:hAnsi="Arial"/>
                <w:sz w:val="16"/>
                <w:szCs w:val="16"/>
                <w:color w:val="auto"/>
              </w:rPr>
              <w:t>UFP Cameron, LLC</w:t>
            </w:r>
          </w:p>
        </w:tc>
        <w:tc>
          <w:tcPr>
            <w:tcW w:w="1200" w:type="dxa"/>
            <w:vAlign w:val="bottom"/>
          </w:tcPr>
          <w:p>
            <w:pPr>
              <w:ind w:left="420"/>
              <w:spacing w:after="0"/>
              <w:rPr>
                <w:sz w:val="20"/>
                <w:szCs w:val="20"/>
                <w:color w:val="auto"/>
              </w:rPr>
            </w:pPr>
            <w:r>
              <w:rPr>
                <w:rFonts w:ascii="Arial" w:cs="Arial" w:eastAsia="Arial" w:hAnsi="Arial"/>
                <w:sz w:val="16"/>
                <w:szCs w:val="16"/>
                <w:color w:val="auto"/>
              </w:rPr>
              <w:t>Michigan</w:t>
            </w:r>
          </w:p>
        </w:tc>
        <w:tc>
          <w:tcPr>
            <w:tcW w:w="3260" w:type="dxa"/>
            <w:vAlign w:val="bottom"/>
          </w:tcPr>
          <w:p>
            <w:pPr>
              <w:ind w:left="180"/>
              <w:spacing w:after="0"/>
              <w:rPr>
                <w:sz w:val="20"/>
                <w:szCs w:val="20"/>
                <w:color w:val="auto"/>
              </w:rPr>
            </w:pPr>
            <w:r>
              <w:rPr>
                <w:rFonts w:ascii="Arial" w:cs="Arial" w:eastAsia="Arial" w:hAnsi="Arial"/>
                <w:sz w:val="16"/>
                <w:szCs w:val="16"/>
                <w:color w:val="auto"/>
              </w:rPr>
              <w:t>UFP Tampa, LLC</w:t>
            </w:r>
          </w:p>
        </w:tc>
        <w:tc>
          <w:tcPr>
            <w:tcW w:w="1540" w:type="dxa"/>
            <w:vAlign w:val="bottom"/>
          </w:tcPr>
          <w:p>
            <w:pPr>
              <w:ind w:left="600"/>
              <w:spacing w:after="0"/>
              <w:rPr>
                <w:sz w:val="20"/>
                <w:szCs w:val="20"/>
                <w:color w:val="auto"/>
              </w:rPr>
            </w:pPr>
            <w:r>
              <w:rPr>
                <w:rFonts w:ascii="Arial" w:cs="Arial" w:eastAsia="Arial" w:hAnsi="Arial"/>
                <w:sz w:val="16"/>
                <w:szCs w:val="16"/>
                <w:color w:val="auto"/>
              </w:rPr>
              <w:t>Michigan</w:t>
            </w:r>
          </w:p>
        </w:tc>
        <w:tc>
          <w:tcPr>
            <w:tcW w:w="20" w:type="dxa"/>
            <w:vAlign w:val="bottom"/>
          </w:tcPr>
          <w:p>
            <w:pPr>
              <w:spacing w:after="0"/>
              <w:rPr>
                <w:sz w:val="17"/>
                <w:szCs w:val="17"/>
                <w:color w:val="auto"/>
              </w:rPr>
            </w:pPr>
          </w:p>
        </w:tc>
      </w:tr>
      <w:tr>
        <w:trPr>
          <w:trHeight w:val="203"/>
        </w:trPr>
        <w:tc>
          <w:tcPr>
            <w:tcW w:w="2920" w:type="dxa"/>
            <w:vAlign w:val="bottom"/>
            <w:shd w:val="clear" w:color="auto" w:fill="CCEEFF"/>
          </w:tcPr>
          <w:p>
            <w:pPr>
              <w:spacing w:after="0"/>
              <w:rPr>
                <w:sz w:val="20"/>
                <w:szCs w:val="20"/>
                <w:color w:val="auto"/>
              </w:rPr>
            </w:pPr>
            <w:r>
              <w:rPr>
                <w:rFonts w:ascii="Arial" w:cs="Arial" w:eastAsia="Arial" w:hAnsi="Arial"/>
                <w:sz w:val="16"/>
                <w:szCs w:val="16"/>
                <w:color w:val="auto"/>
              </w:rPr>
              <w:t>UFP Canada, Inc.</w:t>
            </w:r>
          </w:p>
        </w:tc>
        <w:tc>
          <w:tcPr>
            <w:tcW w:w="1200" w:type="dxa"/>
            <w:vAlign w:val="bottom"/>
            <w:shd w:val="clear" w:color="auto" w:fill="CCEEFF"/>
          </w:tcPr>
          <w:p>
            <w:pPr>
              <w:ind w:left="420"/>
              <w:spacing w:after="0"/>
              <w:rPr>
                <w:sz w:val="20"/>
                <w:szCs w:val="20"/>
                <w:color w:val="auto"/>
              </w:rPr>
            </w:pPr>
            <w:r>
              <w:rPr>
                <w:rFonts w:ascii="Arial" w:cs="Arial" w:eastAsia="Arial" w:hAnsi="Arial"/>
                <w:sz w:val="16"/>
                <w:szCs w:val="16"/>
                <w:color w:val="auto"/>
              </w:rPr>
              <w:t>Canada</w:t>
            </w:r>
          </w:p>
        </w:tc>
        <w:tc>
          <w:tcPr>
            <w:tcW w:w="32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UFP Thomaston, LLC</w:t>
            </w:r>
          </w:p>
        </w:tc>
        <w:tc>
          <w:tcPr>
            <w:tcW w:w="1540" w:type="dxa"/>
            <w:vAlign w:val="bottom"/>
            <w:shd w:val="clear" w:color="auto" w:fill="CCEEFF"/>
          </w:tcPr>
          <w:p>
            <w:pPr>
              <w:ind w:left="600"/>
              <w:spacing w:after="0"/>
              <w:rPr>
                <w:sz w:val="20"/>
                <w:szCs w:val="20"/>
                <w:color w:val="auto"/>
              </w:rPr>
            </w:pPr>
            <w:r>
              <w:rPr>
                <w:rFonts w:ascii="Arial" w:cs="Arial" w:eastAsia="Arial" w:hAnsi="Arial"/>
                <w:sz w:val="16"/>
                <w:szCs w:val="16"/>
                <w:color w:val="auto"/>
              </w:rPr>
              <w:t>Michigan</w:t>
            </w:r>
          </w:p>
        </w:tc>
        <w:tc>
          <w:tcPr>
            <w:tcW w:w="20" w:type="dxa"/>
            <w:vAlign w:val="bottom"/>
            <w:shd w:val="clear" w:color="auto" w:fill="CCEEFF"/>
          </w:tcPr>
          <w:p>
            <w:pPr>
              <w:spacing w:after="0"/>
              <w:rPr>
                <w:sz w:val="17"/>
                <w:szCs w:val="17"/>
                <w:color w:val="auto"/>
              </w:rPr>
            </w:pPr>
          </w:p>
        </w:tc>
      </w:tr>
      <w:tr>
        <w:trPr>
          <w:trHeight w:val="203"/>
        </w:trPr>
        <w:tc>
          <w:tcPr>
            <w:tcW w:w="2920" w:type="dxa"/>
            <w:vAlign w:val="bottom"/>
          </w:tcPr>
          <w:p>
            <w:pPr>
              <w:spacing w:after="0"/>
              <w:rPr>
                <w:sz w:val="20"/>
                <w:szCs w:val="20"/>
                <w:color w:val="auto"/>
              </w:rPr>
            </w:pPr>
            <w:r>
              <w:rPr>
                <w:rFonts w:ascii="Arial" w:cs="Arial" w:eastAsia="Arial" w:hAnsi="Arial"/>
                <w:sz w:val="16"/>
                <w:szCs w:val="16"/>
                <w:color w:val="auto"/>
              </w:rPr>
              <w:t>UFP Central Plains, LLC</w:t>
            </w:r>
          </w:p>
        </w:tc>
        <w:tc>
          <w:tcPr>
            <w:tcW w:w="1200" w:type="dxa"/>
            <w:vAlign w:val="bottom"/>
          </w:tcPr>
          <w:p>
            <w:pPr>
              <w:ind w:left="420"/>
              <w:spacing w:after="0"/>
              <w:rPr>
                <w:sz w:val="20"/>
                <w:szCs w:val="20"/>
                <w:color w:val="auto"/>
              </w:rPr>
            </w:pPr>
            <w:r>
              <w:rPr>
                <w:rFonts w:ascii="Arial" w:cs="Arial" w:eastAsia="Arial" w:hAnsi="Arial"/>
                <w:sz w:val="16"/>
                <w:szCs w:val="16"/>
                <w:color w:val="auto"/>
              </w:rPr>
              <w:t>Michigan</w:t>
            </w:r>
          </w:p>
        </w:tc>
        <w:tc>
          <w:tcPr>
            <w:tcW w:w="3260" w:type="dxa"/>
            <w:vAlign w:val="bottom"/>
          </w:tcPr>
          <w:p>
            <w:pPr>
              <w:ind w:left="180"/>
              <w:spacing w:after="0"/>
              <w:rPr>
                <w:sz w:val="20"/>
                <w:szCs w:val="20"/>
                <w:color w:val="auto"/>
              </w:rPr>
            </w:pPr>
            <w:r>
              <w:rPr>
                <w:rFonts w:ascii="Arial" w:cs="Arial" w:eastAsia="Arial" w:hAnsi="Arial"/>
                <w:sz w:val="16"/>
                <w:szCs w:val="16"/>
                <w:color w:val="auto"/>
              </w:rPr>
              <w:t>UFP Thornton, LLC</w:t>
            </w:r>
          </w:p>
        </w:tc>
        <w:tc>
          <w:tcPr>
            <w:tcW w:w="1540" w:type="dxa"/>
            <w:vAlign w:val="bottom"/>
          </w:tcPr>
          <w:p>
            <w:pPr>
              <w:ind w:left="600"/>
              <w:spacing w:after="0"/>
              <w:rPr>
                <w:sz w:val="20"/>
                <w:szCs w:val="20"/>
                <w:color w:val="auto"/>
              </w:rPr>
            </w:pPr>
            <w:r>
              <w:rPr>
                <w:rFonts w:ascii="Arial" w:cs="Arial" w:eastAsia="Arial" w:hAnsi="Arial"/>
                <w:sz w:val="16"/>
                <w:szCs w:val="16"/>
                <w:color w:val="auto"/>
              </w:rPr>
              <w:t>Michigan</w:t>
            </w:r>
          </w:p>
        </w:tc>
        <w:tc>
          <w:tcPr>
            <w:tcW w:w="20" w:type="dxa"/>
            <w:vAlign w:val="bottom"/>
          </w:tcPr>
          <w:p>
            <w:pPr>
              <w:spacing w:after="0"/>
              <w:rPr>
                <w:sz w:val="17"/>
                <w:szCs w:val="17"/>
                <w:color w:val="auto"/>
              </w:rPr>
            </w:pPr>
          </w:p>
        </w:tc>
      </w:tr>
      <w:tr>
        <w:trPr>
          <w:trHeight w:val="203"/>
        </w:trPr>
        <w:tc>
          <w:tcPr>
            <w:tcW w:w="2920" w:type="dxa"/>
            <w:vAlign w:val="bottom"/>
            <w:shd w:val="clear" w:color="auto" w:fill="CCEEFF"/>
          </w:tcPr>
          <w:p>
            <w:pPr>
              <w:spacing w:after="0"/>
              <w:rPr>
                <w:sz w:val="20"/>
                <w:szCs w:val="20"/>
                <w:color w:val="auto"/>
              </w:rPr>
            </w:pPr>
            <w:r>
              <w:rPr>
                <w:rFonts w:ascii="Arial" w:cs="Arial" w:eastAsia="Arial" w:hAnsi="Arial"/>
                <w:sz w:val="16"/>
                <w:szCs w:val="16"/>
                <w:color w:val="auto"/>
              </w:rPr>
              <w:t>UFP Chandler, LLC</w:t>
            </w:r>
          </w:p>
        </w:tc>
        <w:tc>
          <w:tcPr>
            <w:tcW w:w="1200" w:type="dxa"/>
            <w:vAlign w:val="bottom"/>
            <w:shd w:val="clear" w:color="auto" w:fill="CCEEFF"/>
          </w:tcPr>
          <w:p>
            <w:pPr>
              <w:ind w:left="420"/>
              <w:spacing w:after="0"/>
              <w:rPr>
                <w:sz w:val="20"/>
                <w:szCs w:val="20"/>
                <w:color w:val="auto"/>
              </w:rPr>
            </w:pPr>
            <w:r>
              <w:rPr>
                <w:rFonts w:ascii="Arial" w:cs="Arial" w:eastAsia="Arial" w:hAnsi="Arial"/>
                <w:sz w:val="16"/>
                <w:szCs w:val="16"/>
                <w:color w:val="auto"/>
              </w:rPr>
              <w:t>Michigan</w:t>
            </w:r>
          </w:p>
        </w:tc>
        <w:tc>
          <w:tcPr>
            <w:tcW w:w="32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UFP Transportation, Inc.</w:t>
            </w:r>
          </w:p>
        </w:tc>
        <w:tc>
          <w:tcPr>
            <w:tcW w:w="1540" w:type="dxa"/>
            <w:vAlign w:val="bottom"/>
            <w:shd w:val="clear" w:color="auto" w:fill="CCEEFF"/>
          </w:tcPr>
          <w:p>
            <w:pPr>
              <w:ind w:left="600"/>
              <w:spacing w:after="0"/>
              <w:rPr>
                <w:sz w:val="20"/>
                <w:szCs w:val="20"/>
                <w:color w:val="auto"/>
              </w:rPr>
            </w:pPr>
            <w:r>
              <w:rPr>
                <w:rFonts w:ascii="Arial" w:cs="Arial" w:eastAsia="Arial" w:hAnsi="Arial"/>
                <w:sz w:val="16"/>
                <w:szCs w:val="16"/>
                <w:color w:val="auto"/>
              </w:rPr>
              <w:t>Michigan</w:t>
            </w:r>
          </w:p>
        </w:tc>
        <w:tc>
          <w:tcPr>
            <w:tcW w:w="20" w:type="dxa"/>
            <w:vAlign w:val="bottom"/>
            <w:shd w:val="clear" w:color="auto" w:fill="CCEEFF"/>
          </w:tcPr>
          <w:p>
            <w:pPr>
              <w:spacing w:after="0"/>
              <w:rPr>
                <w:sz w:val="17"/>
                <w:szCs w:val="17"/>
                <w:color w:val="auto"/>
              </w:rPr>
            </w:pPr>
          </w:p>
        </w:tc>
      </w:tr>
      <w:tr>
        <w:trPr>
          <w:trHeight w:val="203"/>
        </w:trPr>
        <w:tc>
          <w:tcPr>
            <w:tcW w:w="2920" w:type="dxa"/>
            <w:vAlign w:val="bottom"/>
          </w:tcPr>
          <w:p>
            <w:pPr>
              <w:spacing w:after="0"/>
              <w:rPr>
                <w:sz w:val="20"/>
                <w:szCs w:val="20"/>
                <w:color w:val="auto"/>
              </w:rPr>
            </w:pPr>
            <w:r>
              <w:rPr>
                <w:rFonts w:ascii="Arial" w:cs="Arial" w:eastAsia="Arial" w:hAnsi="Arial"/>
                <w:sz w:val="16"/>
                <w:szCs w:val="16"/>
                <w:color w:val="auto"/>
              </w:rPr>
              <w:t>UFP Chicago, LLC</w:t>
            </w:r>
          </w:p>
        </w:tc>
        <w:tc>
          <w:tcPr>
            <w:tcW w:w="1200" w:type="dxa"/>
            <w:vAlign w:val="bottom"/>
          </w:tcPr>
          <w:p>
            <w:pPr>
              <w:ind w:left="420"/>
              <w:spacing w:after="0"/>
              <w:rPr>
                <w:sz w:val="20"/>
                <w:szCs w:val="20"/>
                <w:color w:val="auto"/>
              </w:rPr>
            </w:pPr>
            <w:r>
              <w:rPr>
                <w:rFonts w:ascii="Arial" w:cs="Arial" w:eastAsia="Arial" w:hAnsi="Arial"/>
                <w:sz w:val="16"/>
                <w:szCs w:val="16"/>
                <w:color w:val="auto"/>
              </w:rPr>
              <w:t>Michigan</w:t>
            </w:r>
          </w:p>
        </w:tc>
        <w:tc>
          <w:tcPr>
            <w:tcW w:w="3260" w:type="dxa"/>
            <w:vAlign w:val="bottom"/>
          </w:tcPr>
          <w:p>
            <w:pPr>
              <w:ind w:left="180"/>
              <w:spacing w:after="0"/>
              <w:rPr>
                <w:sz w:val="20"/>
                <w:szCs w:val="20"/>
                <w:color w:val="auto"/>
              </w:rPr>
            </w:pPr>
            <w:r>
              <w:rPr>
                <w:rFonts w:ascii="Arial" w:cs="Arial" w:eastAsia="Arial" w:hAnsi="Arial"/>
                <w:sz w:val="16"/>
                <w:szCs w:val="16"/>
                <w:color w:val="auto"/>
              </w:rPr>
              <w:t>UFP Union City, LLC</w:t>
            </w:r>
          </w:p>
        </w:tc>
        <w:tc>
          <w:tcPr>
            <w:tcW w:w="1540" w:type="dxa"/>
            <w:vAlign w:val="bottom"/>
          </w:tcPr>
          <w:p>
            <w:pPr>
              <w:ind w:left="600"/>
              <w:spacing w:after="0"/>
              <w:rPr>
                <w:sz w:val="20"/>
                <w:szCs w:val="20"/>
                <w:color w:val="auto"/>
              </w:rPr>
            </w:pPr>
            <w:r>
              <w:rPr>
                <w:rFonts w:ascii="Arial" w:cs="Arial" w:eastAsia="Arial" w:hAnsi="Arial"/>
                <w:sz w:val="16"/>
                <w:szCs w:val="16"/>
                <w:color w:val="auto"/>
              </w:rPr>
              <w:t>Michigan</w:t>
            </w:r>
          </w:p>
        </w:tc>
        <w:tc>
          <w:tcPr>
            <w:tcW w:w="20" w:type="dxa"/>
            <w:vAlign w:val="bottom"/>
          </w:tcPr>
          <w:p>
            <w:pPr>
              <w:spacing w:after="0"/>
              <w:rPr>
                <w:sz w:val="17"/>
                <w:szCs w:val="17"/>
                <w:color w:val="auto"/>
              </w:rPr>
            </w:pPr>
          </w:p>
        </w:tc>
      </w:tr>
      <w:tr>
        <w:trPr>
          <w:trHeight w:val="203"/>
        </w:trPr>
        <w:tc>
          <w:tcPr>
            <w:tcW w:w="2920" w:type="dxa"/>
            <w:vAlign w:val="bottom"/>
            <w:shd w:val="clear" w:color="auto" w:fill="CCEEFF"/>
          </w:tcPr>
          <w:p>
            <w:pPr>
              <w:spacing w:after="0"/>
              <w:rPr>
                <w:sz w:val="20"/>
                <w:szCs w:val="20"/>
                <w:color w:val="auto"/>
              </w:rPr>
            </w:pPr>
            <w:r>
              <w:rPr>
                <w:rFonts w:ascii="Arial" w:cs="Arial" w:eastAsia="Arial" w:hAnsi="Arial"/>
                <w:sz w:val="16"/>
                <w:szCs w:val="16"/>
                <w:color w:val="auto"/>
              </w:rPr>
              <w:t>UFP Concrete Forming Solutions, Inc.</w:t>
            </w:r>
          </w:p>
        </w:tc>
        <w:tc>
          <w:tcPr>
            <w:tcW w:w="1200" w:type="dxa"/>
            <w:vAlign w:val="bottom"/>
            <w:shd w:val="clear" w:color="auto" w:fill="CCEEFF"/>
          </w:tcPr>
          <w:p>
            <w:pPr>
              <w:ind w:left="420"/>
              <w:spacing w:after="0"/>
              <w:rPr>
                <w:sz w:val="20"/>
                <w:szCs w:val="20"/>
                <w:color w:val="auto"/>
              </w:rPr>
            </w:pPr>
            <w:r>
              <w:rPr>
                <w:rFonts w:ascii="Arial" w:cs="Arial" w:eastAsia="Arial" w:hAnsi="Arial"/>
                <w:sz w:val="16"/>
                <w:szCs w:val="16"/>
                <w:color w:val="auto"/>
              </w:rPr>
              <w:t>Michigan</w:t>
            </w:r>
          </w:p>
        </w:tc>
        <w:tc>
          <w:tcPr>
            <w:tcW w:w="32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UFP Ventures II, Inc.</w:t>
            </w:r>
          </w:p>
        </w:tc>
        <w:tc>
          <w:tcPr>
            <w:tcW w:w="1540" w:type="dxa"/>
            <w:vAlign w:val="bottom"/>
            <w:shd w:val="clear" w:color="auto" w:fill="CCEEFF"/>
          </w:tcPr>
          <w:p>
            <w:pPr>
              <w:ind w:left="600"/>
              <w:spacing w:after="0"/>
              <w:rPr>
                <w:sz w:val="20"/>
                <w:szCs w:val="20"/>
                <w:color w:val="auto"/>
              </w:rPr>
            </w:pPr>
            <w:r>
              <w:rPr>
                <w:rFonts w:ascii="Arial" w:cs="Arial" w:eastAsia="Arial" w:hAnsi="Arial"/>
                <w:sz w:val="16"/>
                <w:szCs w:val="16"/>
                <w:color w:val="auto"/>
              </w:rPr>
              <w:t>Michigan</w:t>
            </w:r>
          </w:p>
        </w:tc>
        <w:tc>
          <w:tcPr>
            <w:tcW w:w="20" w:type="dxa"/>
            <w:vAlign w:val="bottom"/>
            <w:shd w:val="clear" w:color="auto" w:fill="CCEEFF"/>
          </w:tcPr>
          <w:p>
            <w:pPr>
              <w:spacing w:after="0"/>
              <w:rPr>
                <w:sz w:val="17"/>
                <w:szCs w:val="17"/>
                <w:color w:val="auto"/>
              </w:rPr>
            </w:pPr>
          </w:p>
        </w:tc>
      </w:tr>
      <w:tr>
        <w:trPr>
          <w:trHeight w:val="203"/>
        </w:trPr>
        <w:tc>
          <w:tcPr>
            <w:tcW w:w="2920" w:type="dxa"/>
            <w:vAlign w:val="bottom"/>
          </w:tcPr>
          <w:p>
            <w:pPr>
              <w:spacing w:after="0"/>
              <w:rPr>
                <w:sz w:val="20"/>
                <w:szCs w:val="20"/>
                <w:color w:val="auto"/>
              </w:rPr>
            </w:pPr>
            <w:r>
              <w:rPr>
                <w:rFonts w:ascii="Arial" w:cs="Arial" w:eastAsia="Arial" w:hAnsi="Arial"/>
                <w:sz w:val="16"/>
                <w:szCs w:val="16"/>
                <w:color w:val="auto"/>
              </w:rPr>
              <w:t>UFP Construction, LLC</w:t>
            </w:r>
          </w:p>
        </w:tc>
        <w:tc>
          <w:tcPr>
            <w:tcW w:w="1200" w:type="dxa"/>
            <w:vAlign w:val="bottom"/>
          </w:tcPr>
          <w:p>
            <w:pPr>
              <w:ind w:left="420"/>
              <w:spacing w:after="0"/>
              <w:rPr>
                <w:sz w:val="20"/>
                <w:szCs w:val="20"/>
                <w:color w:val="auto"/>
              </w:rPr>
            </w:pPr>
            <w:r>
              <w:rPr>
                <w:rFonts w:ascii="Arial" w:cs="Arial" w:eastAsia="Arial" w:hAnsi="Arial"/>
                <w:sz w:val="16"/>
                <w:szCs w:val="16"/>
                <w:color w:val="auto"/>
              </w:rPr>
              <w:t>Michigan</w:t>
            </w:r>
          </w:p>
        </w:tc>
        <w:tc>
          <w:tcPr>
            <w:tcW w:w="3260" w:type="dxa"/>
            <w:vAlign w:val="bottom"/>
          </w:tcPr>
          <w:p>
            <w:pPr>
              <w:ind w:left="180"/>
              <w:spacing w:after="0"/>
              <w:rPr>
                <w:sz w:val="20"/>
                <w:szCs w:val="20"/>
                <w:color w:val="auto"/>
              </w:rPr>
            </w:pPr>
            <w:r>
              <w:rPr>
                <w:rFonts w:ascii="Arial" w:cs="Arial" w:eastAsia="Arial" w:hAnsi="Arial"/>
                <w:sz w:val="16"/>
                <w:szCs w:val="16"/>
                <w:color w:val="auto"/>
              </w:rPr>
              <w:t>UFP Ventures, Inc.</w:t>
            </w:r>
          </w:p>
        </w:tc>
        <w:tc>
          <w:tcPr>
            <w:tcW w:w="1540" w:type="dxa"/>
            <w:vAlign w:val="bottom"/>
          </w:tcPr>
          <w:p>
            <w:pPr>
              <w:ind w:left="600"/>
              <w:spacing w:after="0"/>
              <w:rPr>
                <w:sz w:val="20"/>
                <w:szCs w:val="20"/>
                <w:color w:val="auto"/>
              </w:rPr>
            </w:pPr>
            <w:r>
              <w:rPr>
                <w:rFonts w:ascii="Arial" w:cs="Arial" w:eastAsia="Arial" w:hAnsi="Arial"/>
                <w:sz w:val="16"/>
                <w:szCs w:val="16"/>
                <w:color w:val="auto"/>
              </w:rPr>
              <w:t>Michigan</w:t>
            </w:r>
          </w:p>
        </w:tc>
        <w:tc>
          <w:tcPr>
            <w:tcW w:w="20" w:type="dxa"/>
            <w:vAlign w:val="bottom"/>
          </w:tcPr>
          <w:p>
            <w:pPr>
              <w:spacing w:after="0"/>
              <w:rPr>
                <w:sz w:val="17"/>
                <w:szCs w:val="17"/>
                <w:color w:val="auto"/>
              </w:rPr>
            </w:pPr>
          </w:p>
        </w:tc>
      </w:tr>
      <w:tr>
        <w:trPr>
          <w:trHeight w:val="203"/>
        </w:trPr>
        <w:tc>
          <w:tcPr>
            <w:tcW w:w="2920" w:type="dxa"/>
            <w:vAlign w:val="bottom"/>
            <w:shd w:val="clear" w:color="auto" w:fill="CCEEFF"/>
          </w:tcPr>
          <w:p>
            <w:pPr>
              <w:spacing w:after="0"/>
              <w:rPr>
                <w:sz w:val="20"/>
                <w:szCs w:val="20"/>
                <w:color w:val="auto"/>
              </w:rPr>
            </w:pPr>
            <w:r>
              <w:rPr>
                <w:rFonts w:ascii="Arial" w:cs="Arial" w:eastAsia="Arial" w:hAnsi="Arial"/>
                <w:sz w:val="16"/>
                <w:szCs w:val="16"/>
                <w:color w:val="auto"/>
              </w:rPr>
              <w:t>UFP Dallas, LLC</w:t>
            </w:r>
          </w:p>
        </w:tc>
        <w:tc>
          <w:tcPr>
            <w:tcW w:w="1200" w:type="dxa"/>
            <w:vAlign w:val="bottom"/>
            <w:shd w:val="clear" w:color="auto" w:fill="CCEEFF"/>
          </w:tcPr>
          <w:p>
            <w:pPr>
              <w:ind w:left="420"/>
              <w:spacing w:after="0"/>
              <w:rPr>
                <w:sz w:val="20"/>
                <w:szCs w:val="20"/>
                <w:color w:val="auto"/>
              </w:rPr>
            </w:pPr>
            <w:r>
              <w:rPr>
                <w:rFonts w:ascii="Arial" w:cs="Arial" w:eastAsia="Arial" w:hAnsi="Arial"/>
                <w:sz w:val="16"/>
                <w:szCs w:val="16"/>
                <w:color w:val="auto"/>
              </w:rPr>
              <w:t>Michigan</w:t>
            </w:r>
          </w:p>
        </w:tc>
        <w:tc>
          <w:tcPr>
            <w:tcW w:w="32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UFP Warranty Corporation</w:t>
            </w:r>
          </w:p>
        </w:tc>
        <w:tc>
          <w:tcPr>
            <w:tcW w:w="1540" w:type="dxa"/>
            <w:vAlign w:val="bottom"/>
            <w:shd w:val="clear" w:color="auto" w:fill="CCEEFF"/>
          </w:tcPr>
          <w:p>
            <w:pPr>
              <w:ind w:left="600"/>
              <w:spacing w:after="0"/>
              <w:rPr>
                <w:sz w:val="20"/>
                <w:szCs w:val="20"/>
                <w:color w:val="auto"/>
              </w:rPr>
            </w:pPr>
            <w:r>
              <w:rPr>
                <w:rFonts w:ascii="Arial" w:cs="Arial" w:eastAsia="Arial" w:hAnsi="Arial"/>
                <w:sz w:val="16"/>
                <w:szCs w:val="16"/>
                <w:color w:val="auto"/>
              </w:rPr>
              <w:t>Michigan</w:t>
            </w:r>
          </w:p>
        </w:tc>
        <w:tc>
          <w:tcPr>
            <w:tcW w:w="20" w:type="dxa"/>
            <w:vAlign w:val="bottom"/>
            <w:shd w:val="clear" w:color="auto" w:fill="CCEEFF"/>
          </w:tcPr>
          <w:p>
            <w:pPr>
              <w:spacing w:after="0"/>
              <w:rPr>
                <w:sz w:val="17"/>
                <w:szCs w:val="17"/>
                <w:color w:val="auto"/>
              </w:rPr>
            </w:pPr>
          </w:p>
        </w:tc>
      </w:tr>
      <w:tr>
        <w:trPr>
          <w:trHeight w:val="203"/>
        </w:trPr>
        <w:tc>
          <w:tcPr>
            <w:tcW w:w="2920" w:type="dxa"/>
            <w:vAlign w:val="bottom"/>
          </w:tcPr>
          <w:p>
            <w:pPr>
              <w:spacing w:after="0"/>
              <w:rPr>
                <w:sz w:val="20"/>
                <w:szCs w:val="20"/>
                <w:color w:val="auto"/>
              </w:rPr>
            </w:pPr>
            <w:r>
              <w:rPr>
                <w:rFonts w:ascii="Arial" w:cs="Arial" w:eastAsia="Arial" w:hAnsi="Arial"/>
                <w:sz w:val="16"/>
                <w:szCs w:val="16"/>
                <w:color w:val="auto"/>
              </w:rPr>
              <w:t>UFP Distribution, LLC</w:t>
            </w:r>
          </w:p>
        </w:tc>
        <w:tc>
          <w:tcPr>
            <w:tcW w:w="1200" w:type="dxa"/>
            <w:vAlign w:val="bottom"/>
          </w:tcPr>
          <w:p>
            <w:pPr>
              <w:ind w:left="420"/>
              <w:spacing w:after="0"/>
              <w:rPr>
                <w:sz w:val="20"/>
                <w:szCs w:val="20"/>
                <w:color w:val="auto"/>
              </w:rPr>
            </w:pPr>
            <w:r>
              <w:rPr>
                <w:rFonts w:ascii="Arial" w:cs="Arial" w:eastAsia="Arial" w:hAnsi="Arial"/>
                <w:sz w:val="16"/>
                <w:szCs w:val="16"/>
                <w:color w:val="auto"/>
              </w:rPr>
              <w:t>Michigan</w:t>
            </w:r>
          </w:p>
        </w:tc>
        <w:tc>
          <w:tcPr>
            <w:tcW w:w="3260" w:type="dxa"/>
            <w:vAlign w:val="bottom"/>
          </w:tcPr>
          <w:p>
            <w:pPr>
              <w:ind w:left="180"/>
              <w:spacing w:after="0"/>
              <w:rPr>
                <w:sz w:val="20"/>
                <w:szCs w:val="20"/>
                <w:color w:val="auto"/>
              </w:rPr>
            </w:pPr>
            <w:r>
              <w:rPr>
                <w:rFonts w:ascii="Arial" w:cs="Arial" w:eastAsia="Arial" w:hAnsi="Arial"/>
                <w:sz w:val="16"/>
                <w:szCs w:val="16"/>
                <w:color w:val="auto"/>
              </w:rPr>
              <w:t>UFP Warrens, LLC</w:t>
            </w:r>
          </w:p>
        </w:tc>
        <w:tc>
          <w:tcPr>
            <w:tcW w:w="1540" w:type="dxa"/>
            <w:vAlign w:val="bottom"/>
          </w:tcPr>
          <w:p>
            <w:pPr>
              <w:ind w:left="600"/>
              <w:spacing w:after="0"/>
              <w:rPr>
                <w:sz w:val="20"/>
                <w:szCs w:val="20"/>
                <w:color w:val="auto"/>
              </w:rPr>
            </w:pPr>
            <w:r>
              <w:rPr>
                <w:rFonts w:ascii="Arial" w:cs="Arial" w:eastAsia="Arial" w:hAnsi="Arial"/>
                <w:sz w:val="16"/>
                <w:szCs w:val="16"/>
                <w:color w:val="auto"/>
              </w:rPr>
              <w:t>Michigan</w:t>
            </w:r>
          </w:p>
        </w:tc>
        <w:tc>
          <w:tcPr>
            <w:tcW w:w="20" w:type="dxa"/>
            <w:vAlign w:val="bottom"/>
          </w:tcPr>
          <w:p>
            <w:pPr>
              <w:spacing w:after="0"/>
              <w:rPr>
                <w:sz w:val="17"/>
                <w:szCs w:val="17"/>
                <w:color w:val="auto"/>
              </w:rPr>
            </w:pPr>
          </w:p>
        </w:tc>
      </w:tr>
      <w:tr>
        <w:trPr>
          <w:trHeight w:val="203"/>
        </w:trPr>
        <w:tc>
          <w:tcPr>
            <w:tcW w:w="2920" w:type="dxa"/>
            <w:vAlign w:val="bottom"/>
            <w:shd w:val="clear" w:color="auto" w:fill="CCEEFF"/>
          </w:tcPr>
          <w:p>
            <w:pPr>
              <w:spacing w:after="0"/>
              <w:rPr>
                <w:sz w:val="20"/>
                <w:szCs w:val="20"/>
                <w:color w:val="auto"/>
              </w:rPr>
            </w:pPr>
            <w:r>
              <w:rPr>
                <w:rFonts w:ascii="Arial" w:cs="Arial" w:eastAsia="Arial" w:hAnsi="Arial"/>
                <w:sz w:val="16"/>
                <w:szCs w:val="16"/>
                <w:color w:val="auto"/>
              </w:rPr>
              <w:t>UFP Eagan, LLC</w:t>
            </w:r>
          </w:p>
        </w:tc>
        <w:tc>
          <w:tcPr>
            <w:tcW w:w="1200" w:type="dxa"/>
            <w:vAlign w:val="bottom"/>
            <w:shd w:val="clear" w:color="auto" w:fill="CCEEFF"/>
          </w:tcPr>
          <w:p>
            <w:pPr>
              <w:ind w:left="420"/>
              <w:spacing w:after="0"/>
              <w:rPr>
                <w:sz w:val="20"/>
                <w:szCs w:val="20"/>
                <w:color w:val="auto"/>
              </w:rPr>
            </w:pPr>
            <w:r>
              <w:rPr>
                <w:rFonts w:ascii="Arial" w:cs="Arial" w:eastAsia="Arial" w:hAnsi="Arial"/>
                <w:sz w:val="16"/>
                <w:szCs w:val="16"/>
                <w:color w:val="auto"/>
              </w:rPr>
              <w:t>Michigan</w:t>
            </w:r>
          </w:p>
        </w:tc>
        <w:tc>
          <w:tcPr>
            <w:tcW w:w="32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UFP Washington, LLC</w:t>
            </w:r>
          </w:p>
        </w:tc>
        <w:tc>
          <w:tcPr>
            <w:tcW w:w="1540" w:type="dxa"/>
            <w:vAlign w:val="bottom"/>
            <w:shd w:val="clear" w:color="auto" w:fill="CCEEFF"/>
          </w:tcPr>
          <w:p>
            <w:pPr>
              <w:ind w:left="600"/>
              <w:spacing w:after="0"/>
              <w:rPr>
                <w:sz w:val="20"/>
                <w:szCs w:val="20"/>
                <w:color w:val="auto"/>
              </w:rPr>
            </w:pPr>
            <w:r>
              <w:rPr>
                <w:rFonts w:ascii="Arial" w:cs="Arial" w:eastAsia="Arial" w:hAnsi="Arial"/>
                <w:sz w:val="16"/>
                <w:szCs w:val="16"/>
                <w:color w:val="auto"/>
              </w:rPr>
              <w:t>Michigan</w:t>
            </w:r>
          </w:p>
        </w:tc>
        <w:tc>
          <w:tcPr>
            <w:tcW w:w="20" w:type="dxa"/>
            <w:vAlign w:val="bottom"/>
            <w:shd w:val="clear" w:color="auto" w:fill="CCEEFF"/>
          </w:tcPr>
          <w:p>
            <w:pPr>
              <w:spacing w:after="0"/>
              <w:rPr>
                <w:sz w:val="17"/>
                <w:szCs w:val="17"/>
                <w:color w:val="auto"/>
              </w:rPr>
            </w:pPr>
          </w:p>
        </w:tc>
      </w:tr>
      <w:tr>
        <w:trPr>
          <w:trHeight w:val="203"/>
        </w:trPr>
        <w:tc>
          <w:tcPr>
            <w:tcW w:w="2920" w:type="dxa"/>
            <w:vAlign w:val="bottom"/>
          </w:tcPr>
          <w:p>
            <w:pPr>
              <w:spacing w:after="0"/>
              <w:rPr>
                <w:sz w:val="20"/>
                <w:szCs w:val="20"/>
                <w:color w:val="auto"/>
              </w:rPr>
            </w:pPr>
            <w:r>
              <w:rPr>
                <w:rFonts w:ascii="Arial" w:cs="Arial" w:eastAsia="Arial" w:hAnsi="Arial"/>
                <w:sz w:val="16"/>
                <w:szCs w:val="16"/>
                <w:color w:val="auto"/>
              </w:rPr>
              <w:t>UFP East Central, LLC</w:t>
            </w:r>
          </w:p>
        </w:tc>
        <w:tc>
          <w:tcPr>
            <w:tcW w:w="1200" w:type="dxa"/>
            <w:vAlign w:val="bottom"/>
          </w:tcPr>
          <w:p>
            <w:pPr>
              <w:ind w:left="420"/>
              <w:spacing w:after="0"/>
              <w:rPr>
                <w:sz w:val="20"/>
                <w:szCs w:val="20"/>
                <w:color w:val="auto"/>
              </w:rPr>
            </w:pPr>
            <w:r>
              <w:rPr>
                <w:rFonts w:ascii="Arial" w:cs="Arial" w:eastAsia="Arial" w:hAnsi="Arial"/>
                <w:sz w:val="16"/>
                <w:szCs w:val="16"/>
                <w:color w:val="auto"/>
              </w:rPr>
              <w:t>Michigan</w:t>
            </w:r>
          </w:p>
        </w:tc>
        <w:tc>
          <w:tcPr>
            <w:tcW w:w="3260" w:type="dxa"/>
            <w:vAlign w:val="bottom"/>
          </w:tcPr>
          <w:p>
            <w:pPr>
              <w:ind w:left="180"/>
              <w:spacing w:after="0"/>
              <w:rPr>
                <w:sz w:val="20"/>
                <w:szCs w:val="20"/>
                <w:color w:val="auto"/>
              </w:rPr>
            </w:pPr>
            <w:r>
              <w:rPr>
                <w:rFonts w:ascii="Arial" w:cs="Arial" w:eastAsia="Arial" w:hAnsi="Arial"/>
                <w:sz w:val="16"/>
                <w:szCs w:val="16"/>
                <w:color w:val="auto"/>
              </w:rPr>
              <w:t>UFP Western Division, Inc.</w:t>
            </w:r>
          </w:p>
        </w:tc>
        <w:tc>
          <w:tcPr>
            <w:tcW w:w="1540" w:type="dxa"/>
            <w:vAlign w:val="bottom"/>
          </w:tcPr>
          <w:p>
            <w:pPr>
              <w:ind w:left="600"/>
              <w:spacing w:after="0"/>
              <w:rPr>
                <w:sz w:val="20"/>
                <w:szCs w:val="20"/>
                <w:color w:val="auto"/>
              </w:rPr>
            </w:pPr>
            <w:r>
              <w:rPr>
                <w:rFonts w:ascii="Arial" w:cs="Arial" w:eastAsia="Arial" w:hAnsi="Arial"/>
                <w:sz w:val="16"/>
                <w:szCs w:val="16"/>
                <w:color w:val="auto"/>
              </w:rPr>
              <w:t>Michigan</w:t>
            </w:r>
          </w:p>
        </w:tc>
        <w:tc>
          <w:tcPr>
            <w:tcW w:w="20" w:type="dxa"/>
            <w:vAlign w:val="bottom"/>
          </w:tcPr>
          <w:p>
            <w:pPr>
              <w:spacing w:after="0"/>
              <w:rPr>
                <w:sz w:val="17"/>
                <w:szCs w:val="17"/>
                <w:color w:val="auto"/>
              </w:rPr>
            </w:pPr>
          </w:p>
        </w:tc>
      </w:tr>
      <w:tr>
        <w:trPr>
          <w:trHeight w:val="203"/>
        </w:trPr>
        <w:tc>
          <w:tcPr>
            <w:tcW w:w="2920" w:type="dxa"/>
            <w:vAlign w:val="bottom"/>
            <w:shd w:val="clear" w:color="auto" w:fill="CCEEFF"/>
          </w:tcPr>
          <w:p>
            <w:pPr>
              <w:spacing w:after="0"/>
              <w:rPr>
                <w:sz w:val="20"/>
                <w:szCs w:val="20"/>
                <w:color w:val="auto"/>
              </w:rPr>
            </w:pPr>
            <w:r>
              <w:rPr>
                <w:rFonts w:ascii="Arial" w:cs="Arial" w:eastAsia="Arial" w:hAnsi="Arial"/>
                <w:sz w:val="16"/>
                <w:szCs w:val="16"/>
                <w:color w:val="auto"/>
              </w:rPr>
              <w:t>UFP Eastern Division, Inc.</w:t>
            </w:r>
          </w:p>
        </w:tc>
        <w:tc>
          <w:tcPr>
            <w:tcW w:w="1200" w:type="dxa"/>
            <w:vAlign w:val="bottom"/>
            <w:shd w:val="clear" w:color="auto" w:fill="CCEEFF"/>
          </w:tcPr>
          <w:p>
            <w:pPr>
              <w:ind w:left="420"/>
              <w:spacing w:after="0"/>
              <w:rPr>
                <w:sz w:val="20"/>
                <w:szCs w:val="20"/>
                <w:color w:val="auto"/>
              </w:rPr>
            </w:pPr>
            <w:r>
              <w:rPr>
                <w:rFonts w:ascii="Arial" w:cs="Arial" w:eastAsia="Arial" w:hAnsi="Arial"/>
                <w:sz w:val="16"/>
                <w:szCs w:val="16"/>
                <w:color w:val="auto"/>
              </w:rPr>
              <w:t>Michigan</w:t>
            </w:r>
          </w:p>
        </w:tc>
        <w:tc>
          <w:tcPr>
            <w:tcW w:w="32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UFP White Bear Lake, LLC</w:t>
            </w:r>
          </w:p>
        </w:tc>
        <w:tc>
          <w:tcPr>
            <w:tcW w:w="1540" w:type="dxa"/>
            <w:vAlign w:val="bottom"/>
            <w:shd w:val="clear" w:color="auto" w:fill="CCEEFF"/>
          </w:tcPr>
          <w:p>
            <w:pPr>
              <w:ind w:left="600"/>
              <w:spacing w:after="0"/>
              <w:rPr>
                <w:sz w:val="20"/>
                <w:szCs w:val="20"/>
                <w:color w:val="auto"/>
              </w:rPr>
            </w:pPr>
            <w:r>
              <w:rPr>
                <w:rFonts w:ascii="Arial" w:cs="Arial" w:eastAsia="Arial" w:hAnsi="Arial"/>
                <w:sz w:val="16"/>
                <w:szCs w:val="16"/>
                <w:color w:val="auto"/>
              </w:rPr>
              <w:t>Michigan</w:t>
            </w:r>
          </w:p>
        </w:tc>
        <w:tc>
          <w:tcPr>
            <w:tcW w:w="20" w:type="dxa"/>
            <w:vAlign w:val="bottom"/>
            <w:shd w:val="clear" w:color="auto" w:fill="CCEEFF"/>
          </w:tcPr>
          <w:p>
            <w:pPr>
              <w:spacing w:after="0"/>
              <w:rPr>
                <w:sz w:val="17"/>
                <w:szCs w:val="17"/>
                <w:color w:val="auto"/>
              </w:rPr>
            </w:pPr>
          </w:p>
        </w:tc>
      </w:tr>
      <w:tr>
        <w:trPr>
          <w:trHeight w:val="203"/>
        </w:trPr>
        <w:tc>
          <w:tcPr>
            <w:tcW w:w="2920" w:type="dxa"/>
            <w:vAlign w:val="bottom"/>
          </w:tcPr>
          <w:p>
            <w:pPr>
              <w:spacing w:after="0"/>
              <w:rPr>
                <w:sz w:val="20"/>
                <w:szCs w:val="20"/>
                <w:color w:val="auto"/>
              </w:rPr>
            </w:pPr>
            <w:r>
              <w:rPr>
                <w:rFonts w:ascii="Arial" w:cs="Arial" w:eastAsia="Arial" w:hAnsi="Arial"/>
                <w:sz w:val="16"/>
                <w:szCs w:val="16"/>
                <w:color w:val="auto"/>
              </w:rPr>
              <w:t>UFP Eatonton, LLC</w:t>
            </w:r>
          </w:p>
        </w:tc>
        <w:tc>
          <w:tcPr>
            <w:tcW w:w="1200" w:type="dxa"/>
            <w:vAlign w:val="bottom"/>
          </w:tcPr>
          <w:p>
            <w:pPr>
              <w:ind w:left="420"/>
              <w:spacing w:after="0"/>
              <w:rPr>
                <w:sz w:val="20"/>
                <w:szCs w:val="20"/>
                <w:color w:val="auto"/>
              </w:rPr>
            </w:pPr>
            <w:r>
              <w:rPr>
                <w:rFonts w:ascii="Arial" w:cs="Arial" w:eastAsia="Arial" w:hAnsi="Arial"/>
                <w:sz w:val="16"/>
                <w:szCs w:val="16"/>
                <w:color w:val="auto"/>
              </w:rPr>
              <w:t>Michigan</w:t>
            </w:r>
          </w:p>
        </w:tc>
        <w:tc>
          <w:tcPr>
            <w:tcW w:w="3260" w:type="dxa"/>
            <w:vAlign w:val="bottom"/>
          </w:tcPr>
          <w:p>
            <w:pPr>
              <w:ind w:left="180"/>
              <w:spacing w:after="0"/>
              <w:rPr>
                <w:sz w:val="20"/>
                <w:szCs w:val="20"/>
                <w:color w:val="auto"/>
              </w:rPr>
            </w:pPr>
            <w:r>
              <w:rPr>
                <w:rFonts w:ascii="Arial" w:cs="Arial" w:eastAsia="Arial" w:hAnsi="Arial"/>
                <w:sz w:val="16"/>
                <w:szCs w:val="16"/>
                <w:color w:val="auto"/>
              </w:rPr>
              <w:t>UFP Windsor, LLC</w:t>
            </w:r>
          </w:p>
        </w:tc>
        <w:tc>
          <w:tcPr>
            <w:tcW w:w="1540" w:type="dxa"/>
            <w:vAlign w:val="bottom"/>
          </w:tcPr>
          <w:p>
            <w:pPr>
              <w:ind w:left="600"/>
              <w:spacing w:after="0"/>
              <w:rPr>
                <w:sz w:val="20"/>
                <w:szCs w:val="20"/>
                <w:color w:val="auto"/>
              </w:rPr>
            </w:pPr>
            <w:r>
              <w:rPr>
                <w:rFonts w:ascii="Arial" w:cs="Arial" w:eastAsia="Arial" w:hAnsi="Arial"/>
                <w:sz w:val="16"/>
                <w:szCs w:val="16"/>
                <w:color w:val="auto"/>
              </w:rPr>
              <w:t>Michigan</w:t>
            </w:r>
          </w:p>
        </w:tc>
        <w:tc>
          <w:tcPr>
            <w:tcW w:w="20" w:type="dxa"/>
            <w:vAlign w:val="bottom"/>
          </w:tcPr>
          <w:p>
            <w:pPr>
              <w:spacing w:after="0"/>
              <w:rPr>
                <w:sz w:val="17"/>
                <w:szCs w:val="17"/>
                <w:color w:val="auto"/>
              </w:rPr>
            </w:pPr>
          </w:p>
        </w:tc>
      </w:tr>
      <w:tr>
        <w:trPr>
          <w:trHeight w:val="203"/>
        </w:trPr>
        <w:tc>
          <w:tcPr>
            <w:tcW w:w="2920" w:type="dxa"/>
            <w:vAlign w:val="bottom"/>
            <w:shd w:val="clear" w:color="auto" w:fill="CCEEFF"/>
          </w:tcPr>
          <w:p>
            <w:pPr>
              <w:spacing w:after="0"/>
              <w:rPr>
                <w:sz w:val="20"/>
                <w:szCs w:val="20"/>
                <w:color w:val="auto"/>
              </w:rPr>
            </w:pPr>
            <w:r>
              <w:rPr>
                <w:rFonts w:ascii="Arial" w:cs="Arial" w:eastAsia="Arial" w:hAnsi="Arial"/>
                <w:sz w:val="16"/>
                <w:szCs w:val="16"/>
                <w:color w:val="auto"/>
              </w:rPr>
              <w:t>UFP Elizabeth City, LLC</w:t>
            </w:r>
          </w:p>
        </w:tc>
        <w:tc>
          <w:tcPr>
            <w:tcW w:w="1200" w:type="dxa"/>
            <w:vAlign w:val="bottom"/>
            <w:shd w:val="clear" w:color="auto" w:fill="CCEEFF"/>
          </w:tcPr>
          <w:p>
            <w:pPr>
              <w:ind w:left="420"/>
              <w:spacing w:after="0"/>
              <w:rPr>
                <w:sz w:val="20"/>
                <w:szCs w:val="20"/>
                <w:color w:val="auto"/>
              </w:rPr>
            </w:pPr>
            <w:r>
              <w:rPr>
                <w:rFonts w:ascii="Arial" w:cs="Arial" w:eastAsia="Arial" w:hAnsi="Arial"/>
                <w:sz w:val="16"/>
                <w:szCs w:val="16"/>
                <w:color w:val="auto"/>
              </w:rPr>
              <w:t>Michigan</w:t>
            </w:r>
          </w:p>
        </w:tc>
        <w:tc>
          <w:tcPr>
            <w:tcW w:w="32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UFP Woodburn, LLC</w:t>
            </w:r>
          </w:p>
        </w:tc>
        <w:tc>
          <w:tcPr>
            <w:tcW w:w="1540" w:type="dxa"/>
            <w:vAlign w:val="bottom"/>
            <w:shd w:val="clear" w:color="auto" w:fill="CCEEFF"/>
          </w:tcPr>
          <w:p>
            <w:pPr>
              <w:ind w:left="600"/>
              <w:spacing w:after="0"/>
              <w:rPr>
                <w:sz w:val="20"/>
                <w:szCs w:val="20"/>
                <w:color w:val="auto"/>
              </w:rPr>
            </w:pPr>
            <w:r>
              <w:rPr>
                <w:rFonts w:ascii="Arial" w:cs="Arial" w:eastAsia="Arial" w:hAnsi="Arial"/>
                <w:sz w:val="16"/>
                <w:szCs w:val="16"/>
                <w:color w:val="auto"/>
              </w:rPr>
              <w:t>Michigan</w:t>
            </w:r>
          </w:p>
        </w:tc>
        <w:tc>
          <w:tcPr>
            <w:tcW w:w="20" w:type="dxa"/>
            <w:vAlign w:val="bottom"/>
            <w:shd w:val="clear" w:color="auto" w:fill="CCEEFF"/>
          </w:tcPr>
          <w:p>
            <w:pPr>
              <w:spacing w:after="0"/>
              <w:rPr>
                <w:sz w:val="17"/>
                <w:szCs w:val="17"/>
                <w:color w:val="auto"/>
              </w:rPr>
            </w:pPr>
          </w:p>
        </w:tc>
      </w:tr>
      <w:tr>
        <w:trPr>
          <w:trHeight w:val="203"/>
        </w:trPr>
        <w:tc>
          <w:tcPr>
            <w:tcW w:w="2920" w:type="dxa"/>
            <w:vAlign w:val="bottom"/>
          </w:tcPr>
          <w:p>
            <w:pPr>
              <w:spacing w:after="0"/>
              <w:rPr>
                <w:sz w:val="20"/>
                <w:szCs w:val="20"/>
                <w:color w:val="auto"/>
              </w:rPr>
            </w:pPr>
            <w:r>
              <w:rPr>
                <w:rFonts w:ascii="Arial" w:cs="Arial" w:eastAsia="Arial" w:hAnsi="Arial"/>
                <w:sz w:val="16"/>
                <w:szCs w:val="16"/>
                <w:color w:val="auto"/>
              </w:rPr>
              <w:t>UFP Elkwood, LLC</w:t>
            </w:r>
          </w:p>
        </w:tc>
        <w:tc>
          <w:tcPr>
            <w:tcW w:w="1200" w:type="dxa"/>
            <w:vAlign w:val="bottom"/>
          </w:tcPr>
          <w:p>
            <w:pPr>
              <w:ind w:left="420"/>
              <w:spacing w:after="0"/>
              <w:rPr>
                <w:sz w:val="20"/>
                <w:szCs w:val="20"/>
                <w:color w:val="auto"/>
              </w:rPr>
            </w:pPr>
            <w:r>
              <w:rPr>
                <w:rFonts w:ascii="Arial" w:cs="Arial" w:eastAsia="Arial" w:hAnsi="Arial"/>
                <w:sz w:val="16"/>
                <w:szCs w:val="16"/>
                <w:color w:val="auto"/>
              </w:rPr>
              <w:t>Michigan</w:t>
            </w:r>
          </w:p>
        </w:tc>
        <w:tc>
          <w:tcPr>
            <w:tcW w:w="3260" w:type="dxa"/>
            <w:vAlign w:val="bottom"/>
          </w:tcPr>
          <w:p>
            <w:pPr>
              <w:ind w:left="180"/>
              <w:spacing w:after="0"/>
              <w:rPr>
                <w:sz w:val="20"/>
                <w:szCs w:val="20"/>
                <w:color w:val="auto"/>
              </w:rPr>
            </w:pPr>
            <w:r>
              <w:rPr>
                <w:rFonts w:ascii="Arial" w:cs="Arial" w:eastAsia="Arial" w:hAnsi="Arial"/>
                <w:sz w:val="16"/>
                <w:szCs w:val="16"/>
                <w:color w:val="auto"/>
              </w:rPr>
              <w:t>United Lumber &amp; Reman, LLC</w:t>
            </w:r>
          </w:p>
        </w:tc>
        <w:tc>
          <w:tcPr>
            <w:tcW w:w="1540" w:type="dxa"/>
            <w:vAlign w:val="bottom"/>
          </w:tcPr>
          <w:p>
            <w:pPr>
              <w:ind w:left="600"/>
              <w:spacing w:after="0"/>
              <w:rPr>
                <w:sz w:val="20"/>
                <w:szCs w:val="20"/>
                <w:color w:val="auto"/>
              </w:rPr>
            </w:pPr>
            <w:r>
              <w:rPr>
                <w:rFonts w:ascii="Arial" w:cs="Arial" w:eastAsia="Arial" w:hAnsi="Arial"/>
                <w:sz w:val="16"/>
                <w:szCs w:val="16"/>
                <w:color w:val="auto"/>
              </w:rPr>
              <w:t>Alabama</w:t>
            </w:r>
          </w:p>
        </w:tc>
        <w:tc>
          <w:tcPr>
            <w:tcW w:w="20" w:type="dxa"/>
            <w:vAlign w:val="bottom"/>
          </w:tcPr>
          <w:p>
            <w:pPr>
              <w:spacing w:after="0"/>
              <w:rPr>
                <w:sz w:val="17"/>
                <w:szCs w:val="17"/>
                <w:color w:val="auto"/>
              </w:rPr>
            </w:pPr>
          </w:p>
        </w:tc>
      </w:tr>
      <w:tr>
        <w:trPr>
          <w:trHeight w:val="203"/>
        </w:trPr>
        <w:tc>
          <w:tcPr>
            <w:tcW w:w="2920" w:type="dxa"/>
            <w:vAlign w:val="bottom"/>
            <w:shd w:val="clear" w:color="auto" w:fill="CCEEFF"/>
          </w:tcPr>
          <w:p>
            <w:pPr>
              <w:spacing w:after="0"/>
              <w:rPr>
                <w:sz w:val="20"/>
                <w:szCs w:val="20"/>
                <w:color w:val="auto"/>
              </w:rPr>
            </w:pPr>
            <w:r>
              <w:rPr>
                <w:rFonts w:ascii="Arial" w:cs="Arial" w:eastAsia="Arial" w:hAnsi="Arial"/>
                <w:sz w:val="16"/>
                <w:szCs w:val="16"/>
                <w:color w:val="auto"/>
              </w:rPr>
              <w:t>UFP Far West, LLC</w:t>
            </w:r>
          </w:p>
        </w:tc>
        <w:tc>
          <w:tcPr>
            <w:tcW w:w="1200" w:type="dxa"/>
            <w:vAlign w:val="bottom"/>
            <w:shd w:val="clear" w:color="auto" w:fill="CCEEFF"/>
          </w:tcPr>
          <w:p>
            <w:pPr>
              <w:ind w:left="420"/>
              <w:spacing w:after="0"/>
              <w:rPr>
                <w:sz w:val="20"/>
                <w:szCs w:val="20"/>
                <w:color w:val="auto"/>
              </w:rPr>
            </w:pPr>
            <w:r>
              <w:rPr>
                <w:rFonts w:ascii="Arial" w:cs="Arial" w:eastAsia="Arial" w:hAnsi="Arial"/>
                <w:sz w:val="16"/>
                <w:szCs w:val="16"/>
                <w:color w:val="auto"/>
              </w:rPr>
              <w:t>Michigan</w:t>
            </w:r>
          </w:p>
        </w:tc>
        <w:tc>
          <w:tcPr>
            <w:tcW w:w="32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Universal Forest Products Texas, LLC</w:t>
            </w:r>
          </w:p>
        </w:tc>
        <w:tc>
          <w:tcPr>
            <w:tcW w:w="1540" w:type="dxa"/>
            <w:vAlign w:val="bottom"/>
            <w:shd w:val="clear" w:color="auto" w:fill="CCEEFF"/>
          </w:tcPr>
          <w:p>
            <w:pPr>
              <w:ind w:left="600"/>
              <w:spacing w:after="0"/>
              <w:rPr>
                <w:sz w:val="20"/>
                <w:szCs w:val="20"/>
                <w:color w:val="auto"/>
              </w:rPr>
            </w:pPr>
            <w:r>
              <w:rPr>
                <w:rFonts w:ascii="Arial" w:cs="Arial" w:eastAsia="Arial" w:hAnsi="Arial"/>
                <w:sz w:val="16"/>
                <w:szCs w:val="16"/>
                <w:color w:val="auto"/>
              </w:rPr>
              <w:t>Michigan</w:t>
            </w:r>
          </w:p>
        </w:tc>
        <w:tc>
          <w:tcPr>
            <w:tcW w:w="20" w:type="dxa"/>
            <w:vAlign w:val="bottom"/>
            <w:shd w:val="clear" w:color="auto" w:fill="CCEEFF"/>
          </w:tcPr>
          <w:p>
            <w:pPr>
              <w:spacing w:after="0"/>
              <w:rPr>
                <w:sz w:val="17"/>
                <w:szCs w:val="17"/>
                <w:color w:val="auto"/>
              </w:rPr>
            </w:pPr>
          </w:p>
        </w:tc>
      </w:tr>
      <w:tr>
        <w:trPr>
          <w:trHeight w:val="203"/>
        </w:trPr>
        <w:tc>
          <w:tcPr>
            <w:tcW w:w="2920" w:type="dxa"/>
            <w:vAlign w:val="bottom"/>
          </w:tcPr>
          <w:p>
            <w:pPr>
              <w:spacing w:after="0"/>
              <w:rPr>
                <w:sz w:val="20"/>
                <w:szCs w:val="20"/>
                <w:color w:val="auto"/>
              </w:rPr>
            </w:pPr>
            <w:r>
              <w:rPr>
                <w:rFonts w:ascii="Arial" w:cs="Arial" w:eastAsia="Arial" w:hAnsi="Arial"/>
                <w:sz w:val="16"/>
                <w:szCs w:val="16"/>
                <w:color w:val="auto"/>
              </w:rPr>
              <w:t>UFP Financial Services, Inc.</w:t>
            </w:r>
          </w:p>
        </w:tc>
        <w:tc>
          <w:tcPr>
            <w:tcW w:w="1200" w:type="dxa"/>
            <w:vAlign w:val="bottom"/>
          </w:tcPr>
          <w:p>
            <w:pPr>
              <w:ind w:left="420"/>
              <w:spacing w:after="0"/>
              <w:rPr>
                <w:sz w:val="20"/>
                <w:szCs w:val="20"/>
                <w:color w:val="auto"/>
              </w:rPr>
            </w:pPr>
            <w:r>
              <w:rPr>
                <w:rFonts w:ascii="Arial" w:cs="Arial" w:eastAsia="Arial" w:hAnsi="Arial"/>
                <w:sz w:val="16"/>
                <w:szCs w:val="16"/>
                <w:color w:val="auto"/>
              </w:rPr>
              <w:t>Michigan</w:t>
            </w:r>
          </w:p>
        </w:tc>
        <w:tc>
          <w:tcPr>
            <w:tcW w:w="3260" w:type="dxa"/>
            <w:vAlign w:val="bottom"/>
          </w:tcPr>
          <w:p>
            <w:pPr>
              <w:ind w:left="180"/>
              <w:spacing w:after="0"/>
              <w:rPr>
                <w:sz w:val="20"/>
                <w:szCs w:val="20"/>
                <w:color w:val="auto"/>
              </w:rPr>
            </w:pPr>
            <w:r>
              <w:rPr>
                <w:rFonts w:ascii="Arial" w:cs="Arial" w:eastAsia="Arial" w:hAnsi="Arial"/>
                <w:sz w:val="16"/>
                <w:szCs w:val="16"/>
                <w:color w:val="auto"/>
              </w:rPr>
              <w:t>Universal Showcase ULC</w:t>
            </w:r>
          </w:p>
        </w:tc>
        <w:tc>
          <w:tcPr>
            <w:tcW w:w="1540" w:type="dxa"/>
            <w:vAlign w:val="bottom"/>
          </w:tcPr>
          <w:p>
            <w:pPr>
              <w:ind w:left="600"/>
              <w:spacing w:after="0"/>
              <w:rPr>
                <w:sz w:val="20"/>
                <w:szCs w:val="20"/>
                <w:color w:val="auto"/>
              </w:rPr>
            </w:pPr>
            <w:r>
              <w:rPr>
                <w:rFonts w:ascii="Arial" w:cs="Arial" w:eastAsia="Arial" w:hAnsi="Arial"/>
                <w:sz w:val="16"/>
                <w:szCs w:val="16"/>
                <w:color w:val="auto"/>
              </w:rPr>
              <w:t>Alberta</w:t>
            </w:r>
          </w:p>
        </w:tc>
        <w:tc>
          <w:tcPr>
            <w:tcW w:w="20" w:type="dxa"/>
            <w:vAlign w:val="bottom"/>
          </w:tcPr>
          <w:p>
            <w:pPr>
              <w:spacing w:after="0"/>
              <w:rPr>
                <w:sz w:val="17"/>
                <w:szCs w:val="17"/>
                <w:color w:val="auto"/>
              </w:rPr>
            </w:pPr>
          </w:p>
        </w:tc>
      </w:tr>
      <w:tr>
        <w:trPr>
          <w:trHeight w:val="229"/>
        </w:trPr>
        <w:tc>
          <w:tcPr>
            <w:tcW w:w="2920" w:type="dxa"/>
            <w:vAlign w:val="bottom"/>
            <w:shd w:val="clear" w:color="auto" w:fill="CCEEFF"/>
          </w:tcPr>
          <w:p>
            <w:pPr>
              <w:spacing w:after="0"/>
              <w:rPr>
                <w:sz w:val="20"/>
                <w:szCs w:val="20"/>
                <w:color w:val="auto"/>
              </w:rPr>
            </w:pPr>
            <w:r>
              <w:rPr>
                <w:rFonts w:ascii="Arial" w:cs="Arial" w:eastAsia="Arial" w:hAnsi="Arial"/>
                <w:sz w:val="16"/>
                <w:szCs w:val="16"/>
                <w:color w:val="auto"/>
              </w:rPr>
              <w:t>UFP Folkston, LLC</w:t>
            </w:r>
          </w:p>
        </w:tc>
        <w:tc>
          <w:tcPr>
            <w:tcW w:w="1200" w:type="dxa"/>
            <w:vAlign w:val="bottom"/>
            <w:shd w:val="clear" w:color="auto" w:fill="CCEEFF"/>
          </w:tcPr>
          <w:p>
            <w:pPr>
              <w:ind w:left="420"/>
              <w:spacing w:after="0"/>
              <w:rPr>
                <w:sz w:val="20"/>
                <w:szCs w:val="20"/>
                <w:color w:val="auto"/>
              </w:rPr>
            </w:pPr>
            <w:r>
              <w:rPr>
                <w:rFonts w:ascii="Arial" w:cs="Arial" w:eastAsia="Arial" w:hAnsi="Arial"/>
                <w:sz w:val="16"/>
                <w:szCs w:val="16"/>
                <w:color w:val="auto"/>
              </w:rPr>
              <w:t>Michigan</w:t>
            </w:r>
          </w:p>
        </w:tc>
        <w:tc>
          <w:tcPr>
            <w:tcW w:w="32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Upshur Forest Products, LLC</w:t>
            </w:r>
          </w:p>
        </w:tc>
        <w:tc>
          <w:tcPr>
            <w:tcW w:w="1540" w:type="dxa"/>
            <w:vAlign w:val="bottom"/>
            <w:shd w:val="clear" w:color="auto" w:fill="CCEEFF"/>
          </w:tcPr>
          <w:p>
            <w:pPr>
              <w:ind w:left="600"/>
              <w:spacing w:after="0"/>
              <w:rPr>
                <w:sz w:val="20"/>
                <w:szCs w:val="20"/>
                <w:color w:val="auto"/>
              </w:rPr>
            </w:pPr>
            <w:r>
              <w:rPr>
                <w:rFonts w:ascii="Arial" w:cs="Arial" w:eastAsia="Arial" w:hAnsi="Arial"/>
                <w:sz w:val="16"/>
                <w:szCs w:val="16"/>
                <w:color w:val="auto"/>
              </w:rPr>
              <w:t>Michigan</w:t>
            </w:r>
          </w:p>
        </w:tc>
        <w:tc>
          <w:tcPr>
            <w:tcW w:w="20" w:type="dxa"/>
            <w:vAlign w:val="bottom"/>
            <w:shd w:val="clear" w:color="auto" w:fill="CCEEFF"/>
          </w:tcPr>
          <w:p>
            <w:pPr>
              <w:spacing w:after="0"/>
              <w:rPr>
                <w:sz w:val="19"/>
                <w:szCs w:val="19"/>
                <w:color w:val="auto"/>
              </w:rPr>
            </w:pPr>
          </w:p>
        </w:tc>
      </w:tr>
      <w:tr>
        <w:trPr>
          <w:trHeight w:val="227"/>
        </w:trPr>
        <w:tc>
          <w:tcPr>
            <w:tcW w:w="2920" w:type="dxa"/>
            <w:vAlign w:val="bottom"/>
          </w:tcPr>
          <w:p>
            <w:pPr>
              <w:spacing w:after="0"/>
              <w:rPr>
                <w:sz w:val="20"/>
                <w:szCs w:val="20"/>
                <w:color w:val="auto"/>
              </w:rPr>
            </w:pPr>
            <w:r>
              <w:rPr>
                <w:rFonts w:ascii="Arial" w:cs="Arial" w:eastAsia="Arial" w:hAnsi="Arial"/>
                <w:sz w:val="16"/>
                <w:szCs w:val="16"/>
                <w:color w:val="auto"/>
              </w:rPr>
              <w:t>UFP Franklinton, LLC</w:t>
            </w:r>
          </w:p>
        </w:tc>
        <w:tc>
          <w:tcPr>
            <w:tcW w:w="1200" w:type="dxa"/>
            <w:vAlign w:val="bottom"/>
          </w:tcPr>
          <w:p>
            <w:pPr>
              <w:ind w:left="420"/>
              <w:spacing w:after="0"/>
              <w:rPr>
                <w:sz w:val="20"/>
                <w:szCs w:val="20"/>
                <w:color w:val="auto"/>
              </w:rPr>
            </w:pPr>
            <w:r>
              <w:rPr>
                <w:rFonts w:ascii="Arial" w:cs="Arial" w:eastAsia="Arial" w:hAnsi="Arial"/>
                <w:sz w:val="16"/>
                <w:szCs w:val="16"/>
                <w:color w:val="auto"/>
              </w:rPr>
              <w:t>Michigan</w:t>
            </w:r>
          </w:p>
        </w:tc>
        <w:tc>
          <w:tcPr>
            <w:tcW w:w="3260" w:type="dxa"/>
            <w:vAlign w:val="bottom"/>
          </w:tcPr>
          <w:p>
            <w:pPr>
              <w:ind w:left="180"/>
              <w:spacing w:after="0"/>
              <w:rPr>
                <w:sz w:val="20"/>
                <w:szCs w:val="20"/>
                <w:color w:val="auto"/>
              </w:rPr>
            </w:pPr>
            <w:r>
              <w:rPr>
                <w:rFonts w:ascii="Arial" w:cs="Arial" w:eastAsia="Arial" w:hAnsi="Arial"/>
                <w:sz w:val="16"/>
                <w:szCs w:val="16"/>
                <w:color w:val="auto"/>
              </w:rPr>
              <w:t>Yard &amp; Home, LLC</w:t>
            </w:r>
          </w:p>
        </w:tc>
        <w:tc>
          <w:tcPr>
            <w:tcW w:w="1540" w:type="dxa"/>
            <w:vAlign w:val="bottom"/>
          </w:tcPr>
          <w:p>
            <w:pPr>
              <w:ind w:left="600"/>
              <w:spacing w:after="0"/>
              <w:rPr>
                <w:sz w:val="20"/>
                <w:szCs w:val="20"/>
                <w:color w:val="auto"/>
              </w:rPr>
            </w:pPr>
            <w:r>
              <w:rPr>
                <w:rFonts w:ascii="Arial" w:cs="Arial" w:eastAsia="Arial" w:hAnsi="Arial"/>
                <w:sz w:val="16"/>
                <w:szCs w:val="16"/>
                <w:color w:val="auto"/>
              </w:rPr>
              <w:t>Michigan</w:t>
            </w:r>
          </w:p>
        </w:tc>
        <w:tc>
          <w:tcPr>
            <w:tcW w:w="20" w:type="dxa"/>
            <w:vAlign w:val="bottom"/>
          </w:tcPr>
          <w:p>
            <w:pPr>
              <w:spacing w:after="0"/>
              <w:rPr>
                <w:sz w:val="19"/>
                <w:szCs w:val="19"/>
                <w:color w:val="auto"/>
              </w:rPr>
            </w:pPr>
          </w:p>
        </w:tc>
      </w:tr>
      <w:tr>
        <w:trPr>
          <w:trHeight w:val="233"/>
        </w:trPr>
        <w:tc>
          <w:tcPr>
            <w:tcW w:w="2920" w:type="dxa"/>
            <w:vAlign w:val="bottom"/>
            <w:shd w:val="clear" w:color="auto" w:fill="CCEEFF"/>
          </w:tcPr>
          <w:p>
            <w:pPr>
              <w:spacing w:after="0"/>
              <w:rPr>
                <w:sz w:val="20"/>
                <w:szCs w:val="20"/>
                <w:color w:val="auto"/>
              </w:rPr>
            </w:pPr>
            <w:r>
              <w:rPr>
                <w:rFonts w:ascii="Arial" w:cs="Arial" w:eastAsia="Arial" w:hAnsi="Arial"/>
                <w:sz w:val="16"/>
                <w:szCs w:val="16"/>
                <w:color w:val="auto"/>
              </w:rPr>
              <w:t>UFP Gainesville, LLC</w:t>
            </w:r>
          </w:p>
        </w:tc>
        <w:tc>
          <w:tcPr>
            <w:tcW w:w="1200" w:type="dxa"/>
            <w:vAlign w:val="bottom"/>
            <w:shd w:val="clear" w:color="auto" w:fill="CCEEFF"/>
          </w:tcPr>
          <w:p>
            <w:pPr>
              <w:ind w:left="420"/>
              <w:spacing w:after="0"/>
              <w:rPr>
                <w:sz w:val="20"/>
                <w:szCs w:val="20"/>
                <w:color w:val="auto"/>
              </w:rPr>
            </w:pPr>
            <w:r>
              <w:rPr>
                <w:rFonts w:ascii="Arial" w:cs="Arial" w:eastAsia="Arial" w:hAnsi="Arial"/>
                <w:sz w:val="16"/>
                <w:szCs w:val="16"/>
                <w:color w:val="auto"/>
              </w:rPr>
              <w:t>Michigan</w:t>
            </w:r>
          </w:p>
        </w:tc>
        <w:tc>
          <w:tcPr>
            <w:tcW w:w="326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r>
      <w:tr>
        <w:trPr>
          <w:trHeight w:val="777"/>
        </w:trPr>
        <w:tc>
          <w:tcPr>
            <w:tcW w:w="29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9019"/>
          </w:cols>
          <w:pgMar w:left="1440" w:top="140" w:right="1440" w:bottom="1440" w:gutter="0" w:footer="0" w:header="0"/>
        </w:sectPr>
      </w:pPr>
    </w:p>
    <w:bookmarkStart w:id="131" w:name="page132"/>
    <w:bookmarkEnd w:id="131"/>
    <w:p>
      <w:pPr>
        <w:jc w:val="right"/>
        <w:ind w:right="59"/>
        <w:spacing w:after="0"/>
        <w:rPr>
          <w:sz w:val="20"/>
          <w:szCs w:val="20"/>
          <w:color w:val="auto"/>
        </w:rPr>
      </w:pPr>
      <w:r>
        <w:rPr>
          <w:rFonts w:ascii="Arial" w:cs="Arial" w:eastAsia="Arial" w:hAnsi="Arial"/>
          <w:sz w:val="18"/>
          <w:szCs w:val="18"/>
          <w:b w:val="1"/>
          <w:bCs w:val="1"/>
          <w:color w:val="auto"/>
        </w:rPr>
        <w:t>Exhibit 23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left="60" w:right="119"/>
        <w:spacing w:after="0" w:line="257" w:lineRule="auto"/>
        <w:rPr>
          <w:sz w:val="20"/>
          <w:szCs w:val="20"/>
          <w:color w:val="auto"/>
        </w:rPr>
      </w:pPr>
      <w:r>
        <w:rPr>
          <w:rFonts w:ascii="Arial" w:cs="Arial" w:eastAsia="Arial" w:hAnsi="Arial"/>
          <w:sz w:val="18"/>
          <w:szCs w:val="18"/>
          <w:color w:val="auto"/>
        </w:rPr>
        <w:t>We consent to the incorporation by reference in Registration Statement Nos. 33-81128, 333-60630, 333-150345, 333-156596, and 33-84632 on Form S-8 of our reports dated March 3, 2021, relating to the consolidated financial statements of UFP Industries Inc, (formerly Universal Forest Products, Inc.) and subsidiaries (the “Company”), and the effectiveness of the Company’s internal control over financial reporting, appearing in this Annual Report on Form 10-K of the Company for the year ended December 26, 2020.</w:t>
      </w:r>
    </w:p>
    <w:p>
      <w:pPr>
        <w:spacing w:after="0" w:line="200" w:lineRule="exact"/>
        <w:rPr>
          <w:sz w:val="20"/>
          <w:szCs w:val="20"/>
          <w:color w:val="auto"/>
        </w:rPr>
      </w:pPr>
    </w:p>
    <w:p>
      <w:pPr>
        <w:spacing w:after="0" w:line="204"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Grand Rapids, Michigan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March 3,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657860</wp:posOffset>
            </wp:positionV>
            <wp:extent cx="5657850" cy="260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32" w:name="page133"/>
    <w:bookmarkEnd w:id="132"/>
    <w:p>
      <w:pPr>
        <w:jc w:val="right"/>
        <w:ind w:right="59"/>
        <w:spacing w:after="0"/>
        <w:rPr>
          <w:sz w:val="20"/>
          <w:szCs w:val="20"/>
          <w:color w:val="auto"/>
        </w:rPr>
      </w:pPr>
      <w:r>
        <w:rPr>
          <w:rFonts w:ascii="Arial" w:cs="Arial" w:eastAsia="Arial" w:hAnsi="Arial"/>
          <w:sz w:val="18"/>
          <w:szCs w:val="18"/>
          <w:b w:val="1"/>
          <w:bCs w:val="1"/>
          <w:color w:val="auto"/>
        </w:rPr>
        <w:t>Exhibit 31(a)</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UFP Industries, Inc.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Matthew J. Missad, certify that:</w:t>
      </w:r>
    </w:p>
    <w:p>
      <w:pPr>
        <w:spacing w:after="0" w:line="171" w:lineRule="exact"/>
        <w:rPr>
          <w:sz w:val="20"/>
          <w:szCs w:val="20"/>
          <w:color w:val="auto"/>
        </w:rPr>
      </w:pPr>
    </w:p>
    <w:p>
      <w:pPr>
        <w:ind w:left="680" w:hanging="630"/>
        <w:spacing w:after="0"/>
        <w:tabs>
          <w:tab w:leader="none" w:pos="6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have reviewed this report on Form 10-K of UFP Industries, Inc.;</w:t>
      </w:r>
    </w:p>
    <w:p>
      <w:pPr>
        <w:spacing w:after="0" w:line="171" w:lineRule="exact"/>
        <w:rPr>
          <w:rFonts w:ascii="Arial" w:cs="Arial" w:eastAsia="Arial" w:hAnsi="Arial"/>
          <w:sz w:val="18"/>
          <w:szCs w:val="18"/>
          <w:color w:val="auto"/>
        </w:rPr>
      </w:pPr>
    </w:p>
    <w:p>
      <w:pPr>
        <w:ind w:left="700" w:right="299" w:hanging="650"/>
        <w:spacing w:after="0" w:line="263" w:lineRule="auto"/>
        <w:tabs>
          <w:tab w:leader="none" w:pos="682"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700" w:right="179" w:hanging="650"/>
        <w:spacing w:after="0" w:line="263" w:lineRule="auto"/>
        <w:tabs>
          <w:tab w:leader="none" w:pos="682"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ind w:left="700" w:right="239" w:hanging="650"/>
        <w:spacing w:after="0" w:line="311" w:lineRule="auto"/>
        <w:tabs>
          <w:tab w:leader="none" w:pos="679"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4" w:lineRule="exact"/>
        <w:rPr>
          <w:rFonts w:ascii="Arial" w:cs="Arial" w:eastAsia="Arial" w:hAnsi="Arial"/>
          <w:sz w:val="16"/>
          <w:szCs w:val="16"/>
          <w:color w:val="auto"/>
        </w:rPr>
      </w:pPr>
    </w:p>
    <w:p>
      <w:pPr>
        <w:ind w:left="1340" w:right="79" w:hanging="642"/>
        <w:spacing w:after="0" w:line="259" w:lineRule="auto"/>
        <w:tabs>
          <w:tab w:leader="none" w:pos="1312"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2" w:lineRule="exact"/>
        <w:rPr>
          <w:rFonts w:ascii="Arial" w:cs="Arial" w:eastAsia="Arial" w:hAnsi="Arial"/>
          <w:sz w:val="18"/>
          <w:szCs w:val="18"/>
          <w:color w:val="auto"/>
        </w:rPr>
      </w:pPr>
    </w:p>
    <w:p>
      <w:pPr>
        <w:ind w:left="1340" w:right="199" w:hanging="642"/>
        <w:spacing w:after="0" w:line="259" w:lineRule="auto"/>
        <w:tabs>
          <w:tab w:leader="none" w:pos="1322"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designed under our supervision, to provide reasonable assurance regarding the reliability of financial reporting and the preparation of financial statements for external purposes in accordance with generally accepted accounting principles;</w:t>
      </w:r>
    </w:p>
    <w:p>
      <w:pPr>
        <w:spacing w:after="0" w:line="132" w:lineRule="exact"/>
        <w:rPr>
          <w:rFonts w:ascii="Arial" w:cs="Arial" w:eastAsia="Arial" w:hAnsi="Arial"/>
          <w:sz w:val="18"/>
          <w:szCs w:val="18"/>
          <w:color w:val="auto"/>
        </w:rPr>
      </w:pPr>
    </w:p>
    <w:p>
      <w:pPr>
        <w:ind w:left="1340" w:right="179" w:hanging="642"/>
        <w:spacing w:after="0" w:line="263" w:lineRule="auto"/>
        <w:tabs>
          <w:tab w:leader="none" w:pos="1312" w:val="left"/>
        </w:tabs>
        <w:numPr>
          <w:ilvl w:val="1"/>
          <w:numId w:val="5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8"/>
          <w:szCs w:val="18"/>
          <w:color w:val="auto"/>
        </w:rPr>
      </w:pPr>
    </w:p>
    <w:p>
      <w:pPr>
        <w:ind w:left="1340" w:right="139" w:hanging="642"/>
        <w:spacing w:after="0" w:line="259" w:lineRule="auto"/>
        <w:tabs>
          <w:tab w:leader="none" w:pos="1322" w:val="left"/>
        </w:tabs>
        <w:numPr>
          <w:ilvl w:val="1"/>
          <w:numId w:val="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2" w:lineRule="exact"/>
        <w:rPr>
          <w:rFonts w:ascii="Arial" w:cs="Arial" w:eastAsia="Arial" w:hAnsi="Arial"/>
          <w:sz w:val="18"/>
          <w:szCs w:val="18"/>
          <w:color w:val="auto"/>
        </w:rPr>
      </w:pPr>
    </w:p>
    <w:p>
      <w:pPr>
        <w:jc w:val="both"/>
        <w:ind w:left="700" w:right="559" w:hanging="650"/>
        <w:spacing w:after="0" w:line="263" w:lineRule="auto"/>
        <w:tabs>
          <w:tab w:leader="none" w:pos="679"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29" w:lineRule="exact"/>
        <w:rPr>
          <w:rFonts w:ascii="Arial" w:cs="Arial" w:eastAsia="Arial" w:hAnsi="Arial"/>
          <w:sz w:val="18"/>
          <w:szCs w:val="18"/>
          <w:color w:val="auto"/>
        </w:rPr>
      </w:pPr>
    </w:p>
    <w:p>
      <w:pPr>
        <w:ind w:left="1340" w:right="359" w:hanging="642"/>
        <w:spacing w:after="0" w:line="263" w:lineRule="auto"/>
        <w:tabs>
          <w:tab w:leader="none" w:pos="1302" w:val="left"/>
        </w:tabs>
        <w:numPr>
          <w:ilvl w:val="1"/>
          <w:numId w:val="5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left="1340" w:right="119" w:hanging="642"/>
        <w:spacing w:after="0" w:line="277" w:lineRule="auto"/>
        <w:tabs>
          <w:tab w:leader="none" w:pos="1312"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980" w:type="dxa"/>
            <w:vAlign w:val="bottom"/>
            <w:gridSpan w:val="2"/>
          </w:tcPr>
          <w:p>
            <w:pPr>
              <w:spacing w:after="0"/>
              <w:rPr>
                <w:sz w:val="20"/>
                <w:szCs w:val="20"/>
                <w:color w:val="auto"/>
              </w:rPr>
            </w:pPr>
            <w:r>
              <w:rPr>
                <w:rFonts w:ascii="Arial" w:cs="Arial" w:eastAsia="Arial" w:hAnsi="Arial"/>
                <w:sz w:val="18"/>
                <w:szCs w:val="18"/>
                <w:color w:val="auto"/>
              </w:rPr>
              <w:t>Date:</w:t>
            </w:r>
          </w:p>
        </w:tc>
        <w:tc>
          <w:tcPr>
            <w:tcW w:w="4420" w:type="dxa"/>
            <w:vAlign w:val="bottom"/>
            <w:gridSpan w:val="2"/>
          </w:tcPr>
          <w:p>
            <w:pPr>
              <w:spacing w:after="0"/>
              <w:rPr>
                <w:sz w:val="20"/>
                <w:szCs w:val="20"/>
                <w:color w:val="auto"/>
              </w:rPr>
            </w:pPr>
            <w:r>
              <w:rPr>
                <w:rFonts w:ascii="Arial" w:cs="Arial" w:eastAsia="Arial" w:hAnsi="Arial"/>
                <w:sz w:val="18"/>
                <w:szCs w:val="18"/>
                <w:color w:val="auto"/>
              </w:rPr>
              <w:t>March 3, 2021</w:t>
            </w:r>
          </w:p>
        </w:tc>
        <w:tc>
          <w:tcPr>
            <w:tcW w:w="3540" w:type="dxa"/>
            <w:vAlign w:val="bottom"/>
            <w:gridSpan w:val="2"/>
          </w:tcPr>
          <w:p>
            <w:pPr>
              <w:spacing w:after="0"/>
              <w:rPr>
                <w:sz w:val="20"/>
                <w:szCs w:val="20"/>
                <w:color w:val="auto"/>
              </w:rPr>
            </w:pPr>
            <w:r>
              <w:rPr>
                <w:rFonts w:ascii="Arial" w:cs="Arial" w:eastAsia="Arial" w:hAnsi="Arial"/>
                <w:sz w:val="18"/>
                <w:szCs w:val="18"/>
                <w:color w:val="auto"/>
              </w:rPr>
              <w:t>/s/ Matthew J. Missad</w:t>
            </w:r>
          </w:p>
        </w:tc>
      </w:tr>
      <w:tr>
        <w:trPr>
          <w:trHeight w:val="195"/>
        </w:trPr>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700" w:type="dxa"/>
            <w:vAlign w:val="bottom"/>
            <w:tcBorders>
              <w:top w:val="single" w:sz="8" w:color="auto"/>
            </w:tcBorders>
          </w:tcPr>
          <w:p>
            <w:pPr>
              <w:spacing w:after="0"/>
              <w:rPr>
                <w:sz w:val="16"/>
                <w:szCs w:val="16"/>
                <w:color w:val="auto"/>
              </w:rPr>
            </w:pPr>
          </w:p>
        </w:tc>
        <w:tc>
          <w:tcPr>
            <w:tcW w:w="720" w:type="dxa"/>
            <w:vAlign w:val="bottom"/>
          </w:tcPr>
          <w:p>
            <w:pPr>
              <w:spacing w:after="0"/>
              <w:rPr>
                <w:sz w:val="16"/>
                <w:szCs w:val="16"/>
                <w:color w:val="auto"/>
              </w:rPr>
            </w:pPr>
          </w:p>
        </w:tc>
        <w:tc>
          <w:tcPr>
            <w:tcW w:w="35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Matthew J. Missad</w:t>
            </w:r>
          </w:p>
        </w:tc>
        <w:tc>
          <w:tcPr>
            <w:tcW w:w="4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Chief Executive Officer and</w:t>
            </w:r>
          </w:p>
        </w:tc>
      </w:tr>
      <w:tr>
        <w:trPr>
          <w:trHeight w:val="230"/>
        </w:trPr>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r>
      <w:tr>
        <w:trPr>
          <w:trHeight w:val="992"/>
        </w:trPr>
        <w:tc>
          <w:tcPr>
            <w:tcW w:w="2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37" w:right="1440" w:bottom="1440" w:gutter="0" w:footer="0" w:header="0"/>
        </w:sectPr>
      </w:pPr>
    </w:p>
    <w:bookmarkStart w:id="133" w:name="page134"/>
    <w:bookmarkEnd w:id="133"/>
    <w:p>
      <w:pPr>
        <w:jc w:val="right"/>
        <w:ind w:right="59"/>
        <w:spacing w:after="0"/>
        <w:rPr>
          <w:sz w:val="20"/>
          <w:szCs w:val="20"/>
          <w:color w:val="auto"/>
        </w:rPr>
      </w:pPr>
      <w:r>
        <w:rPr>
          <w:rFonts w:ascii="Arial" w:cs="Arial" w:eastAsia="Arial" w:hAnsi="Arial"/>
          <w:sz w:val="18"/>
          <w:szCs w:val="18"/>
          <w:b w:val="1"/>
          <w:bCs w:val="1"/>
          <w:color w:val="auto"/>
        </w:rPr>
        <w:t>Exhibit 31(b)</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UFP Industries, Inc.</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Michael R. Cole, certify that:</w:t>
      </w:r>
    </w:p>
    <w:p>
      <w:pPr>
        <w:spacing w:after="0" w:line="185" w:lineRule="exact"/>
        <w:rPr>
          <w:sz w:val="20"/>
          <w:szCs w:val="20"/>
          <w:color w:val="auto"/>
        </w:rPr>
      </w:pPr>
    </w:p>
    <w:p>
      <w:pPr>
        <w:ind w:left="680" w:hanging="630"/>
        <w:spacing w:after="0"/>
        <w:tabs>
          <w:tab w:leader="none" w:pos="6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have reviewed this report on Form 10-K of UFP Industries, Inc.;</w:t>
      </w:r>
    </w:p>
    <w:p>
      <w:pPr>
        <w:spacing w:after="0" w:line="198" w:lineRule="exact"/>
        <w:rPr>
          <w:rFonts w:ascii="Arial" w:cs="Arial" w:eastAsia="Arial" w:hAnsi="Arial"/>
          <w:sz w:val="18"/>
          <w:szCs w:val="18"/>
          <w:color w:val="auto"/>
        </w:rPr>
      </w:pPr>
    </w:p>
    <w:p>
      <w:pPr>
        <w:ind w:left="700" w:right="299" w:hanging="650"/>
        <w:spacing w:after="0" w:line="263" w:lineRule="auto"/>
        <w:tabs>
          <w:tab w:leader="none" w:pos="682"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700" w:right="179" w:hanging="650"/>
        <w:spacing w:after="0" w:line="263" w:lineRule="auto"/>
        <w:tabs>
          <w:tab w:leader="none" w:pos="682"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ind w:left="700" w:right="239" w:hanging="650"/>
        <w:spacing w:after="0" w:line="311" w:lineRule="auto"/>
        <w:tabs>
          <w:tab w:leader="none" w:pos="679"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Arial" w:cs="Arial" w:eastAsia="Arial" w:hAnsi="Arial"/>
          <w:sz w:val="16"/>
          <w:szCs w:val="16"/>
          <w:color w:val="auto"/>
        </w:rPr>
      </w:pPr>
    </w:p>
    <w:p>
      <w:pPr>
        <w:ind w:left="1340" w:right="79" w:hanging="642"/>
        <w:spacing w:after="0" w:line="259" w:lineRule="auto"/>
        <w:tabs>
          <w:tab w:leader="none" w:pos="1312"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6" w:lineRule="exact"/>
        <w:rPr>
          <w:rFonts w:ascii="Arial" w:cs="Arial" w:eastAsia="Arial" w:hAnsi="Arial"/>
          <w:sz w:val="18"/>
          <w:szCs w:val="18"/>
          <w:color w:val="auto"/>
        </w:rPr>
      </w:pPr>
    </w:p>
    <w:p>
      <w:pPr>
        <w:ind w:left="1340" w:right="199" w:hanging="642"/>
        <w:spacing w:after="0" w:line="259" w:lineRule="auto"/>
        <w:tabs>
          <w:tab w:leader="none" w:pos="1322"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designed under our supervision, to provide reasonable assurance regarding the reliability of financial reporting and the preparation of financial statements for external purposes in accordance with generally accepted accounting principles;</w:t>
      </w:r>
    </w:p>
    <w:p>
      <w:pPr>
        <w:spacing w:after="0" w:line="146" w:lineRule="exact"/>
        <w:rPr>
          <w:rFonts w:ascii="Arial" w:cs="Arial" w:eastAsia="Arial" w:hAnsi="Arial"/>
          <w:sz w:val="18"/>
          <w:szCs w:val="18"/>
          <w:color w:val="auto"/>
        </w:rPr>
      </w:pPr>
    </w:p>
    <w:p>
      <w:pPr>
        <w:ind w:left="1340" w:right="179" w:hanging="642"/>
        <w:spacing w:after="0" w:line="263" w:lineRule="auto"/>
        <w:tabs>
          <w:tab w:leader="none" w:pos="1312" w:val="left"/>
        </w:tabs>
        <w:numPr>
          <w:ilvl w:val="1"/>
          <w:numId w:val="5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6" w:lineRule="exact"/>
        <w:rPr>
          <w:rFonts w:ascii="Arial" w:cs="Arial" w:eastAsia="Arial" w:hAnsi="Arial"/>
          <w:sz w:val="18"/>
          <w:szCs w:val="18"/>
          <w:color w:val="auto"/>
        </w:rPr>
      </w:pPr>
    </w:p>
    <w:p>
      <w:pPr>
        <w:ind w:left="1340" w:right="139" w:hanging="642"/>
        <w:spacing w:after="0" w:line="259" w:lineRule="auto"/>
        <w:tabs>
          <w:tab w:leader="none" w:pos="1322" w:val="left"/>
        </w:tabs>
        <w:numPr>
          <w:ilvl w:val="1"/>
          <w:numId w:val="5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6" w:lineRule="exact"/>
        <w:rPr>
          <w:rFonts w:ascii="Arial" w:cs="Arial" w:eastAsia="Arial" w:hAnsi="Arial"/>
          <w:sz w:val="18"/>
          <w:szCs w:val="18"/>
          <w:color w:val="auto"/>
        </w:rPr>
      </w:pPr>
    </w:p>
    <w:p>
      <w:pPr>
        <w:jc w:val="both"/>
        <w:ind w:left="700" w:right="559" w:hanging="650"/>
        <w:spacing w:after="0" w:line="263" w:lineRule="auto"/>
        <w:tabs>
          <w:tab w:leader="none" w:pos="679"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3" w:lineRule="exact"/>
        <w:rPr>
          <w:rFonts w:ascii="Arial" w:cs="Arial" w:eastAsia="Arial" w:hAnsi="Arial"/>
          <w:sz w:val="18"/>
          <w:szCs w:val="18"/>
          <w:color w:val="auto"/>
        </w:rPr>
      </w:pPr>
    </w:p>
    <w:p>
      <w:pPr>
        <w:ind w:left="1340" w:right="359" w:hanging="642"/>
        <w:spacing w:after="0" w:line="263" w:lineRule="auto"/>
        <w:tabs>
          <w:tab w:leader="none" w:pos="1302" w:val="left"/>
        </w:tabs>
        <w:numPr>
          <w:ilvl w:val="1"/>
          <w:numId w:val="5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6" w:lineRule="exact"/>
        <w:rPr>
          <w:rFonts w:ascii="Arial" w:cs="Arial" w:eastAsia="Arial" w:hAnsi="Arial"/>
          <w:sz w:val="18"/>
          <w:szCs w:val="18"/>
          <w:color w:val="auto"/>
        </w:rPr>
      </w:pPr>
    </w:p>
    <w:p>
      <w:pPr>
        <w:ind w:left="1340" w:right="119" w:hanging="642"/>
        <w:spacing w:after="0" w:line="277" w:lineRule="auto"/>
        <w:tabs>
          <w:tab w:leader="none" w:pos="1312"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980" w:type="dxa"/>
            <w:vAlign w:val="bottom"/>
            <w:gridSpan w:val="2"/>
          </w:tcPr>
          <w:p>
            <w:pPr>
              <w:spacing w:after="0"/>
              <w:rPr>
                <w:sz w:val="20"/>
                <w:szCs w:val="20"/>
                <w:color w:val="auto"/>
              </w:rPr>
            </w:pPr>
            <w:r>
              <w:rPr>
                <w:rFonts w:ascii="Arial" w:cs="Arial" w:eastAsia="Arial" w:hAnsi="Arial"/>
                <w:sz w:val="18"/>
                <w:szCs w:val="18"/>
                <w:color w:val="auto"/>
              </w:rPr>
              <w:t>Date:</w:t>
            </w:r>
          </w:p>
        </w:tc>
        <w:tc>
          <w:tcPr>
            <w:tcW w:w="4440" w:type="dxa"/>
            <w:vAlign w:val="bottom"/>
            <w:gridSpan w:val="2"/>
          </w:tcPr>
          <w:p>
            <w:pPr>
              <w:spacing w:after="0"/>
              <w:rPr>
                <w:sz w:val="20"/>
                <w:szCs w:val="20"/>
                <w:color w:val="auto"/>
              </w:rPr>
            </w:pPr>
            <w:r>
              <w:rPr>
                <w:rFonts w:ascii="Arial" w:cs="Arial" w:eastAsia="Arial" w:hAnsi="Arial"/>
                <w:sz w:val="18"/>
                <w:szCs w:val="18"/>
                <w:color w:val="auto"/>
              </w:rPr>
              <w:t>March 3, 2021</w:t>
            </w:r>
          </w:p>
        </w:tc>
        <w:tc>
          <w:tcPr>
            <w:tcW w:w="3520" w:type="dxa"/>
            <w:vAlign w:val="bottom"/>
            <w:gridSpan w:val="2"/>
          </w:tcPr>
          <w:p>
            <w:pPr>
              <w:spacing w:after="0"/>
              <w:rPr>
                <w:sz w:val="20"/>
                <w:szCs w:val="20"/>
                <w:color w:val="auto"/>
              </w:rPr>
            </w:pPr>
            <w:r>
              <w:rPr>
                <w:rFonts w:ascii="Arial" w:cs="Arial" w:eastAsia="Arial" w:hAnsi="Arial"/>
                <w:sz w:val="18"/>
                <w:szCs w:val="18"/>
                <w:color w:val="auto"/>
              </w:rPr>
              <w:t>/s/ Michael R. Cole</w:t>
            </w:r>
          </w:p>
        </w:tc>
      </w:tr>
      <w:tr>
        <w:trPr>
          <w:trHeight w:val="195"/>
        </w:trPr>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60" w:type="dxa"/>
            <w:vAlign w:val="bottom"/>
            <w:tcBorders>
              <w:top w:val="single" w:sz="8" w:color="auto"/>
            </w:tcBorders>
          </w:tcPr>
          <w:p>
            <w:pPr>
              <w:spacing w:after="0"/>
              <w:rPr>
                <w:sz w:val="16"/>
                <w:szCs w:val="16"/>
                <w:color w:val="auto"/>
              </w:rPr>
            </w:pPr>
          </w:p>
        </w:tc>
        <w:tc>
          <w:tcPr>
            <w:tcW w:w="980" w:type="dxa"/>
            <w:vAlign w:val="bottom"/>
          </w:tcPr>
          <w:p>
            <w:pPr>
              <w:spacing w:after="0"/>
              <w:rPr>
                <w:sz w:val="16"/>
                <w:szCs w:val="16"/>
                <w:color w:val="auto"/>
              </w:rPr>
            </w:pPr>
          </w:p>
        </w:tc>
        <w:tc>
          <w:tcPr>
            <w:tcW w:w="34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Michael R. Cole</w:t>
            </w:r>
          </w:p>
        </w:tc>
        <w:tc>
          <w:tcPr>
            <w:tcW w:w="4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Principal Financial Officer and</w:t>
            </w:r>
          </w:p>
        </w:tc>
      </w:tr>
      <w:tr>
        <w:trPr>
          <w:trHeight w:val="230"/>
        </w:trPr>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Principal Accounting Officer</w:t>
            </w:r>
          </w:p>
        </w:tc>
      </w:tr>
      <w:tr>
        <w:trPr>
          <w:trHeight w:val="1020"/>
        </w:trPr>
        <w:tc>
          <w:tcPr>
            <w:tcW w:w="2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134" w:name="page135"/>
    <w:bookmarkEnd w:id="134"/>
    <w:p>
      <w:pPr>
        <w:jc w:val="right"/>
        <w:ind w:right="59"/>
        <w:spacing w:after="0"/>
        <w:rPr>
          <w:sz w:val="20"/>
          <w:szCs w:val="20"/>
          <w:color w:val="auto"/>
        </w:rPr>
      </w:pPr>
      <w:r>
        <w:rPr>
          <w:rFonts w:ascii="Arial" w:cs="Arial" w:eastAsia="Arial" w:hAnsi="Arial"/>
          <w:sz w:val="18"/>
          <w:szCs w:val="18"/>
          <w:b w:val="1"/>
          <w:bCs w:val="1"/>
          <w:color w:val="auto"/>
        </w:rPr>
        <w:t>Exhibit 32(a)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UFP INDUSTRIES, INC.</w:t>
      </w:r>
    </w:p>
    <w:p>
      <w:pPr>
        <w:spacing w:after="0" w:line="21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Pursuant to Section 906 of the Sarbanes-Oxley Act of 2002 (18 U.S.C. 1350):</w:t>
      </w:r>
    </w:p>
    <w:p>
      <w:pPr>
        <w:spacing w:after="0" w:line="225" w:lineRule="exact"/>
        <w:rPr>
          <w:sz w:val="20"/>
          <w:szCs w:val="20"/>
          <w:color w:val="auto"/>
        </w:rPr>
      </w:pPr>
    </w:p>
    <w:p>
      <w:pPr>
        <w:ind w:left="60" w:right="79" w:firstLine="648"/>
        <w:spacing w:after="0" w:line="277" w:lineRule="auto"/>
        <w:rPr>
          <w:sz w:val="20"/>
          <w:szCs w:val="20"/>
          <w:color w:val="auto"/>
        </w:rPr>
      </w:pPr>
      <w:r>
        <w:rPr>
          <w:rFonts w:ascii="Arial" w:cs="Arial" w:eastAsia="Arial" w:hAnsi="Arial"/>
          <w:sz w:val="18"/>
          <w:szCs w:val="18"/>
          <w:color w:val="auto"/>
        </w:rPr>
        <w:t>I, Matthew J. Missad, Chief Executive Officer of UFP Industries, Inc., certify, to the best of my knowledge and belief, pursuant to Section 906 of the Sarbanes-Oxley Act of 2002 (18 U.S.C. 1350) that:</w:t>
      </w:r>
    </w:p>
    <w:p>
      <w:pPr>
        <w:spacing w:after="0" w:line="170" w:lineRule="exact"/>
        <w:rPr>
          <w:sz w:val="20"/>
          <w:szCs w:val="20"/>
          <w:color w:val="auto"/>
        </w:rPr>
      </w:pPr>
    </w:p>
    <w:p>
      <w:pPr>
        <w:ind w:left="60" w:right="79" w:firstLine="638"/>
        <w:spacing w:after="0" w:line="308" w:lineRule="auto"/>
        <w:tabs>
          <w:tab w:leader="none" w:pos="1329"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report on Form 10-K for the year ended December 26, 2020, which this statement accompanies, fully complies with requirements of Section 13(a) or 15(d) of the Securities Exchange Act of 1934; and</w:t>
      </w:r>
    </w:p>
    <w:p>
      <w:pPr>
        <w:spacing w:after="0" w:line="146" w:lineRule="exact"/>
        <w:rPr>
          <w:rFonts w:ascii="Arial" w:cs="Arial" w:eastAsia="Arial" w:hAnsi="Arial"/>
          <w:sz w:val="17"/>
          <w:szCs w:val="17"/>
          <w:color w:val="auto"/>
        </w:rPr>
      </w:pPr>
    </w:p>
    <w:p>
      <w:pPr>
        <w:ind w:left="60" w:right="59" w:firstLine="638"/>
        <w:spacing w:after="0" w:line="342" w:lineRule="auto"/>
        <w:tabs>
          <w:tab w:leader="none" w:pos="1426"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information contained in this report on Form 10-K for the period ended December 26, 2020 fairly presents, in all material respects, the financial condition and results of operations of Universal Forest Products, Inc.</w:t>
      </w:r>
    </w:p>
    <w:p>
      <w:pPr>
        <w:spacing w:after="0" w:line="137"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4840" w:type="dxa"/>
            <w:vAlign w:val="bottom"/>
            <w:gridSpan w:val="2"/>
          </w:tcPr>
          <w:p>
            <w:pPr>
              <w:ind w:left="780"/>
              <w:spacing w:after="0"/>
              <w:rPr>
                <w:sz w:val="20"/>
                <w:szCs w:val="20"/>
                <w:color w:val="auto"/>
              </w:rPr>
            </w:pPr>
            <w:r>
              <w:rPr>
                <w:rFonts w:ascii="Arial" w:cs="Arial" w:eastAsia="Arial" w:hAnsi="Arial"/>
                <w:sz w:val="18"/>
                <w:szCs w:val="18"/>
                <w:color w:val="auto"/>
              </w:rPr>
              <w:t>UFP INDUSTRIES, INC.</w:t>
            </w:r>
          </w:p>
        </w:tc>
      </w:tr>
      <w:tr>
        <w:trPr>
          <w:trHeight w:val="432"/>
        </w:trPr>
        <w:tc>
          <w:tcPr>
            <w:tcW w:w="4060" w:type="dxa"/>
            <w:vAlign w:val="bottom"/>
            <w:gridSpan w:val="2"/>
          </w:tcPr>
          <w:p>
            <w:pPr>
              <w:spacing w:after="0"/>
              <w:rPr>
                <w:sz w:val="20"/>
                <w:szCs w:val="20"/>
                <w:color w:val="auto"/>
              </w:rPr>
            </w:pPr>
            <w:r>
              <w:rPr>
                <w:rFonts w:ascii="Arial" w:cs="Arial" w:eastAsia="Arial" w:hAnsi="Arial"/>
                <w:sz w:val="18"/>
                <w:szCs w:val="18"/>
                <w:color w:val="auto"/>
              </w:rPr>
              <w:t>Date:  March 3, 2021</w:t>
            </w:r>
          </w:p>
        </w:tc>
        <w:tc>
          <w:tcPr>
            <w:tcW w:w="4840" w:type="dxa"/>
            <w:vAlign w:val="bottom"/>
            <w:gridSpan w:val="2"/>
          </w:tcPr>
          <w:p>
            <w:pPr>
              <w:ind w:left="780"/>
              <w:spacing w:after="0"/>
              <w:rPr>
                <w:sz w:val="20"/>
                <w:szCs w:val="20"/>
                <w:color w:val="auto"/>
              </w:rPr>
            </w:pPr>
            <w:r>
              <w:rPr>
                <w:rFonts w:ascii="Arial" w:cs="Arial" w:eastAsia="Arial" w:hAnsi="Arial"/>
                <w:sz w:val="18"/>
                <w:szCs w:val="18"/>
                <w:color w:val="auto"/>
              </w:rPr>
              <w:t>By: /s/ Matthew J. Missad</w:t>
            </w:r>
          </w:p>
        </w:tc>
      </w:tr>
      <w:tr>
        <w:trPr>
          <w:trHeight w:val="195"/>
        </w:trPr>
        <w:tc>
          <w:tcPr>
            <w:tcW w:w="580" w:type="dxa"/>
            <w:vAlign w:val="bottom"/>
          </w:tcPr>
          <w:p>
            <w:pPr>
              <w:spacing w:after="0"/>
              <w:rPr>
                <w:sz w:val="16"/>
                <w:szCs w:val="16"/>
                <w:color w:val="auto"/>
              </w:rPr>
            </w:pPr>
          </w:p>
        </w:tc>
        <w:tc>
          <w:tcPr>
            <w:tcW w:w="3480" w:type="dxa"/>
            <w:vAlign w:val="bottom"/>
            <w:tcBorders>
              <w:top w:val="single" w:sz="8" w:color="auto"/>
            </w:tcBorders>
          </w:tcPr>
          <w:p>
            <w:pPr>
              <w:spacing w:after="0"/>
              <w:rPr>
                <w:sz w:val="16"/>
                <w:szCs w:val="16"/>
                <w:color w:val="auto"/>
              </w:rPr>
            </w:pPr>
          </w:p>
        </w:tc>
        <w:tc>
          <w:tcPr>
            <w:tcW w:w="1140" w:type="dxa"/>
            <w:vAlign w:val="bottom"/>
          </w:tcPr>
          <w:p>
            <w:pPr>
              <w:spacing w:after="0"/>
              <w:rPr>
                <w:sz w:val="16"/>
                <w:szCs w:val="16"/>
                <w:color w:val="auto"/>
              </w:rPr>
            </w:pPr>
          </w:p>
        </w:tc>
        <w:tc>
          <w:tcPr>
            <w:tcW w:w="3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Matthew J. Missad</w:t>
            </w:r>
          </w:p>
        </w:tc>
      </w:tr>
      <w:tr>
        <w:trPr>
          <w:trHeight w:val="216"/>
        </w:trPr>
        <w:tc>
          <w:tcPr>
            <w:tcW w:w="5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4840" w:type="dxa"/>
            <w:vAlign w:val="bottom"/>
            <w:gridSpan w:val="2"/>
          </w:tcPr>
          <w:p>
            <w:pPr>
              <w:ind w:left="780"/>
              <w:spacing w:after="0"/>
              <w:rPr>
                <w:sz w:val="20"/>
                <w:szCs w:val="20"/>
                <w:color w:val="auto"/>
              </w:rPr>
            </w:pPr>
            <w:r>
              <w:rPr>
                <w:rFonts w:ascii="Arial" w:cs="Arial" w:eastAsia="Arial" w:hAnsi="Arial"/>
                <w:sz w:val="18"/>
                <w:szCs w:val="18"/>
                <w:color w:val="auto"/>
              </w:rPr>
              <w:t>Its:  Chief Executive Officer and</w:t>
            </w:r>
          </w:p>
        </w:tc>
      </w:tr>
      <w:tr>
        <w:trPr>
          <w:trHeight w:val="230"/>
        </w:trPr>
        <w:tc>
          <w:tcPr>
            <w:tcW w:w="58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pacing w:after="0" w:line="202"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signed original of this written statement required by Section 906, or any other document authenticating, acknowledging, or otherwise adopting the signature that appears in typed form within the electronic version of this written statement required by Section 906, has been provided to UFP Industries, Inc. and will be retained by UFP Industries,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633095</wp:posOffset>
            </wp:positionV>
            <wp:extent cx="5657850" cy="260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35" w:name="page136"/>
    <w:bookmarkEnd w:id="135"/>
    <w:p>
      <w:pPr>
        <w:jc w:val="right"/>
        <w:ind w:right="59"/>
        <w:spacing w:after="0"/>
        <w:rPr>
          <w:sz w:val="20"/>
          <w:szCs w:val="20"/>
          <w:color w:val="auto"/>
        </w:rPr>
      </w:pPr>
      <w:r>
        <w:rPr>
          <w:rFonts w:ascii="Arial" w:cs="Arial" w:eastAsia="Arial" w:hAnsi="Arial"/>
          <w:sz w:val="18"/>
          <w:szCs w:val="18"/>
          <w:b w:val="1"/>
          <w:bCs w:val="1"/>
          <w:color w:val="auto"/>
        </w:rPr>
        <w:t>Exhibit 32(b)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UFP INDUSTRIES, INC.</w:t>
      </w:r>
    </w:p>
    <w:p>
      <w:pPr>
        <w:spacing w:after="0" w:line="21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Pursuant to Section 906 of the Sarbanes-Oxley Act of 2002 (18 U.S.C. 1350):</w:t>
      </w:r>
    </w:p>
    <w:p>
      <w:pPr>
        <w:spacing w:after="0" w:line="225" w:lineRule="exact"/>
        <w:rPr>
          <w:sz w:val="20"/>
          <w:szCs w:val="20"/>
          <w:color w:val="auto"/>
        </w:rPr>
      </w:pPr>
    </w:p>
    <w:p>
      <w:pPr>
        <w:ind w:left="60" w:right="79" w:firstLine="648"/>
        <w:spacing w:after="0" w:line="277" w:lineRule="auto"/>
        <w:rPr>
          <w:sz w:val="20"/>
          <w:szCs w:val="20"/>
          <w:color w:val="auto"/>
        </w:rPr>
      </w:pPr>
      <w:r>
        <w:rPr>
          <w:rFonts w:ascii="Arial" w:cs="Arial" w:eastAsia="Arial" w:hAnsi="Arial"/>
          <w:sz w:val="18"/>
          <w:szCs w:val="18"/>
          <w:color w:val="auto"/>
        </w:rPr>
        <w:t>I, Michael R. Cole, Chief Financial Officer of UFP Industries, Inc., certify, to the best of my knowledge and belief, pursuant to Section 906 of the Sarbanes-Oxley Act of 2002 (18 U.S.C. 1350) that:</w:t>
      </w:r>
    </w:p>
    <w:p>
      <w:pPr>
        <w:spacing w:after="0" w:line="170" w:lineRule="exact"/>
        <w:rPr>
          <w:sz w:val="20"/>
          <w:szCs w:val="20"/>
          <w:color w:val="auto"/>
        </w:rPr>
      </w:pPr>
    </w:p>
    <w:p>
      <w:pPr>
        <w:ind w:left="60" w:right="59" w:firstLine="638"/>
        <w:spacing w:after="0" w:line="308" w:lineRule="auto"/>
        <w:tabs>
          <w:tab w:leader="none" w:pos="1421"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report on Form 10-K for the period ended December 26, 2020, which this statement accompanies, fully complies with requirements of Section 13(a) or 15(d) of the Securities Exchange Act of 1934; and</w:t>
      </w:r>
    </w:p>
    <w:p>
      <w:pPr>
        <w:spacing w:after="0" w:line="146" w:lineRule="exact"/>
        <w:rPr>
          <w:rFonts w:ascii="Arial" w:cs="Arial" w:eastAsia="Arial" w:hAnsi="Arial"/>
          <w:sz w:val="17"/>
          <w:szCs w:val="17"/>
          <w:color w:val="auto"/>
        </w:rPr>
      </w:pPr>
    </w:p>
    <w:p>
      <w:pPr>
        <w:ind w:left="60" w:right="59" w:firstLine="638"/>
        <w:spacing w:after="0" w:line="308" w:lineRule="auto"/>
        <w:tabs>
          <w:tab w:leader="none" w:pos="1426"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information contained in this report on Form 10-K for the period ended December 26, 2020 fairly presents, in all material respects, the financial condition and results of operations of UFP Industries, Inc.</w:t>
      </w:r>
    </w:p>
    <w:p>
      <w:pPr>
        <w:spacing w:after="0" w:line="160"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4860" w:type="dxa"/>
            <w:vAlign w:val="bottom"/>
            <w:gridSpan w:val="2"/>
          </w:tcPr>
          <w:p>
            <w:pPr>
              <w:ind w:left="780"/>
              <w:spacing w:after="0"/>
              <w:rPr>
                <w:sz w:val="20"/>
                <w:szCs w:val="20"/>
                <w:color w:val="auto"/>
              </w:rPr>
            </w:pPr>
            <w:r>
              <w:rPr>
                <w:rFonts w:ascii="Arial" w:cs="Arial" w:eastAsia="Arial" w:hAnsi="Arial"/>
                <w:sz w:val="18"/>
                <w:szCs w:val="18"/>
                <w:color w:val="auto"/>
              </w:rPr>
              <w:t>UFP INDUSTRIES, INC.</w:t>
            </w:r>
          </w:p>
        </w:tc>
      </w:tr>
      <w:tr>
        <w:trPr>
          <w:trHeight w:val="432"/>
        </w:trPr>
        <w:tc>
          <w:tcPr>
            <w:tcW w:w="4040" w:type="dxa"/>
            <w:vAlign w:val="bottom"/>
            <w:gridSpan w:val="2"/>
          </w:tcPr>
          <w:p>
            <w:pPr>
              <w:spacing w:after="0"/>
              <w:rPr>
                <w:sz w:val="20"/>
                <w:szCs w:val="20"/>
                <w:color w:val="auto"/>
              </w:rPr>
            </w:pPr>
            <w:r>
              <w:rPr>
                <w:rFonts w:ascii="Arial" w:cs="Arial" w:eastAsia="Arial" w:hAnsi="Arial"/>
                <w:sz w:val="18"/>
                <w:szCs w:val="18"/>
                <w:color w:val="auto"/>
              </w:rPr>
              <w:t>Date: March 3, 2021</w:t>
            </w:r>
          </w:p>
        </w:tc>
        <w:tc>
          <w:tcPr>
            <w:tcW w:w="4860" w:type="dxa"/>
            <w:vAlign w:val="bottom"/>
            <w:gridSpan w:val="2"/>
          </w:tcPr>
          <w:p>
            <w:pPr>
              <w:ind w:left="780"/>
              <w:spacing w:after="0"/>
              <w:rPr>
                <w:sz w:val="20"/>
                <w:szCs w:val="20"/>
                <w:color w:val="auto"/>
              </w:rPr>
            </w:pPr>
            <w:r>
              <w:rPr>
                <w:rFonts w:ascii="Arial" w:cs="Arial" w:eastAsia="Arial" w:hAnsi="Arial"/>
                <w:sz w:val="18"/>
                <w:szCs w:val="18"/>
                <w:color w:val="auto"/>
              </w:rPr>
              <w:t>By: /s/ Michael R. Cole</w:t>
            </w:r>
          </w:p>
        </w:tc>
      </w:tr>
      <w:tr>
        <w:trPr>
          <w:trHeight w:val="195"/>
        </w:trPr>
        <w:tc>
          <w:tcPr>
            <w:tcW w:w="480" w:type="dxa"/>
            <w:vAlign w:val="bottom"/>
          </w:tcPr>
          <w:p>
            <w:pPr>
              <w:spacing w:after="0"/>
              <w:rPr>
                <w:sz w:val="16"/>
                <w:szCs w:val="16"/>
                <w:color w:val="auto"/>
              </w:rPr>
            </w:pPr>
          </w:p>
        </w:tc>
        <w:tc>
          <w:tcPr>
            <w:tcW w:w="3560" w:type="dxa"/>
            <w:vAlign w:val="bottom"/>
            <w:tcBorders>
              <w:top w:val="single" w:sz="8" w:color="auto"/>
            </w:tcBorders>
          </w:tcPr>
          <w:p>
            <w:pPr>
              <w:spacing w:after="0"/>
              <w:rPr>
                <w:sz w:val="16"/>
                <w:szCs w:val="16"/>
                <w:color w:val="auto"/>
              </w:rPr>
            </w:pPr>
          </w:p>
        </w:tc>
        <w:tc>
          <w:tcPr>
            <w:tcW w:w="1120" w:type="dxa"/>
            <w:vAlign w:val="bottom"/>
          </w:tcPr>
          <w:p>
            <w:pPr>
              <w:spacing w:after="0"/>
              <w:rPr>
                <w:sz w:val="16"/>
                <w:szCs w:val="16"/>
                <w:color w:val="auto"/>
              </w:rPr>
            </w:pPr>
          </w:p>
        </w:tc>
        <w:tc>
          <w:tcPr>
            <w:tcW w:w="37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Michael R. Cole</w:t>
            </w:r>
          </w:p>
        </w:tc>
      </w:tr>
      <w:tr>
        <w:trPr>
          <w:trHeight w:val="216"/>
        </w:trPr>
        <w:tc>
          <w:tcPr>
            <w:tcW w:w="48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4860" w:type="dxa"/>
            <w:vAlign w:val="bottom"/>
            <w:gridSpan w:val="2"/>
          </w:tcPr>
          <w:p>
            <w:pPr>
              <w:ind w:left="780"/>
              <w:spacing w:after="0"/>
              <w:rPr>
                <w:sz w:val="20"/>
                <w:szCs w:val="20"/>
                <w:color w:val="auto"/>
              </w:rPr>
            </w:pPr>
            <w:r>
              <w:rPr>
                <w:rFonts w:ascii="Arial" w:cs="Arial" w:eastAsia="Arial" w:hAnsi="Arial"/>
                <w:sz w:val="18"/>
                <w:szCs w:val="18"/>
                <w:color w:val="auto"/>
              </w:rPr>
              <w:t>Its: Chief Financial Officer,</w:t>
            </w:r>
          </w:p>
        </w:tc>
      </w:tr>
      <w:tr>
        <w:trPr>
          <w:trHeight w:val="216"/>
        </w:trPr>
        <w:tc>
          <w:tcPr>
            <w:tcW w:w="48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Principal Financial Officer and</w:t>
            </w:r>
          </w:p>
        </w:tc>
      </w:tr>
      <w:tr>
        <w:trPr>
          <w:trHeight w:val="230"/>
        </w:trPr>
        <w:tc>
          <w:tcPr>
            <w:tcW w:w="48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Principal Accounting Officer</w:t>
            </w:r>
          </w:p>
        </w:tc>
      </w:tr>
    </w:tbl>
    <w:p>
      <w:pPr>
        <w:spacing w:after="0" w:line="202"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signed original of this written statement required by Section 906, or any other document authenticating, acknowledging, or otherwise adopting the signature that appears in typed form within the electronic version of this written statement required by Section 906, has been provided to UFP Industries, Inc. and will be retained by UFP Industries,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633095</wp:posOffset>
            </wp:positionV>
            <wp:extent cx="5657850"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1)"/>
      <w:numFmt w:val="decimal"/>
      <w:start w:val="1"/>
    </w:lvl>
  </w:abstractNum>
  <w:abstractNum w:abstractNumId="3">
    <w:nsid w:val="1E7FF521"/>
    <w:multiLevelType w:val="hybridMultilevel"/>
    <w:lvl w:ilvl="0">
      <w:lvlJc w:val="left"/>
      <w:lvlText w:val="(%1)"/>
      <w:numFmt w:val="lowerLetter"/>
      <w:start w:val="1"/>
    </w:lvl>
  </w:abstractNum>
  <w:abstractNum w:abstractNumId="4">
    <w:nsid w:val="7C3DBD3D"/>
    <w:multiLevelType w:val="hybridMultilevel"/>
    <w:lvl w:ilvl="0">
      <w:lvlJc w:val="left"/>
      <w:lvlText w:val="(%1)"/>
      <w:numFmt w:val="lowerLetter"/>
      <w:start w:val="2"/>
    </w:lvl>
  </w:abstractNum>
  <w:abstractNum w:abstractNumId="5">
    <w:nsid w:val="737B8DDC"/>
    <w:multiLevelType w:val="hybridMultilevel"/>
    <w:lvl w:ilvl="0">
      <w:lvlJc w:val="left"/>
      <w:lvlText w:val="(%1)"/>
      <w:numFmt w:val="decimal"/>
      <w:start w:val="1"/>
    </w:lvl>
  </w:abstractNum>
  <w:abstractNum w:abstractNumId="6">
    <w:nsid w:val="6CEAF087"/>
    <w:multiLevelType w:val="hybridMultilevel"/>
    <w:lvl w:ilvl="0">
      <w:lvlJc w:val="left"/>
      <w:lvlText w:val="(%1)"/>
      <w:numFmt w:val="lowerLetter"/>
      <w:start w:val="1"/>
    </w:lvl>
    <w:lvl w:ilvl="1">
      <w:lvlJc w:val="left"/>
      <w:lvlText w:val="%2."/>
      <w:numFmt w:val="decimal"/>
      <w:start w:val="2"/>
    </w:lvl>
  </w:abstractNum>
  <w:abstractNum w:abstractNumId="7">
    <w:nsid w:val="22221A70"/>
    <w:multiLevelType w:val="hybridMultilevel"/>
    <w:lvl w:ilvl="0">
      <w:lvlJc w:val="left"/>
      <w:lvlText w:val="(%1)"/>
      <w:numFmt w:val="lowerLetter"/>
      <w:start w:val="2"/>
    </w:lvl>
  </w:abstractNum>
  <w:abstractNum w:abstractNumId="8">
    <w:nsid w:val="4516DDE9"/>
    <w:multiLevelType w:val="hybridMultilevel"/>
    <w:lvl w:ilvl="0">
      <w:lvlJc w:val="left"/>
      <w:lvlText w:val="3"/>
      <w:numFmt w:val="bullet"/>
      <w:start w:val="1"/>
    </w:lvl>
    <w:lvl w:ilvl="1">
      <w:lvlJc w:val="left"/>
      <w:lvlText w:val="(%2)"/>
      <w:numFmt w:val="lowerLetter"/>
      <w:start w:val="1"/>
    </w:lvl>
  </w:abstractNum>
  <w:abstractNum w:abstractNumId="9">
    <w:nsid w:val="3006C83E"/>
    <w:multiLevelType w:val="hybridMultilevel"/>
    <w:lvl w:ilvl="0">
      <w:lvlJc w:val="left"/>
      <w:lvlText w:val="4"/>
      <w:numFmt w:val="bullet"/>
      <w:start w:val="1"/>
    </w:lvl>
    <w:lvl w:ilvl="1">
      <w:lvlJc w:val="left"/>
      <w:lvlText w:val="(%2)"/>
      <w:numFmt w:val="lowerLetter"/>
      <w:start w:val="1"/>
    </w:lvl>
  </w:abstractNum>
  <w:abstractNum w:abstractNumId="10">
    <w:nsid w:val="614FD4A1"/>
    <w:multiLevelType w:val="hybridMultilevel"/>
    <w:lvl w:ilvl="0">
      <w:lvlJc w:val="left"/>
      <w:lvlText w:val="%1"/>
      <w:numFmt w:val="decimal"/>
      <w:start w:val="10"/>
    </w:lvl>
    <w:lvl w:ilvl="1">
      <w:lvlJc w:val="left"/>
      <w:lvlText w:val="(%2)"/>
      <w:numFmt w:val="lowerLetter"/>
      <w:start w:val="1"/>
    </w:lvl>
  </w:abstractNum>
  <w:abstractNum w:abstractNumId="11">
    <w:nsid w:val="419AC241"/>
    <w:multiLevelType w:val="hybridMultilevel"/>
    <w:lvl w:ilvl="0">
      <w:lvlJc w:val="left"/>
      <w:lvlText w:val="%1"/>
      <w:numFmt w:val="decimal"/>
      <w:start w:val="101"/>
    </w:lvl>
  </w:abstractNum>
  <w:abstractNum w:abstractNumId="12">
    <w:nsid w:val="5577F8E1"/>
    <w:multiLevelType w:val="hybridMultilevel"/>
    <w:lvl w:ilvl="0">
      <w:lvlJc w:val="left"/>
      <w:lvlText w:val="%1"/>
      <w:numFmt w:val="decimal"/>
      <w:start w:val="104"/>
    </w:lvl>
  </w:abstractNum>
  <w:abstractNum w:abstractNumId="13">
    <w:nsid w:val="440BADFC"/>
    <w:multiLevelType w:val="hybridMultilevel"/>
    <w:lvl w:ilvl="0">
      <w:lvlJc w:val="left"/>
      <w:lvlText w:val="*"/>
      <w:numFmt w:val="bullet"/>
      <w:start w:val="1"/>
    </w:lvl>
  </w:abstractNum>
  <w:abstractNum w:abstractNumId="14">
    <w:nsid w:val="5072367"/>
    <w:multiLevelType w:val="hybridMultilevel"/>
    <w:lvl w:ilvl="0">
      <w:lvlJc w:val="left"/>
      <w:lvlText w:val="·"/>
      <w:numFmt w:val="bullet"/>
      <w:start w:val="1"/>
    </w:lvl>
  </w:abstractNum>
  <w:abstractNum w:abstractNumId="15">
    <w:nsid w:val="3804823E"/>
    <w:multiLevelType w:val="hybridMultilevel"/>
    <w:lvl w:ilvl="0">
      <w:lvlJc w:val="left"/>
      <w:lvlText w:val="(%1)"/>
      <w:numFmt w:val="lowerLetter"/>
      <w:start w:val="1"/>
    </w:lvl>
  </w:abstractNum>
  <w:abstractNum w:abstractNumId="16">
    <w:nsid w:val="77465F01"/>
    <w:multiLevelType w:val="hybridMultilevel"/>
    <w:lvl w:ilvl="0">
      <w:lvlJc w:val="left"/>
      <w:lvlText w:val="(%1)"/>
      <w:numFmt w:val="lowerLetter"/>
      <w:start w:val="2"/>
    </w:lvl>
  </w:abstractNum>
  <w:abstractNum w:abstractNumId="17">
    <w:nsid w:val="7724C67E"/>
    <w:multiLevelType w:val="hybridMultilevel"/>
    <w:lvl w:ilvl="0">
      <w:lvlJc w:val="left"/>
      <w:lvlText w:val="(%1)"/>
      <w:numFmt w:val="lowerLetter"/>
      <w:start w:val="1"/>
    </w:lvl>
  </w:abstractNum>
  <w:abstractNum w:abstractNumId="18">
    <w:nsid w:val="5C482A97"/>
    <w:multiLevelType w:val="hybridMultilevel"/>
    <w:lvl w:ilvl="0">
      <w:lvlJc w:val="left"/>
      <w:lvlText w:val="(%1)"/>
      <w:numFmt w:val="decimal"/>
      <w:start w:val="1"/>
    </w:lvl>
  </w:abstractNum>
  <w:abstractNum w:abstractNumId="19">
    <w:nsid w:val="2463B9EA"/>
    <w:multiLevelType w:val="hybridMultilevel"/>
    <w:lvl w:ilvl="0">
      <w:lvlJc w:val="left"/>
      <w:lvlText w:val="●"/>
      <w:numFmt w:val="bullet"/>
      <w:start w:val="1"/>
    </w:lvl>
  </w:abstractNum>
  <w:abstractNum w:abstractNumId="20">
    <w:nsid w:val="5E884ADC"/>
    <w:multiLevelType w:val="hybridMultilevel"/>
    <w:lvl w:ilvl="0">
      <w:lvlJc w:val="left"/>
      <w:lvlText w:val="●"/>
      <w:numFmt w:val="bullet"/>
      <w:start w:val="1"/>
    </w:lvl>
  </w:abstractNum>
  <w:abstractNum w:abstractNumId="21">
    <w:nsid w:val="51EAD36B"/>
    <w:multiLevelType w:val="hybridMultilevel"/>
    <w:lvl w:ilvl="0">
      <w:lvlJc w:val="left"/>
      <w:lvlText w:val="●"/>
      <w:numFmt w:val="bullet"/>
      <w:start w:val="1"/>
    </w:lvl>
  </w:abstractNum>
  <w:abstractNum w:abstractNumId="22">
    <w:nsid w:val="2D517796"/>
    <w:multiLevelType w:val="hybridMultilevel"/>
    <w:lvl w:ilvl="0">
      <w:lvlJc w:val="left"/>
      <w:lvlText w:val="●"/>
      <w:numFmt w:val="bullet"/>
      <w:start w:val="1"/>
    </w:lvl>
  </w:abstractNum>
  <w:abstractNum w:abstractNumId="23">
    <w:nsid w:val="580BD78F"/>
    <w:multiLevelType w:val="hybridMultilevel"/>
    <w:lvl w:ilvl="0">
      <w:lvlJc w:val="left"/>
      <w:lvlText w:val="●"/>
      <w:numFmt w:val="bullet"/>
      <w:start w:val="1"/>
    </w:lvl>
  </w:abstractNum>
  <w:abstractNum w:abstractNumId="24">
    <w:nsid w:val="153EA438"/>
    <w:multiLevelType w:val="hybridMultilevel"/>
    <w:lvl w:ilvl="0">
      <w:lvlJc w:val="left"/>
      <w:lvlText w:val="●"/>
      <w:numFmt w:val="bullet"/>
      <w:start w:val="1"/>
    </w:lvl>
    <w:lvl w:ilvl="1">
      <w:lvlJc w:val="left"/>
      <w:lvlText w:val="%"/>
      <w:numFmt w:val="bullet"/>
      <w:start w:val="1"/>
    </w:lvl>
  </w:abstractNum>
  <w:abstractNum w:abstractNumId="25">
    <w:nsid w:val="3855585C"/>
    <w:multiLevelType w:val="hybridMultilevel"/>
    <w:lvl w:ilvl="0">
      <w:lvlJc w:val="left"/>
      <w:lvlText w:val="●"/>
      <w:numFmt w:val="bullet"/>
      <w:start w:val="1"/>
    </w:lvl>
  </w:abstractNum>
  <w:abstractNum w:abstractNumId="26">
    <w:nsid w:val="70A64E2A"/>
    <w:multiLevelType w:val="hybridMultilevel"/>
    <w:lvl w:ilvl="0">
      <w:lvlJc w:val="left"/>
      <w:lvlText w:val="●"/>
      <w:numFmt w:val="bullet"/>
      <w:start w:val="1"/>
    </w:lvl>
  </w:abstractNum>
  <w:abstractNum w:abstractNumId="27">
    <w:nsid w:val="6A2342EC"/>
    <w:multiLevelType w:val="hybridMultilevel"/>
    <w:lvl w:ilvl="0">
      <w:lvlJc w:val="left"/>
      <w:lvlText w:val="●"/>
      <w:numFmt w:val="bullet"/>
      <w:start w:val="1"/>
    </w:lvl>
  </w:abstractNum>
  <w:abstractNum w:abstractNumId="28">
    <w:nsid w:val="2A487CB0"/>
    <w:multiLevelType w:val="hybridMultilevel"/>
    <w:lvl w:ilvl="0">
      <w:lvlJc w:val="left"/>
      <w:lvlText w:val="●"/>
      <w:numFmt w:val="bullet"/>
      <w:start w:val="1"/>
    </w:lvl>
  </w:abstractNum>
  <w:abstractNum w:abstractNumId="29">
    <w:nsid w:val="1D4ED43B"/>
    <w:multiLevelType w:val="hybridMultilevel"/>
    <w:lvl w:ilvl="0">
      <w:lvlJc w:val="left"/>
      <w:lvlText w:val="●"/>
      <w:numFmt w:val="bullet"/>
      <w:start w:val="1"/>
    </w:lvl>
  </w:abstractNum>
  <w:abstractNum w:abstractNumId="30">
    <w:nsid w:val="725A06FB"/>
    <w:multiLevelType w:val="hybridMultilevel"/>
    <w:lvl w:ilvl="0">
      <w:lvlJc w:val="left"/>
      <w:lvlText w:val="●"/>
      <w:numFmt w:val="bullet"/>
      <w:start w:val="1"/>
    </w:lvl>
  </w:abstractNum>
  <w:abstractNum w:abstractNumId="31">
    <w:nsid w:val="2CD89A32"/>
    <w:multiLevelType w:val="hybridMultilevel"/>
    <w:lvl w:ilvl="0">
      <w:lvlJc w:val="left"/>
      <w:lvlText w:val="●"/>
      <w:numFmt w:val="bullet"/>
      <w:start w:val="1"/>
    </w:lvl>
  </w:abstractNum>
  <w:abstractNum w:abstractNumId="32">
    <w:nsid w:val="57E4CCAF"/>
    <w:multiLevelType w:val="hybridMultilevel"/>
    <w:lvl w:ilvl="0">
      <w:lvlJc w:val="left"/>
      <w:lvlText w:val="●"/>
      <w:numFmt w:val="bullet"/>
      <w:start w:val="1"/>
    </w:lvl>
  </w:abstractNum>
  <w:abstractNum w:abstractNumId="33">
    <w:nsid w:val="7A6D8D3C"/>
    <w:multiLevelType w:val="hybridMultilevel"/>
    <w:lvl w:ilvl="0">
      <w:lvlJc w:val="left"/>
      <w:lvlText w:val="●"/>
      <w:numFmt w:val="bullet"/>
      <w:start w:val="1"/>
    </w:lvl>
  </w:abstractNum>
  <w:abstractNum w:abstractNumId="34">
    <w:nsid w:val="4B588F54"/>
    <w:multiLevelType w:val="hybridMultilevel"/>
    <w:lvl w:ilvl="0">
      <w:lvlJc w:val="left"/>
      <w:lvlText w:val="•"/>
      <w:numFmt w:val="bullet"/>
      <w:start w:val="1"/>
    </w:lvl>
  </w:abstractNum>
  <w:abstractNum w:abstractNumId="35">
    <w:nsid w:val="542289EC"/>
    <w:multiLevelType w:val="hybridMultilevel"/>
    <w:lvl w:ilvl="0">
      <w:lvlJc w:val="left"/>
      <w:lvlText w:val="%1."/>
      <w:numFmt w:val="upperLetter"/>
      <w:start w:val="1"/>
    </w:lvl>
  </w:abstractNum>
  <w:abstractNum w:abstractNumId="36">
    <w:nsid w:val="6DE91B18"/>
    <w:multiLevelType w:val="hybridMultilevel"/>
    <w:lvl w:ilvl="0">
      <w:lvlJc w:val="left"/>
      <w:lvlText w:val="●"/>
      <w:numFmt w:val="bullet"/>
      <w:start w:val="1"/>
    </w:lvl>
  </w:abstractNum>
  <w:abstractNum w:abstractNumId="37">
    <w:nsid w:val="38437FDB"/>
    <w:multiLevelType w:val="hybridMultilevel"/>
    <w:lvl w:ilvl="0">
      <w:lvlJc w:val="left"/>
      <w:lvlText w:val="*"/>
      <w:numFmt w:val="bullet"/>
      <w:start w:val="1"/>
    </w:lvl>
  </w:abstractNum>
  <w:abstractNum w:abstractNumId="38">
    <w:nsid w:val="7644A45C"/>
    <w:multiLevelType w:val="hybridMultilevel"/>
    <w:lvl w:ilvl="0">
      <w:lvlJc w:val="left"/>
      <w:lvlText w:val="%1."/>
      <w:numFmt w:val="upperLetter"/>
      <w:start w:val="2"/>
    </w:lvl>
  </w:abstractNum>
  <w:abstractNum w:abstractNumId="39">
    <w:nsid w:val="32FFF902"/>
    <w:multiLevelType w:val="hybridMultilevel"/>
    <w:lvl w:ilvl="0">
      <w:lvlJc w:val="left"/>
      <w:lvlText w:val="%1."/>
      <w:numFmt w:val="upperLetter"/>
      <w:start w:val="3"/>
    </w:lvl>
  </w:abstractNum>
  <w:abstractNum w:abstractNumId="40">
    <w:nsid w:val="684A481A"/>
    <w:multiLevelType w:val="hybridMultilevel"/>
    <w:lvl w:ilvl="0">
      <w:lvlJc w:val="left"/>
      <w:lvlText w:val="%1."/>
      <w:numFmt w:val="upperLetter"/>
      <w:start w:val="4"/>
    </w:lvl>
  </w:abstractNum>
  <w:abstractNum w:abstractNumId="41">
    <w:nsid w:val="579478FE"/>
    <w:multiLevelType w:val="hybridMultilevel"/>
    <w:lvl w:ilvl="0">
      <w:lvlJc w:val="left"/>
      <w:lvlText w:val="%1."/>
      <w:numFmt w:val="upperLetter"/>
      <w:start w:val="5"/>
    </w:lvl>
  </w:abstractNum>
  <w:abstractNum w:abstractNumId="42">
    <w:nsid w:val="749ABB43"/>
    <w:multiLevelType w:val="hybridMultilevel"/>
    <w:lvl w:ilvl="0">
      <w:lvlJc w:val="left"/>
      <w:lvlText w:val="%1."/>
      <w:numFmt w:val="upperLetter"/>
      <w:start w:val="6"/>
    </w:lvl>
  </w:abstractNum>
  <w:abstractNum w:abstractNumId="43">
    <w:nsid w:val="3DC240FB"/>
    <w:multiLevelType w:val="hybridMultilevel"/>
    <w:lvl w:ilvl="0">
      <w:lvlJc w:val="left"/>
      <w:lvlText w:val="%1."/>
      <w:numFmt w:val="upperLetter"/>
      <w:start w:val="7"/>
    </w:lvl>
  </w:abstractNum>
  <w:abstractNum w:abstractNumId="44">
    <w:nsid w:val="1BA026FA"/>
    <w:multiLevelType w:val="hybridMultilevel"/>
    <w:lvl w:ilvl="0">
      <w:lvlJc w:val="left"/>
      <w:lvlText w:val="%1."/>
      <w:numFmt w:val="upperLetter"/>
      <w:start w:val="8"/>
    </w:lvl>
  </w:abstractNum>
  <w:abstractNum w:abstractNumId="45">
    <w:nsid w:val="79A1DEAA"/>
    <w:multiLevelType w:val="hybridMultilevel"/>
    <w:lvl w:ilvl="0">
      <w:lvlJc w:val="left"/>
      <w:lvlText w:val="%1."/>
      <w:numFmt w:val="upperLetter"/>
      <w:start w:val="9"/>
    </w:lvl>
  </w:abstractNum>
  <w:abstractNum w:abstractNumId="46">
    <w:nsid w:val="75C6C33A"/>
    <w:multiLevelType w:val="hybridMultilevel"/>
    <w:lvl w:ilvl="0">
      <w:lvlJc w:val="left"/>
      <w:lvlText w:val="%1."/>
      <w:numFmt w:val="upperLetter"/>
      <w:start w:val="10"/>
    </w:lvl>
  </w:abstractNum>
  <w:abstractNum w:abstractNumId="47">
    <w:nsid w:val="12E685FB"/>
    <w:multiLevelType w:val="hybridMultilevel"/>
    <w:lvl w:ilvl="0">
      <w:lvlJc w:val="left"/>
      <w:lvlText w:val="%1."/>
      <w:numFmt w:val="upperLetter"/>
      <w:start w:val="11"/>
    </w:lvl>
  </w:abstractNum>
  <w:abstractNum w:abstractNumId="48">
    <w:nsid w:val="70C6A529"/>
    <w:multiLevelType w:val="hybridMultilevel"/>
    <w:lvl w:ilvl="0">
      <w:lvlJc w:val="left"/>
      <w:lvlText w:val="$"/>
      <w:numFmt w:val="bullet"/>
      <w:start w:val="1"/>
    </w:lvl>
    <w:lvl w:ilvl="1">
      <w:lvlJc w:val="left"/>
      <w:lvlText w:val="(%2)"/>
      <w:numFmt w:val="decimal"/>
      <w:start w:val="82"/>
    </w:lvl>
  </w:abstractNum>
  <w:abstractNum w:abstractNumId="49">
    <w:nsid w:val="520EEDD1"/>
    <w:multiLevelType w:val="hybridMultilevel"/>
    <w:lvl w:ilvl="0">
      <w:lvlJc w:val="left"/>
      <w:lvlText w:val="%1."/>
      <w:numFmt w:val="upperLetter"/>
      <w:start w:val="12"/>
    </w:lvl>
  </w:abstractNum>
  <w:abstractNum w:abstractNumId="50">
    <w:nsid w:val="374A3FE6"/>
    <w:multiLevelType w:val="hybridMultilevel"/>
    <w:lvl w:ilvl="0">
      <w:lvlJc w:val="left"/>
      <w:lvlText w:val="%1."/>
      <w:numFmt w:val="upperLetter"/>
      <w:start w:val="13"/>
    </w:lvl>
  </w:abstractNum>
  <w:abstractNum w:abstractNumId="51">
    <w:nsid w:val="4F4EF005"/>
    <w:multiLevelType w:val="hybridMultilevel"/>
    <w:lvl w:ilvl="0">
      <w:lvlJc w:val="left"/>
      <w:lvlText w:val="%1."/>
      <w:numFmt w:val="upperLetter"/>
      <w:start w:val="14"/>
    </w:lvl>
  </w:abstractNum>
  <w:abstractNum w:abstractNumId="52">
    <w:nsid w:val="23F9C13C"/>
    <w:multiLevelType w:val="hybridMultilevel"/>
    <w:lvl w:ilvl="0">
      <w:lvlJc w:val="left"/>
      <w:lvlText w:val="%1."/>
      <w:numFmt w:val="upperLetter"/>
      <w:start w:val="15"/>
    </w:lvl>
  </w:abstractNum>
  <w:abstractNum w:abstractNumId="53">
    <w:nsid w:val="649BB77C"/>
    <w:multiLevelType w:val="hybridMultilevel"/>
    <w:lvl w:ilvl="0">
      <w:lvlJc w:val="left"/>
      <w:lvlText w:val="%1."/>
      <w:numFmt w:val="decimal"/>
      <w:start w:val="1"/>
    </w:lvl>
    <w:lvl w:ilvl="1">
      <w:lvlJc w:val="left"/>
      <w:lvlText w:val="%2."/>
      <w:numFmt w:val="lowerLetter"/>
      <w:start w:val="1"/>
    </w:lvl>
  </w:abstractNum>
  <w:abstractNum w:abstractNumId="54">
    <w:nsid w:val="275AC794"/>
    <w:multiLevelType w:val="hybridMultilevel"/>
    <w:lvl w:ilvl="0">
      <w:lvlJc w:val="left"/>
      <w:lvlText w:val="%1."/>
      <w:numFmt w:val="decimal"/>
      <w:start w:val="1"/>
    </w:lvl>
    <w:lvl w:ilvl="1">
      <w:lvlJc w:val="left"/>
      <w:lvlText w:val="%2."/>
      <w:numFmt w:val="lowerLetter"/>
      <w:start w:val="1"/>
    </w:lvl>
  </w:abstractNum>
  <w:abstractNum w:abstractNumId="55">
    <w:nsid w:val="39386575"/>
    <w:multiLevelType w:val="hybridMultilevel"/>
    <w:lvl w:ilvl="0">
      <w:lvlJc w:val="left"/>
      <w:lvlText w:val="(%1)"/>
      <w:numFmt w:val="decimal"/>
      <w:start w:val="1"/>
    </w:lvl>
  </w:abstractNum>
  <w:abstractNum w:abstractNumId="56">
    <w:nsid w:val="1CF10FD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51" Type="http://schemas.openxmlformats.org/officeDocument/2006/relationships/image" Target="media/image32.png"/><Relationship Id="rId52" Type="http://schemas.openxmlformats.org/officeDocument/2006/relationships/image" Target="media/image33.png"/><Relationship Id="rId53" Type="http://schemas.openxmlformats.org/officeDocument/2006/relationships/image" Target="media/image34.png"/><Relationship Id="rId54" Type="http://schemas.openxmlformats.org/officeDocument/2006/relationships/image" Target="media/image35.png"/><Relationship Id="rId55" Type="http://schemas.openxmlformats.org/officeDocument/2006/relationships/image" Target="media/image36.png"/><Relationship Id="rId56" Type="http://schemas.openxmlformats.org/officeDocument/2006/relationships/image" Target="media/image37.png"/><Relationship Id="rId57" Type="http://schemas.openxmlformats.org/officeDocument/2006/relationships/image" Target="media/image38.png"/><Relationship Id="rId58" Type="http://schemas.openxmlformats.org/officeDocument/2006/relationships/image" Target="media/image39.png"/><Relationship Id="rId59" Type="http://schemas.openxmlformats.org/officeDocument/2006/relationships/image" Target="media/image40.png"/><Relationship Id="rId60" Type="http://schemas.openxmlformats.org/officeDocument/2006/relationships/image" Target="media/image41.png"/><Relationship Id="rId61" Type="http://schemas.openxmlformats.org/officeDocument/2006/relationships/image" Target="media/image42.png"/><Relationship Id="rId62" Type="http://schemas.openxmlformats.org/officeDocument/2006/relationships/image" Target="media/image43.png"/><Relationship Id="rId63" Type="http://schemas.openxmlformats.org/officeDocument/2006/relationships/image" Target="media/image44.png"/><Relationship Id="rId64" Type="http://schemas.openxmlformats.org/officeDocument/2006/relationships/image" Target="media/image45.png"/><Relationship Id="rId65" Type="http://schemas.openxmlformats.org/officeDocument/2006/relationships/image" Target="media/image46.png"/><Relationship Id="rId66" Type="http://schemas.openxmlformats.org/officeDocument/2006/relationships/image" Target="media/image47.png"/><Relationship Id="rId67" Type="http://schemas.openxmlformats.org/officeDocument/2006/relationships/image" Target="media/image48.png"/><Relationship Id="rId68" Type="http://schemas.openxmlformats.org/officeDocument/2006/relationships/image" Target="media/image49.png"/><Relationship Id="rId69" Type="http://schemas.openxmlformats.org/officeDocument/2006/relationships/image" Target="media/image50.png"/><Relationship Id="rId70" Type="http://schemas.openxmlformats.org/officeDocument/2006/relationships/image" Target="media/image51.png"/><Relationship Id="rId71" Type="http://schemas.openxmlformats.org/officeDocument/2006/relationships/image" Target="media/image52.png"/><Relationship Id="rId72" Type="http://schemas.openxmlformats.org/officeDocument/2006/relationships/image" Target="media/image53.png"/><Relationship Id="rId73" Type="http://schemas.openxmlformats.org/officeDocument/2006/relationships/image" Target="media/image54.png"/><Relationship Id="rId74" Type="http://schemas.openxmlformats.org/officeDocument/2006/relationships/image" Target="media/image55.png"/><Relationship Id="rId75" Type="http://schemas.openxmlformats.org/officeDocument/2006/relationships/image" Target="media/image56.png"/><Relationship Id="rId76" Type="http://schemas.openxmlformats.org/officeDocument/2006/relationships/image" Target="media/image57.png"/><Relationship Id="rId77" Type="http://schemas.openxmlformats.org/officeDocument/2006/relationships/image" Target="media/image58.png"/><Relationship Id="rId78" Type="http://schemas.openxmlformats.org/officeDocument/2006/relationships/image" Target="media/image59.png"/><Relationship Id="rId79" Type="http://schemas.openxmlformats.org/officeDocument/2006/relationships/image" Target="media/image60.png"/><Relationship Id="rId80" Type="http://schemas.openxmlformats.org/officeDocument/2006/relationships/image" Target="media/image61.png"/><Relationship Id="rId81" Type="http://schemas.openxmlformats.org/officeDocument/2006/relationships/image" Target="media/image62.png"/><Relationship Id="rId82" Type="http://schemas.openxmlformats.org/officeDocument/2006/relationships/image" Target="media/image63.png"/><Relationship Id="rId83" Type="http://schemas.openxmlformats.org/officeDocument/2006/relationships/image" Target="media/image64.png"/><Relationship Id="rId84" Type="http://schemas.openxmlformats.org/officeDocument/2006/relationships/image" Target="media/image65.png"/><Relationship Id="rId85" Type="http://schemas.openxmlformats.org/officeDocument/2006/relationships/image" Target="media/image66.png"/><Relationship Id="rId86" Type="http://schemas.openxmlformats.org/officeDocument/2006/relationships/image" Target="media/image67.png"/><Relationship Id="rId87" Type="http://schemas.openxmlformats.org/officeDocument/2006/relationships/image" Target="media/image68.png"/><Relationship Id="rId88" Type="http://schemas.openxmlformats.org/officeDocument/2006/relationships/image" Target="media/image69.png"/><Relationship Id="rId89" Type="http://schemas.openxmlformats.org/officeDocument/2006/relationships/image" Target="media/image70.png"/><Relationship Id="rId90" Type="http://schemas.openxmlformats.org/officeDocument/2006/relationships/image" Target="media/image71.png"/><Relationship Id="rId91" Type="http://schemas.openxmlformats.org/officeDocument/2006/relationships/image" Target="media/image72.png"/><Relationship Id="rId92" Type="http://schemas.openxmlformats.org/officeDocument/2006/relationships/image" Target="media/image73.png"/><Relationship Id="rId93" Type="http://schemas.openxmlformats.org/officeDocument/2006/relationships/image" Target="media/image74.png"/><Relationship Id="rId94" Type="http://schemas.openxmlformats.org/officeDocument/2006/relationships/image" Target="media/image75.png"/><Relationship Id="rId95" Type="http://schemas.openxmlformats.org/officeDocument/2006/relationships/image" Target="media/image76.png"/><Relationship Id="rId96" Type="http://schemas.openxmlformats.org/officeDocument/2006/relationships/image" Target="media/image77.png"/><Relationship Id="rId97" Type="http://schemas.openxmlformats.org/officeDocument/2006/relationships/image" Target="media/image78.png"/><Relationship Id="rId98" Type="http://schemas.openxmlformats.org/officeDocument/2006/relationships/image" Target="media/image79.png"/><Relationship Id="rId99" Type="http://schemas.openxmlformats.org/officeDocument/2006/relationships/image" Target="media/image80.png"/><Relationship Id="rId100" Type="http://schemas.openxmlformats.org/officeDocument/2006/relationships/image" Target="media/image81.png"/><Relationship Id="rId101" Type="http://schemas.openxmlformats.org/officeDocument/2006/relationships/image" Target="media/image82.png"/><Relationship Id="rId102" Type="http://schemas.openxmlformats.org/officeDocument/2006/relationships/image" Target="media/image83.png"/><Relationship Id="rId103" Type="http://schemas.openxmlformats.org/officeDocument/2006/relationships/image" Target="media/image84.png"/><Relationship Id="rId104" Type="http://schemas.openxmlformats.org/officeDocument/2006/relationships/image" Target="media/image85.png"/><Relationship Id="rId105" Type="http://schemas.openxmlformats.org/officeDocument/2006/relationships/image" Target="media/image86.png"/><Relationship Id="rId106" Type="http://schemas.openxmlformats.org/officeDocument/2006/relationships/image" Target="media/image87.png"/><Relationship Id="rId107" Type="http://schemas.openxmlformats.org/officeDocument/2006/relationships/image" Target="media/image88.png"/><Relationship Id="rId108" Type="http://schemas.openxmlformats.org/officeDocument/2006/relationships/image" Target="media/image89.png"/><Relationship Id="rId109" Type="http://schemas.openxmlformats.org/officeDocument/2006/relationships/image" Target="media/image90.png"/><Relationship Id="rId110" Type="http://schemas.openxmlformats.org/officeDocument/2006/relationships/image" Target="media/image91.png"/><Relationship Id="rId111" Type="http://schemas.openxmlformats.org/officeDocument/2006/relationships/image" Target="media/image92.png"/><Relationship Id="rId112" Type="http://schemas.openxmlformats.org/officeDocument/2006/relationships/image" Target="media/image93.png"/><Relationship Id="rId113" Type="http://schemas.openxmlformats.org/officeDocument/2006/relationships/image" Target="media/image94.png"/><Relationship Id="rId114" Type="http://schemas.openxmlformats.org/officeDocument/2006/relationships/image" Target="media/image95.png"/><Relationship Id="rId115" Type="http://schemas.openxmlformats.org/officeDocument/2006/relationships/image" Target="media/image96.png"/><Relationship Id="rId116" Type="http://schemas.openxmlformats.org/officeDocument/2006/relationships/image" Target="media/image97.png"/><Relationship Id="rId117" Type="http://schemas.openxmlformats.org/officeDocument/2006/relationships/image" Target="media/image98.png"/><Relationship Id="rId118" Type="http://schemas.openxmlformats.org/officeDocument/2006/relationships/image" Target="media/image99.png"/><Relationship Id="rId119" Type="http://schemas.openxmlformats.org/officeDocument/2006/relationships/image" Target="media/image100.png"/><Relationship Id="rId120" Type="http://schemas.openxmlformats.org/officeDocument/2006/relationships/image" Target="media/image101.png"/><Relationship Id="rId121" Type="http://schemas.openxmlformats.org/officeDocument/2006/relationships/image" Target="media/image102.png"/><Relationship Id="rId122" Type="http://schemas.openxmlformats.org/officeDocument/2006/relationships/image" Target="media/image103.png"/><Relationship Id="rId123" Type="http://schemas.openxmlformats.org/officeDocument/2006/relationships/image" Target="media/image104.png"/><Relationship Id="rId124" Type="http://schemas.openxmlformats.org/officeDocument/2006/relationships/image" Target="media/image105.png"/><Relationship Id="rId125" Type="http://schemas.openxmlformats.org/officeDocument/2006/relationships/image" Target="media/image106.png"/><Relationship Id="rId126" Type="http://schemas.openxmlformats.org/officeDocument/2006/relationships/image" Target="media/image107.png"/><Relationship Id="rId127" Type="http://schemas.openxmlformats.org/officeDocument/2006/relationships/image" Target="media/image108.png"/><Relationship Id="rId128" Type="http://schemas.openxmlformats.org/officeDocument/2006/relationships/image" Target="media/image109.png"/><Relationship Id="rId129" Type="http://schemas.openxmlformats.org/officeDocument/2006/relationships/image" Target="media/image110.png"/><Relationship Id="rId130" Type="http://schemas.openxmlformats.org/officeDocument/2006/relationships/image" Target="media/image111.png"/><Relationship Id="rId131" Type="http://schemas.openxmlformats.org/officeDocument/2006/relationships/image" Target="media/image112.png"/><Relationship Id="rId132" Type="http://schemas.openxmlformats.org/officeDocument/2006/relationships/image" Target="media/image113.png"/><Relationship Id="rId133" Type="http://schemas.openxmlformats.org/officeDocument/2006/relationships/image" Target="media/image114.png"/><Relationship Id="rId134" Type="http://schemas.openxmlformats.org/officeDocument/2006/relationships/image" Target="media/image115.png"/><Relationship Id="rId135" Type="http://schemas.openxmlformats.org/officeDocument/2006/relationships/image" Target="media/image116.png"/><Relationship Id="rId136" Type="http://schemas.openxmlformats.org/officeDocument/2006/relationships/image" Target="media/image117.png"/><Relationship Id="rId137" Type="http://schemas.openxmlformats.org/officeDocument/2006/relationships/image" Target="media/image118.png"/><Relationship Id="rId138" Type="http://schemas.openxmlformats.org/officeDocument/2006/relationships/image" Target="media/image119.png"/><Relationship Id="rId139" Type="http://schemas.openxmlformats.org/officeDocument/2006/relationships/image" Target="media/image120.png"/><Relationship Id="rId140" Type="http://schemas.openxmlformats.org/officeDocument/2006/relationships/image" Target="media/image121.png"/><Relationship Id="rId141" Type="http://schemas.openxmlformats.org/officeDocument/2006/relationships/image" Target="media/image122.png"/><Relationship Id="rId142" Type="http://schemas.openxmlformats.org/officeDocument/2006/relationships/image" Target="media/image123.png"/><Relationship Id="rId143" Type="http://schemas.openxmlformats.org/officeDocument/2006/relationships/image" Target="media/image124.png"/><Relationship Id="rId144" Type="http://schemas.openxmlformats.org/officeDocument/2006/relationships/image" Target="media/image125.png"/><Relationship Id="rId145" Type="http://schemas.openxmlformats.org/officeDocument/2006/relationships/image" Target="media/image126.png"/><Relationship Id="rId146" Type="http://schemas.openxmlformats.org/officeDocument/2006/relationships/image" Target="media/image127.png"/><Relationship Id="rId147" Type="http://schemas.openxmlformats.org/officeDocument/2006/relationships/image" Target="media/image128.png"/><Relationship Id="rId148" Type="http://schemas.openxmlformats.org/officeDocument/2006/relationships/image" Target="media/image129.png"/><Relationship Id="rId149" Type="http://schemas.openxmlformats.org/officeDocument/2006/relationships/image" Target="media/image130.png"/><Relationship Id="rId150" Type="http://schemas.openxmlformats.org/officeDocument/2006/relationships/image" Target="media/image131.png"/><Relationship Id="rId151" Type="http://schemas.openxmlformats.org/officeDocument/2006/relationships/image" Target="media/image132.png"/><Relationship Id="rId152" Type="http://schemas.openxmlformats.org/officeDocument/2006/relationships/image" Target="media/image133.png"/><Relationship Id="rId153" Type="http://schemas.openxmlformats.org/officeDocument/2006/relationships/image" Target="media/image134.png"/><Relationship Id="rId154" Type="http://schemas.openxmlformats.org/officeDocument/2006/relationships/image" Target="media/image135.png"/><Relationship Id="rId155" Type="http://schemas.openxmlformats.org/officeDocument/2006/relationships/image" Target="media/image136.png"/><Relationship Id="rId156" Type="http://schemas.openxmlformats.org/officeDocument/2006/relationships/image" Target="media/image137.png"/><Relationship Id="rId157" Type="http://schemas.openxmlformats.org/officeDocument/2006/relationships/image" Target="media/image138.png"/><Relationship Id="rId158" Type="http://schemas.openxmlformats.org/officeDocument/2006/relationships/image" Target="media/image139.png"/><Relationship Id="rId159" Type="http://schemas.openxmlformats.org/officeDocument/2006/relationships/image" Target="media/image140.png"/><Relationship Id="rId160" Type="http://schemas.openxmlformats.org/officeDocument/2006/relationships/image" Target="media/image141.png"/><Relationship Id="rId161" Type="http://schemas.openxmlformats.org/officeDocument/2006/relationships/image" Target="media/image142.png"/><Relationship Id="rId162" Type="http://schemas.openxmlformats.org/officeDocument/2006/relationships/image" Target="media/image143.png"/><Relationship Id="rId163" Type="http://schemas.openxmlformats.org/officeDocument/2006/relationships/image" Target="media/image144.png"/><Relationship Id="rId164" Type="http://schemas.openxmlformats.org/officeDocument/2006/relationships/image" Target="media/image145.png"/><Relationship Id="rId165" Type="http://schemas.openxmlformats.org/officeDocument/2006/relationships/image" Target="media/image146.png"/><Relationship Id="rId166" Type="http://schemas.openxmlformats.org/officeDocument/2006/relationships/image" Target="media/image147.png"/><Relationship Id="rId167" Type="http://schemas.openxmlformats.org/officeDocument/2006/relationships/image" Target="media/image148.png"/><Relationship Id="rId168" Type="http://schemas.openxmlformats.org/officeDocument/2006/relationships/image" Target="media/image149.png"/><Relationship Id="rId169" Type="http://schemas.openxmlformats.org/officeDocument/2006/relationships/image" Target="media/image150.png"/><Relationship Id="rId170" Type="http://schemas.openxmlformats.org/officeDocument/2006/relationships/image" Target="media/image151.png"/><Relationship Id="rId171" Type="http://schemas.openxmlformats.org/officeDocument/2006/relationships/image" Target="media/image152.png"/><Relationship Id="rId172" Type="http://schemas.openxmlformats.org/officeDocument/2006/relationships/image" Target="media/image153.png"/><Relationship Id="rId173" Type="http://schemas.openxmlformats.org/officeDocument/2006/relationships/image" Target="media/image154.png"/><Relationship Id="rId174" Type="http://schemas.openxmlformats.org/officeDocument/2006/relationships/image" Target="media/image155.png"/><Relationship Id="rId175" Type="http://schemas.openxmlformats.org/officeDocument/2006/relationships/image" Target="media/image156.png"/><Relationship Id="rId176" Type="http://schemas.openxmlformats.org/officeDocument/2006/relationships/image" Target="media/image157.png"/><Relationship Id="rId177" Type="http://schemas.openxmlformats.org/officeDocument/2006/relationships/image" Target="media/image158.png"/><Relationship Id="rId178" Type="http://schemas.openxmlformats.org/officeDocument/2006/relationships/image" Target="media/image159.png"/><Relationship Id="rId179" Type="http://schemas.openxmlformats.org/officeDocument/2006/relationships/image" Target="media/image160.png"/><Relationship Id="rId180" Type="http://schemas.openxmlformats.org/officeDocument/2006/relationships/image" Target="media/image161.png"/><Relationship Id="rId181" Type="http://schemas.openxmlformats.org/officeDocument/2006/relationships/image" Target="media/image162.png"/><Relationship Id="rId182" Type="http://schemas.openxmlformats.org/officeDocument/2006/relationships/image" Target="media/image163.png"/><Relationship Id="rId183" Type="http://schemas.openxmlformats.org/officeDocument/2006/relationships/image" Target="media/image164.png"/><Relationship Id="rId184" Type="http://schemas.openxmlformats.org/officeDocument/2006/relationships/image" Target="media/image165.png"/><Relationship Id="rId185" Type="http://schemas.openxmlformats.org/officeDocument/2006/relationships/image" Target="media/image166.png"/><Relationship Id="rId186" Type="http://schemas.openxmlformats.org/officeDocument/2006/relationships/image" Target="media/image167.png"/><Relationship Id="rId187" Type="http://schemas.openxmlformats.org/officeDocument/2006/relationships/image" Target="media/image168.png"/><Relationship Id="rId188" Type="http://schemas.openxmlformats.org/officeDocument/2006/relationships/image" Target="media/image169.png"/><Relationship Id="rId189" Type="http://schemas.openxmlformats.org/officeDocument/2006/relationships/image" Target="media/image170.png"/><Relationship Id="rId190" Type="http://schemas.openxmlformats.org/officeDocument/2006/relationships/image" Target="media/image171.png"/><Relationship Id="rId191" Type="http://schemas.openxmlformats.org/officeDocument/2006/relationships/image" Target="media/image172.png"/><Relationship Id="rId192" Type="http://schemas.openxmlformats.org/officeDocument/2006/relationships/image" Target="media/image173.png"/><Relationship Id="rId193" Type="http://schemas.openxmlformats.org/officeDocument/2006/relationships/image" Target="media/image174.png"/><Relationship Id="rId194" Type="http://schemas.openxmlformats.org/officeDocument/2006/relationships/image" Target="media/image175.png"/><Relationship Id="rId195" Type="http://schemas.openxmlformats.org/officeDocument/2006/relationships/image" Target="media/image176.png"/><Relationship Id="rId196" Type="http://schemas.openxmlformats.org/officeDocument/2006/relationships/image" Target="media/image177.png"/><Relationship Id="rId197" Type="http://schemas.openxmlformats.org/officeDocument/2006/relationships/image" Target="media/image178.png"/><Relationship Id="rId198" Type="http://schemas.openxmlformats.org/officeDocument/2006/relationships/image" Target="media/image179.png"/><Relationship Id="rId199" Type="http://schemas.openxmlformats.org/officeDocument/2006/relationships/image" Target="media/image180.png"/><Relationship Id="rId200" Type="http://schemas.openxmlformats.org/officeDocument/2006/relationships/image" Target="media/image181.png"/><Relationship Id="rId201" Type="http://schemas.openxmlformats.org/officeDocument/2006/relationships/image" Target="media/image182.png"/><Relationship Id="rId202" Type="http://schemas.openxmlformats.org/officeDocument/2006/relationships/image" Target="media/image183.png"/><Relationship Id="rId203" Type="http://schemas.openxmlformats.org/officeDocument/2006/relationships/image" Target="media/image184.png"/><Relationship Id="rId204" Type="http://schemas.openxmlformats.org/officeDocument/2006/relationships/image" Target="media/image185.jpeg"/><Relationship Id="rId205" Type="http://schemas.openxmlformats.org/officeDocument/2006/relationships/image" Target="media/image186.png"/><Relationship Id="rId206" Type="http://schemas.openxmlformats.org/officeDocument/2006/relationships/image" Target="media/image187.png"/><Relationship Id="rId207" Type="http://schemas.openxmlformats.org/officeDocument/2006/relationships/image" Target="media/image188.png"/><Relationship Id="rId208" Type="http://schemas.openxmlformats.org/officeDocument/2006/relationships/image" Target="media/image189.png"/><Relationship Id="rId209" Type="http://schemas.openxmlformats.org/officeDocument/2006/relationships/image" Target="media/image190.png"/><Relationship Id="rId210" Type="http://schemas.openxmlformats.org/officeDocument/2006/relationships/image" Target="media/image191.png"/><Relationship Id="rId39" Type="http://schemas.openxmlformats.org/officeDocument/2006/relationships/hyperlink" Target="https://www.sec.gov/Archives/edgar/data/912767/000091276717000010/ufpi-20170425ex310598b54.htm" TargetMode="External"/><Relationship Id="rId40" Type="http://schemas.openxmlformats.org/officeDocument/2006/relationships/hyperlink" Target="http://www.sec.gov/Archives/edgar/data/912767/000091276717000007/ufpi-20161231xexhibit3b.htm" TargetMode="External"/><Relationship Id="rId41" Type="http://schemas.openxmlformats.org/officeDocument/2006/relationships/hyperlink" Target="http://www.sec.gov/Archives/edgar/data/912767/000095012311016476/c12957exv10wf.htm" TargetMode="External"/><Relationship Id="rId42" Type="http://schemas.openxmlformats.org/officeDocument/2006/relationships/hyperlink" Target="http://www.sec.gov/Archives/edgar/data/912767/000114036112015431/ex10g.htm" TargetMode="External"/><Relationship Id="rId43" Type="http://schemas.openxmlformats.org/officeDocument/2006/relationships/hyperlink" Target="http://www.sec.gov/Archives/edgar/data/912767/000114036112015431/ex10h.htm" TargetMode="External"/><Relationship Id="rId44" Type="http://schemas.openxmlformats.org/officeDocument/2006/relationships/hyperlink" Target="http://www.sec.gov/Archives/edgar/data/912767/000114036114040661/ex10_1.htm" TargetMode="External"/><Relationship Id="rId45" Type="http://schemas.openxmlformats.org/officeDocument/2006/relationships/hyperlink" Target="http://www.sec.gov/Archives/edgar/data/912767/000114036112051611/ex10_k.htm" TargetMode="External"/><Relationship Id="rId46" Type="http://schemas.openxmlformats.org/officeDocument/2006/relationships/hyperlink" Target="http://www.sec.gov/Archives/edgar/data/912767/000155837019001176/ufpi-20181229ex10k2733c1.htm" TargetMode="External"/><Relationship Id="rId47" Type="http://schemas.openxmlformats.org/officeDocument/2006/relationships/hyperlink" Target="http://www.sec.gov/Archives/edgar/data/912767/000114036115008949/ex10_l.htm" TargetMode="External"/><Relationship Id="rId48" Type="http://schemas.openxmlformats.org/officeDocument/2006/relationships/hyperlink" Target="http://www.sec.gov/Archives/edgar/data/912767/000091276717000007/ufpi-20161231xexhibit10m.htm" TargetMode="External"/><Relationship Id="rId49" Type="http://schemas.openxmlformats.org/officeDocument/2006/relationships/hyperlink" Target="http://www.sec.gov/Archives/edgar/data/912767/000114036112013332/formdef14a.htm" TargetMode="External"/><Relationship Id="rId50" Type="http://schemas.openxmlformats.org/officeDocument/2006/relationships/hyperlink" Target="http://www.sec.gov/Archives/edgar/data/912767/000095012311016476/c12957exv14w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2021-03-03T16:39:06Z</dcterms:created>
  <dcterms:modified xsi:type="dcterms:W3CDTF">2021-03-03T16:39:06Z</dcterms:modified>
</cp:coreProperties>
</file>