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377190</wp:posOffset>
            </wp:positionV>
            <wp:extent cx="6497955" cy="857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857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2" w:lineRule="exact"/>
        <w:rPr>
          <w:sz w:val="24"/>
          <w:szCs w:val="24"/>
          <w:color w:val="auto"/>
        </w:rPr>
      </w:pPr>
    </w:p>
    <w:p>
      <w:pPr>
        <w:ind w:left="280" w:hanging="270"/>
        <w:spacing w:after="0"/>
        <w:tabs>
          <w:tab w:leader="none" w:pos="280" w:val="left"/>
        </w:tabs>
        <w:numPr>
          <w:ilvl w:val="0"/>
          <w:numId w:val="1"/>
        </w:numPr>
        <w:rPr>
          <w:rFonts w:ascii="Arial" w:cs="Arial" w:eastAsia="Arial" w:hAnsi="Arial"/>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June 25, 2022</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39" w:lineRule="exact"/>
        <w:rPr>
          <w:sz w:val="24"/>
          <w:szCs w:val="24"/>
          <w:color w:val="auto"/>
        </w:rPr>
      </w:pPr>
    </w:p>
    <w:p>
      <w:pPr>
        <w:ind w:left="3860" w:right="1280" w:hanging="3850"/>
        <w:spacing w:after="0" w:line="396" w:lineRule="auto"/>
        <w:tabs>
          <w:tab w:leader="none" w:pos="273" w:val="left"/>
        </w:tabs>
        <w:numPr>
          <w:ilvl w:val="0"/>
          <w:numId w:val="2"/>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TRANSITION REPORT PURSUANT TO SECTION 13 OR 15(d) OF THE SECURITIES EXCHANGE ACT OF 1934 Commission File Number </w:t>
      </w:r>
      <w:r>
        <w:rPr>
          <w:rFonts w:ascii="Times New Roman" w:cs="Times New Roman" w:eastAsia="Times New Roman" w:hAnsi="Times New Roman"/>
          <w:sz w:val="18"/>
          <w:szCs w:val="18"/>
          <w:u w:val="single" w:color="auto"/>
          <w:color w:val="auto"/>
        </w:rPr>
        <w:t>0-22684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UFP INDUSTRIES,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320" w:type="dxa"/>
            <w:vAlign w:val="bottom"/>
            <w:gridSpan w:val="4"/>
          </w:tcPr>
          <w:p>
            <w:pPr>
              <w:jc w:val="center"/>
              <w:ind w:right="1260"/>
              <w:spacing w:after="0"/>
              <w:rPr>
                <w:sz w:val="20"/>
                <w:szCs w:val="20"/>
                <w:color w:val="auto"/>
              </w:rPr>
            </w:pPr>
            <w:r>
              <w:rPr>
                <w:rFonts w:ascii="Times New Roman" w:cs="Times New Roman" w:eastAsia="Times New Roman" w:hAnsi="Times New Roman"/>
                <w:sz w:val="18"/>
                <w:szCs w:val="18"/>
                <w:color w:val="auto"/>
              </w:rPr>
              <w:t>Michigan</w:t>
            </w:r>
          </w:p>
        </w:tc>
        <w:tc>
          <w:tcPr>
            <w:tcW w:w="39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38-1465835</w:t>
            </w:r>
          </w:p>
        </w:tc>
      </w:tr>
      <w:tr>
        <w:trPr>
          <w:trHeight w:val="198"/>
        </w:trPr>
        <w:tc>
          <w:tcPr>
            <w:tcW w:w="4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920" w:type="dxa"/>
            <w:vAlign w:val="bottom"/>
            <w:tcBorders>
              <w:top w:val="single" w:sz="8" w:color="auto"/>
            </w:tcBorders>
          </w:tcPr>
          <w:p>
            <w:pPr>
              <w:jc w:val="center"/>
              <w:ind w:right="210"/>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organization)</w:t>
            </w:r>
          </w:p>
        </w:tc>
        <w:tc>
          <w:tcPr>
            <w:tcW w:w="3920" w:type="dxa"/>
            <w:vAlign w:val="bottom"/>
          </w:tcPr>
          <w:p>
            <w:pPr>
              <w:spacing w:after="0"/>
              <w:rPr>
                <w:sz w:val="20"/>
                <w:szCs w:val="20"/>
                <w:color w:val="auto"/>
              </w:rPr>
            </w:pPr>
          </w:p>
        </w:tc>
      </w:tr>
      <w:tr>
        <w:trPr>
          <w:trHeight w:val="439"/>
        </w:trPr>
        <w:tc>
          <w:tcPr>
            <w:tcW w:w="5320" w:type="dxa"/>
            <w:vAlign w:val="bottom"/>
            <w:gridSpan w:val="4"/>
          </w:tcPr>
          <w:p>
            <w:pPr>
              <w:jc w:val="center"/>
              <w:ind w:right="1280"/>
              <w:spacing w:after="0"/>
              <w:rPr>
                <w:sz w:val="20"/>
                <w:szCs w:val="20"/>
                <w:color w:val="auto"/>
              </w:rPr>
            </w:pPr>
            <w:r>
              <w:rPr>
                <w:rFonts w:ascii="Times New Roman" w:cs="Times New Roman" w:eastAsia="Times New Roman" w:hAnsi="Times New Roman"/>
                <w:sz w:val="18"/>
                <w:szCs w:val="18"/>
                <w:color w:val="auto"/>
                <w:w w:val="99"/>
              </w:rPr>
              <w:t>2801 East Beltline NE, Grand Rapids, Michigan</w:t>
            </w:r>
          </w:p>
        </w:tc>
        <w:tc>
          <w:tcPr>
            <w:tcW w:w="392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49525</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920" w:type="dxa"/>
            <w:vAlign w:val="bottom"/>
            <w:tcBorders>
              <w:top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(Zip Code)</w:t>
            </w:r>
          </w:p>
        </w:tc>
      </w:tr>
      <w:tr>
        <w:trPr>
          <w:trHeight w:val="360"/>
        </w:trPr>
        <w:tc>
          <w:tcPr>
            <w:tcW w:w="53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(616) 364-6161</w:t>
            </w:r>
          </w:p>
        </w:tc>
        <w:tc>
          <w:tcPr>
            <w:tcW w:w="3920" w:type="dxa"/>
            <w:vAlign w:val="bottom"/>
          </w:tcPr>
          <w:p>
            <w:pPr>
              <w:spacing w:after="0"/>
              <w:rPr>
                <w:sz w:val="24"/>
                <w:szCs w:val="24"/>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bl>
    <w:p>
      <w:pPr>
        <w:spacing w:after="0" w:line="225"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17145</wp:posOffset>
            </wp:positionV>
            <wp:extent cx="29914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ind w:left="20" w:right="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71" w:lineRule="exact"/>
        <w:rPr>
          <w:sz w:val="24"/>
          <w:szCs w:val="24"/>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60"/>
          </w:cols>
          <w:pgMar w:left="820" w:top="688" w:right="819" w:bottom="1440" w:gutter="0" w:footer="0" w:header="0"/>
        </w:sectPr>
      </w:pPr>
    </w:p>
    <w:p>
      <w:pPr>
        <w:spacing w:after="0" w:line="53" w:lineRule="exact"/>
        <w:rPr>
          <w:sz w:val="24"/>
          <w:szCs w:val="24"/>
          <w:color w:val="auto"/>
        </w:rPr>
      </w:pPr>
    </w:p>
    <w:p>
      <w:pPr>
        <w:ind w:left="540"/>
        <w:spacing w:after="0" w:line="242"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Arial Unicode MS" w:cs="Arial Unicode MS" w:eastAsia="Arial Unicode MS" w:hAnsi="Arial Unicode MS"/>
          <w:sz w:val="18"/>
          <w:szCs w:val="18"/>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jc w:val="both"/>
        <w:ind w:right="800"/>
        <w:spacing w:after="0" w:line="250"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Emerging Growth Company </w:t>
      </w:r>
      <w:r>
        <w:rPr>
          <w:rFonts w:ascii="Arial Unicode MS" w:cs="Arial Unicode MS" w:eastAsia="Arial Unicode MS" w:hAnsi="Arial Unicode MS"/>
          <w:sz w:val="18"/>
          <w:szCs w:val="18"/>
          <w:color w:val="auto"/>
        </w:rPr>
        <w:t>☐</w:t>
      </w:r>
    </w:p>
    <w:p>
      <w:pPr>
        <w:spacing w:after="0" w:line="30" w:lineRule="exact"/>
        <w:rPr>
          <w:sz w:val="24"/>
          <w:szCs w:val="24"/>
          <w:color w:val="auto"/>
        </w:rPr>
      </w:pPr>
    </w:p>
    <w:p>
      <w:pPr>
        <w:sectPr>
          <w:pgSz w:w="11900" w:h="16838" w:orient="portrait"/>
          <w:cols w:equalWidth="0" w:num="4">
            <w:col w:w="2500" w:space="660"/>
            <w:col w:w="1440" w:space="280"/>
            <w:col w:w="1820" w:space="480"/>
            <w:col w:w="3080"/>
          </w:cols>
          <w:pgMar w:left="820" w:top="688" w:right="819" w:bottom="1440" w:gutter="0" w:footer="0" w:header="0"/>
          <w:type w:val="continuous"/>
        </w:sectPr>
      </w:pPr>
    </w:p>
    <w:p>
      <w:pPr>
        <w:ind w:left="20" w:right="2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43" w:lineRule="exact"/>
        <w:rPr>
          <w:sz w:val="24"/>
          <w:szCs w:val="24"/>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by Rule 12b-2 of the Exchange Act). Yes </w:t>
      </w: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color w:val="auto"/>
        </w:rPr>
        <w:t xml:space="preserve"> No </w:t>
      </w:r>
      <w:r>
        <w:rPr>
          <w:rFonts w:ascii="Arial Unicode MS" w:cs="Arial Unicode MS" w:eastAsia="Arial Unicode MS" w:hAnsi="Arial Unicode MS"/>
          <w:sz w:val="18"/>
          <w:szCs w:val="18"/>
          <w:color w:val="auto"/>
        </w:rPr>
        <w:t>⌧</w:t>
      </w:r>
    </w:p>
    <w:p>
      <w:pPr>
        <w:spacing w:after="0" w:line="11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520" w:type="dxa"/>
        <w:tblCellMar>
          <w:top w:w="0" w:type="dxa"/>
          <w:left w:w="0" w:type="dxa"/>
          <w:bottom w:w="0" w:type="dxa"/>
          <w:right w:w="0" w:type="dxa"/>
        </w:tblCellMar>
      </w:tblPr>
      <w:tr>
        <w:trPr>
          <w:trHeight w:val="241"/>
        </w:trPr>
        <w:tc>
          <w:tcPr>
            <w:tcW w:w="5100" w:type="dxa"/>
            <w:vAlign w:val="bottom"/>
            <w:gridSpan w:val="2"/>
          </w:tcPr>
          <w:p>
            <w:pPr>
              <w:jc w:val="center"/>
              <w:ind w:right="1040"/>
              <w:spacing w:after="0"/>
              <w:rPr>
                <w:sz w:val="20"/>
                <w:szCs w:val="20"/>
                <w:color w:val="auto"/>
              </w:rPr>
            </w:pPr>
            <w:r>
              <w:rPr>
                <w:rFonts w:ascii="Times New Roman" w:cs="Times New Roman" w:eastAsia="Times New Roman" w:hAnsi="Times New Roman"/>
                <w:sz w:val="18"/>
                <w:szCs w:val="18"/>
                <w:color w:val="auto"/>
                <w:w w:val="97"/>
              </w:rPr>
              <w:t>Class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Outstanding as of June 25, 2022</w:t>
            </w:r>
          </w:p>
        </w:tc>
      </w:tr>
      <w:tr>
        <w:trPr>
          <w:trHeight w:val="234"/>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$1 par value</w:t>
            </w:r>
          </w:p>
        </w:tc>
        <w:tc>
          <w:tcPr>
            <w:tcW w:w="980" w:type="dxa"/>
            <w:vAlign w:val="bottom"/>
          </w:tcPr>
          <w:p>
            <w:pPr>
              <w:spacing w:after="0"/>
              <w:rPr>
                <w:sz w:val="20"/>
                <w:szCs w:val="20"/>
                <w:color w:val="auto"/>
              </w:rPr>
            </w:pPr>
          </w:p>
        </w:tc>
        <w:tc>
          <w:tcPr>
            <w:tcW w:w="414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rPr>
              <w:t>61,622,527</w:t>
            </w:r>
          </w:p>
        </w:tc>
      </w:tr>
    </w:tbl>
    <w:p>
      <w:pPr>
        <w:spacing w:after="0" w:line="1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2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5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6"/>
        </w:trPr>
        <w:tc>
          <w:tcPr>
            <w:tcW w:w="20" w:type="dxa"/>
            <w:vAlign w:val="bottom"/>
            <w:tcBorders>
              <w:bottom w:val="single" w:sz="8" w:color="auto"/>
            </w:tcBorders>
            <w:shd w:val="clear" w:color="auto" w:fill="000000"/>
          </w:tcPr>
          <w:p>
            <w:pPr>
              <w:spacing w:after="0"/>
              <w:rPr>
                <w:sz w:val="18"/>
                <w:szCs w:val="18"/>
                <w:color w:val="auto"/>
              </w:rPr>
            </w:pP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no par value</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UFPI</w:t>
            </w:r>
          </w:p>
        </w:tc>
        <w:tc>
          <w:tcPr>
            <w:tcW w:w="5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r>
        <w:trPr>
          <w:trHeight w:val="149"/>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tcPr>
          <w:p>
            <w:pPr>
              <w:spacing w:after="0"/>
              <w:rPr>
                <w:sz w:val="12"/>
                <w:szCs w:val="12"/>
                <w:color w:val="auto"/>
              </w:rPr>
            </w:pPr>
          </w:p>
        </w:tc>
        <w:tc>
          <w:tcPr>
            <w:tcW w:w="5260" w:type="dxa"/>
            <w:vAlign w:val="bottom"/>
            <w:tcBorders>
              <w:bottom w:val="single" w:sz="8" w:color="auto"/>
            </w:tcBorders>
          </w:tcPr>
          <w:p>
            <w:pPr>
              <w:spacing w:after="0"/>
              <w:rPr>
                <w:sz w:val="12"/>
                <w:szCs w:val="12"/>
                <w:color w:val="auto"/>
              </w:rPr>
            </w:pPr>
          </w:p>
        </w:tc>
      </w:tr>
      <w:tr>
        <w:trPr>
          <w:trHeight w:val="95"/>
        </w:trPr>
        <w:tc>
          <w:tcPr>
            <w:tcW w:w="20" w:type="dxa"/>
            <w:vAlign w:val="bottom"/>
          </w:tcPr>
          <w:p>
            <w:pPr>
              <w:spacing w:after="0"/>
              <w:rPr>
                <w:sz w:val="8"/>
                <w:szCs w:val="8"/>
                <w:color w:val="auto"/>
              </w:rPr>
            </w:pPr>
          </w:p>
        </w:tc>
        <w:tc>
          <w:tcPr>
            <w:tcW w:w="2860" w:type="dxa"/>
            <w:vAlign w:val="bottom"/>
            <w:tcBorders>
              <w:left w:val="single" w:sz="8" w:color="auto"/>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5260" w:type="dxa"/>
            <w:vAlign w:val="bottom"/>
            <w:tcBorders>
              <w:bottom w:val="single" w:sz="8" w:color="auto"/>
              <w:right w:val="single" w:sz="8" w:color="auto"/>
            </w:tcBorders>
          </w:tcPr>
          <w:p>
            <w:pPr>
              <w:spacing w:after="0"/>
              <w:rPr>
                <w:sz w:val="8"/>
                <w:szCs w:val="8"/>
                <w:color w:val="auto"/>
              </w:rPr>
            </w:pPr>
          </w:p>
        </w:tc>
      </w:tr>
      <w:tr>
        <w:trPr>
          <w:trHeight w:val="574"/>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ectPr>
          <w:pgSz w:w="11900" w:h="16838" w:orient="portrait"/>
          <w:cols w:equalWidth="0" w:num="1">
            <w:col w:w="10260"/>
          </w:cols>
          <w:pgMar w:left="820" w:top="688" w:right="819" w:bottom="144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790"/>
        </w:trPr>
        <w:tc>
          <w:tcPr>
            <w:tcW w:w="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UFP INDUSTRIES, INC.</w:t>
            </w:r>
          </w:p>
        </w:tc>
        <w:tc>
          <w:tcPr>
            <w:tcW w:w="7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4"/>
                <w:szCs w:val="24"/>
                <w:color w:val="auto"/>
              </w:rPr>
            </w:pPr>
          </w:p>
        </w:tc>
      </w:tr>
      <w:tr>
        <w:trPr>
          <w:trHeight w:val="452"/>
        </w:trPr>
        <w:tc>
          <w:tcPr>
            <w:tcW w:w="158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560" w:type="dxa"/>
            <w:vAlign w:val="bottom"/>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Page No.</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at June 25, 2022, December 25, 2021 and June</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0000EE"/>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26, 2021</w:t>
            </w:r>
          </w:p>
        </w:tc>
        <w:tc>
          <w:tcPr>
            <w:tcW w:w="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360" w:type="dxa"/>
            <w:vAlign w:val="bottom"/>
            <w:tcBorders>
              <w:top w:val="single" w:sz="8" w:color="0000EE"/>
            </w:tcBorders>
            <w:shd w:val="clear" w:color="auto" w:fill="CCEEFF"/>
          </w:tcPr>
          <w:p>
            <w:pPr>
              <w:spacing w:after="0"/>
              <w:rPr>
                <w:sz w:val="18"/>
                <w:szCs w:val="18"/>
                <w:color w:val="auto"/>
              </w:rPr>
            </w:pPr>
          </w:p>
        </w:tc>
        <w:tc>
          <w:tcPr>
            <w:tcW w:w="1100" w:type="dxa"/>
            <w:vAlign w:val="bottom"/>
            <w:tcBorders>
              <w:top w:val="single" w:sz="8" w:color="0000EE"/>
            </w:tcBorders>
            <w:shd w:val="clear" w:color="auto" w:fill="CCEEFF"/>
          </w:tcPr>
          <w:p>
            <w:pPr>
              <w:spacing w:after="0"/>
              <w:rPr>
                <w:sz w:val="18"/>
                <w:szCs w:val="18"/>
                <w:color w:val="auto"/>
              </w:rPr>
            </w:pPr>
          </w:p>
        </w:tc>
        <w:tc>
          <w:tcPr>
            <w:tcW w:w="8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16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Earnings and Comprehensive Income for the</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7"/>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and Six Months Ended June 25, 2022 and June 26, 2021</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520" w:type="dxa"/>
            <w:vAlign w:val="bottom"/>
            <w:tcBorders>
              <w:bottom w:val="single" w:sz="8" w:color="0000EE"/>
            </w:tcBorders>
            <w:gridSpan w:val="15"/>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for the Three and Six</w:t>
            </w:r>
          </w:p>
        </w:tc>
        <w:tc>
          <w:tcPr>
            <w:tcW w:w="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560" w:type="dxa"/>
            <w:vAlign w:val="bottom"/>
            <w:gridSpan w:val="1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June 25, 2022 and June 26, 2021</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and Six Months Ended</w:t>
            </w:r>
          </w:p>
        </w:tc>
        <w:tc>
          <w:tcPr>
            <w:tcW w:w="760" w:type="dxa"/>
            <w:vAlign w:val="bottom"/>
            <w:shd w:val="clear" w:color="auto" w:fill="CCEEFF"/>
          </w:tcPr>
          <w:p>
            <w:pPr>
              <w:spacing w:after="0"/>
              <w:rPr>
                <w:sz w:val="15"/>
                <w:szCs w:val="15"/>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500" w:type="dxa"/>
            <w:vAlign w:val="bottom"/>
            <w:tcBorders>
              <w:top w:val="single" w:sz="8" w:color="0000EE"/>
            </w:tcBorders>
            <w:gridSpan w:val="14"/>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June 25, 2022 and June 26, 2021</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840" w:type="dxa"/>
            <w:vAlign w:val="bottom"/>
            <w:tcBorders>
              <w:top w:val="single" w:sz="8" w:color="CCEEFF"/>
            </w:tcBorders>
            <w:gridSpan w:val="2"/>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158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1.</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3.</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1560" w:type="dxa"/>
            <w:vAlign w:val="bottom"/>
            <w:gridSpan w:val="5"/>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Item 4.</w:t>
            </w:r>
          </w:p>
        </w:tc>
        <w:tc>
          <w:tcPr>
            <w:tcW w:w="6560" w:type="dxa"/>
            <w:vAlign w:val="bottom"/>
            <w:gridSpan w:val="16"/>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Mine Safety Disclosures – NONE</w:t>
            </w:r>
          </w:p>
        </w:tc>
        <w:tc>
          <w:tcPr>
            <w:tcW w:w="7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20" w:type="dxa"/>
            <w:vAlign w:val="bottom"/>
            <w:shd w:val="clear" w:color="auto" w:fill="CCEEFF"/>
          </w:tcPr>
          <w:p>
            <w:pPr>
              <w:spacing w:after="0"/>
              <w:rPr>
                <w:sz w:val="17"/>
                <w:szCs w:val="17"/>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 – NONE</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r>
      <w:tr>
        <w:trPr>
          <w:trHeight w:val="175"/>
        </w:trPr>
        <w:tc>
          <w:tcPr>
            <w:tcW w:w="20" w:type="dxa"/>
            <w:vAlign w:val="bottom"/>
            <w:shd w:val="clear" w:color="auto" w:fill="CCEEFF"/>
          </w:tcPr>
          <w:p>
            <w:pPr>
              <w:spacing w:after="0"/>
              <w:rPr>
                <w:sz w:val="15"/>
                <w:szCs w:val="15"/>
                <w:color w:val="auto"/>
              </w:rPr>
            </w:pPr>
          </w:p>
        </w:tc>
        <w:tc>
          <w:tcPr>
            <w:tcW w:w="1560" w:type="dxa"/>
            <w:vAlign w:val="bottom"/>
            <w:gridSpan w:val="5"/>
            <w:shd w:val="clear" w:color="auto" w:fill="CCEEFF"/>
          </w:tcPr>
          <w:p>
            <w:pPr>
              <w:ind w:left="82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6560" w:type="dxa"/>
            <w:vAlign w:val="bottom"/>
            <w:gridSpan w:val="1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June 25,</w:t>
            </w:r>
          </w:p>
        </w:tc>
        <w:tc>
          <w:tcPr>
            <w:tcW w:w="220" w:type="dxa"/>
            <w:vAlign w:val="bottom"/>
          </w:tcPr>
          <w:p>
            <w:pPr>
              <w:spacing w:after="0"/>
              <w:rPr>
                <w:sz w:val="16"/>
                <w:szCs w:val="16"/>
                <w:color w:val="auto"/>
              </w:rPr>
            </w:pPr>
          </w:p>
        </w:tc>
        <w:tc>
          <w:tcPr>
            <w:tcW w:w="1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0" w:type="dxa"/>
            <w:vAlign w:val="bottom"/>
          </w:tcPr>
          <w:p>
            <w:pPr>
              <w:spacing w:after="0"/>
              <w:rPr>
                <w:sz w:val="1"/>
                <w:szCs w:val="1"/>
                <w:color w:val="auto"/>
              </w:rPr>
            </w:pPr>
          </w:p>
        </w:tc>
      </w:tr>
      <w:tr>
        <w:trPr>
          <w:trHeight w:val="107"/>
        </w:trPr>
        <w:tc>
          <w:tcPr>
            <w:tcW w:w="49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494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66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138,071</w:t>
            </w:r>
          </w:p>
        </w:tc>
        <w:tc>
          <w:tcPr>
            <w:tcW w:w="420" w:type="dxa"/>
            <w:vAlign w:val="bottom"/>
            <w:gridSpan w:val="2"/>
            <w:shd w:val="clear" w:color="auto" w:fill="CCEEFF"/>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2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44,286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35,475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36,495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33,827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1,046,543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737,805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980,571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Raw materials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490,923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416,043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540,289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Finished goods</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615,379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547,277</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486,199</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inventories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1,106,302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963,320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1,026,488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Refundable income taxes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4,806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36,241</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39,827</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36,699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2,376,444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2,073,476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2,122,500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3,462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INVESTMENTS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19,885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18,896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RIGHT OF USE ASSETS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107,825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96,703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97,597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32,186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31,876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29,631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320,532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315,038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318,108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INDEFINITE-LIVED INTANGIBLE ASSETS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7,350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117,869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109,017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98,601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Property, plant and equipment</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1,286,037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1,212,113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1,120,381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(660,873)</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(623,093)</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(587,194)</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40" w:type="dxa"/>
            <w:vAlign w:val="bottom"/>
            <w:tcBorders>
              <w:bottom w:val="single" w:sz="8" w:color="CCEEFF"/>
            </w:tcBorders>
          </w:tcPr>
          <w:p>
            <w:pPr>
              <w:ind w:left="400"/>
              <w:spacing w:after="0" w:line="136"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5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625,164</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589,020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533,187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5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3,610,823</w:t>
            </w:r>
          </w:p>
        </w:tc>
        <w:tc>
          <w:tcPr>
            <w:tcW w:w="2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3,245,271</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3,228,283</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9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Cash overdraft</w:t>
            </w:r>
          </w:p>
        </w:tc>
        <w:tc>
          <w:tcPr>
            <w:tcW w:w="6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11,926</w:t>
            </w:r>
          </w:p>
        </w:tc>
        <w:tc>
          <w:tcPr>
            <w:tcW w:w="420" w:type="dxa"/>
            <w:vAlign w:val="bottom"/>
            <w:gridSpan w:val="2"/>
          </w:tcPr>
          <w:p>
            <w:pPr>
              <w:jc w:val="right"/>
              <w:ind w:right="76"/>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17,030</w:t>
            </w:r>
          </w:p>
        </w:tc>
        <w:tc>
          <w:tcPr>
            <w:tcW w:w="220" w:type="dxa"/>
            <w:vAlign w:val="bottom"/>
          </w:tcPr>
          <w:p>
            <w:pPr>
              <w:spacing w:after="0"/>
              <w:rPr>
                <w:sz w:val="12"/>
                <w:szCs w:val="12"/>
                <w:color w:val="auto"/>
              </w:rPr>
            </w:pPr>
          </w:p>
        </w:tc>
        <w:tc>
          <w:tcPr>
            <w:tcW w:w="16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386,833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319,125</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359,484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Compensation and benefits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252,723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289,196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213,655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107,112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84,853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90,153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24,903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23,155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40,496</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42,683</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ind w:left="420"/>
              <w:spacing w:after="0" w:line="136" w:lineRule="exact"/>
              <w:rPr>
                <w:sz w:val="20"/>
                <w:szCs w:val="20"/>
                <w:color w:val="auto"/>
              </w:rPr>
            </w:pPr>
            <w:r>
              <w:rPr>
                <w:rFonts w:ascii="Times New Roman" w:cs="Times New Roman" w:eastAsia="Times New Roman" w:hAnsi="Times New Roman"/>
                <w:sz w:val="14"/>
                <w:szCs w:val="14"/>
                <w:color w:val="auto"/>
              </w:rPr>
              <w:t>TOTAL CURRENT LIABILITIES</w:t>
            </w: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823,993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776,042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731,317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276,315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277,567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571,856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86,464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76,632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63,389</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60,964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35,594</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37,497</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52,000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LIABILITIES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1,285,755</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1,228,702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1,468,720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SHAREHOLDERS’ EQUITY:</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Controlling interest shareholders’ equity:</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940" w:type="dxa"/>
            <w:vAlign w:val="bottom"/>
          </w:tcPr>
          <w:p>
            <w:pPr>
              <w:ind w:left="320"/>
              <w:spacing w:after="0" w:line="126" w:lineRule="exact"/>
              <w:rPr>
                <w:sz w:val="20"/>
                <w:szCs w:val="20"/>
                <w:color w:val="auto"/>
              </w:rPr>
            </w:pPr>
            <w:r>
              <w:rPr>
                <w:rFonts w:ascii="Times New Roman" w:cs="Times New Roman" w:eastAsia="Times New Roman" w:hAnsi="Times New Roman"/>
                <w:sz w:val="14"/>
                <w:szCs w:val="14"/>
                <w:color w:val="auto"/>
              </w:rPr>
              <w:t>Preferred stock, no par value; shares authorized 1,000,000; issued and</w:t>
            </w:r>
          </w:p>
        </w:tc>
        <w:tc>
          <w:tcPr>
            <w:tcW w:w="6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94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outstanding, none</w:t>
            </w:r>
          </w:p>
        </w:tc>
        <w:tc>
          <w:tcPr>
            <w:tcW w:w="6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940" w:type="dxa"/>
            <w:vAlign w:val="bottom"/>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Common stock, $1 par value; shares authorized 80,000,000; issued and</w:t>
            </w:r>
          </w:p>
        </w:tc>
        <w:tc>
          <w:tcPr>
            <w:tcW w:w="5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61,623</w:t>
            </w:r>
          </w:p>
        </w:tc>
        <w:tc>
          <w:tcPr>
            <w:tcW w:w="2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61,902</w:t>
            </w: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61,851</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outstanding, 61,622,527, 61,901,851 and 61,850,733</w:t>
            </w: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4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275,061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243,995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235,309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1,950,922</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1,678,121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1,440,833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32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(7,458)</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(5,405)</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(1,464)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controlling interest shareholders’ equity</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2,280,148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1,978,613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1,736,529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tcPr>
          <w:p>
            <w:pPr>
              <w:ind w:left="10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5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44,920</w:t>
            </w: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37,956</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23,034</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940" w:type="dxa"/>
            <w:vAlign w:val="bottom"/>
            <w:tcBorders>
              <w:bottom w:val="single" w:sz="8" w:color="CCEEFF"/>
            </w:tcBorders>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TOTAL SHAREHOLDERS’ EQUITY</w:t>
            </w:r>
          </w:p>
        </w:tc>
        <w:tc>
          <w:tcPr>
            <w:tcW w:w="5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2,325,068</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2,016,569</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1,759,563</w:t>
            </w: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line="136"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520" w:type="dxa"/>
            <w:vAlign w:val="bottom"/>
          </w:tcPr>
          <w:p>
            <w:pPr>
              <w:spacing w:after="0"/>
              <w:rPr>
                <w:sz w:val="11"/>
                <w:szCs w:val="11"/>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3,610,823</w:t>
            </w:r>
          </w:p>
        </w:tc>
        <w:tc>
          <w:tcPr>
            <w:tcW w:w="220" w:type="dxa"/>
            <w:vAlign w:val="bottom"/>
          </w:tcPr>
          <w:p>
            <w:pPr>
              <w:spacing w:after="0"/>
              <w:rPr>
                <w:sz w:val="11"/>
                <w:szCs w:val="11"/>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3,245,271</w:t>
            </w: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color w:val="auto"/>
              </w:rPr>
              <w:t>3,228,283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6"/>
                <w:szCs w:val="16"/>
                <w:color w:val="auto"/>
              </w:rPr>
            </w:pPr>
          </w:p>
        </w:tc>
        <w:tc>
          <w:tcPr>
            <w:tcW w:w="2020" w:type="dxa"/>
            <w:vAlign w:val="bottom"/>
            <w:gridSpan w:val="3"/>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2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38"/>
        </w:trPr>
        <w:tc>
          <w:tcPr>
            <w:tcW w:w="4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2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4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Borders>
              <w:top w:val="single" w:sz="8" w:color="auto"/>
            </w:tcBorders>
          </w:tcPr>
          <w:p>
            <w:pPr>
              <w:jc w:val="right"/>
              <w:ind w:right="135"/>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13"/>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60" w:type="dxa"/>
            <w:vAlign w:val="bottom"/>
          </w:tcPr>
          <w:p>
            <w:pPr>
              <w:spacing w:after="0"/>
              <w:rPr>
                <w:sz w:val="10"/>
                <w:szCs w:val="10"/>
                <w:color w:val="auto"/>
              </w:rPr>
            </w:pPr>
          </w:p>
        </w:tc>
        <w:tc>
          <w:tcPr>
            <w:tcW w:w="900" w:type="dxa"/>
            <w:vAlign w:val="bottom"/>
            <w:tcBorders>
              <w:top w:val="single" w:sz="8" w:color="auto"/>
            </w:tcBorders>
          </w:tcPr>
          <w:p>
            <w:pPr>
              <w:jc w:val="right"/>
              <w:ind w:right="115"/>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113"/>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110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gridSpan w:val="2"/>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$ 2,900,874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$ 2,700,541</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$ 5,390,187</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$ 4,525,545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COST OF GOODS SOLD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2,397,422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2,279,247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4,408,372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3,817,697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503,452</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421,294</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707,848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214,538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184,539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434,688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334,637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GAINS, NET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285,566</w:t>
            </w:r>
          </w:p>
        </w:tc>
        <w:tc>
          <w:tcPr>
            <w:tcW w:w="18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236,935</w:t>
            </w:r>
          </w:p>
        </w:tc>
        <w:tc>
          <w:tcPr>
            <w:tcW w:w="16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544,591</w:t>
            </w: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374,422</w:t>
            </w:r>
          </w:p>
        </w:tc>
        <w:tc>
          <w:tcPr>
            <w:tcW w:w="2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INVESTMENT LOSS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8,566</w:t>
            </w:r>
          </w:p>
        </w:tc>
        <w:tc>
          <w:tcPr>
            <w:tcW w:w="18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3,045</w:t>
            </w:r>
          </w:p>
        </w:tc>
        <w:tc>
          <w:tcPr>
            <w:tcW w:w="160" w:type="dxa"/>
            <w:vAlign w:val="bottom"/>
            <w:tcBorders>
              <w:top w:val="single" w:sz="8" w:color="CCEEFF"/>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13,476</w:t>
            </w:r>
          </w:p>
        </w:tc>
        <w:tc>
          <w:tcPr>
            <w:tcW w:w="200" w:type="dxa"/>
            <w:vAlign w:val="bottom"/>
            <w:tcBorders>
              <w:top w:val="single" w:sz="8" w:color="CCEEFF"/>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4,530</w:t>
            </w:r>
          </w:p>
        </w:tc>
        <w:tc>
          <w:tcPr>
            <w:tcW w:w="2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233,890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531,115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58,530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90,281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207,853</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400,984</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279,611</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019"/>
          </w:cols>
          <w:pgMar w:left="1440" w:top="540" w:right="1440" w:bottom="1440" w:gutter="0" w:footer="0" w:header="0"/>
        </w:sectPr>
      </w:pPr>
    </w:p>
    <w:p>
      <w:pPr>
        <w:ind w:left="60" w:right="760"/>
        <w:spacing w:after="0" w:line="260" w:lineRule="auto"/>
        <w:rPr>
          <w:sz w:val="20"/>
          <w:szCs w:val="20"/>
          <w:color w:val="auto"/>
        </w:rPr>
      </w:pPr>
      <w:r>
        <w:rPr>
          <w:rFonts w:ascii="Times New Roman" w:cs="Times New Roman" w:eastAsia="Times New Roman" w:hAnsi="Times New Roman"/>
          <w:sz w:val="16"/>
          <w:szCs w:val="16"/>
          <w:color w:val="auto"/>
        </w:rPr>
        <w:t>LESS NET EARNINGS ATTRIBUTABLE TO NONCONTROLLING INTEREST</w:t>
      </w:r>
    </w:p>
    <w:p>
      <w:pPr>
        <w:ind w:left="60"/>
        <w:spacing w:after="0" w:line="288" w:lineRule="auto"/>
        <w:rPr>
          <w:sz w:val="20"/>
          <w:szCs w:val="20"/>
          <w:color w:val="auto"/>
        </w:rPr>
      </w:pPr>
      <w:r>
        <w:rPr>
          <w:rFonts w:ascii="Times New Roman" w:cs="Times New Roman" w:eastAsia="Times New Roman" w:hAnsi="Times New Roman"/>
          <w:sz w:val="16"/>
          <w:szCs w:val="16"/>
          <w:color w:val="auto"/>
        </w:rPr>
        <w:t>NET EARNINGS ATTRIBUTABLE TO CONTROLLING INTEREST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380"/>
        <w:spacing w:after="0"/>
        <w:tabs>
          <w:tab w:leader="none" w:pos="1480" w:val="left"/>
          <w:tab w:leader="none" w:pos="2540" w:val="left"/>
          <w:tab w:leader="none" w:pos="3660" w:val="left"/>
        </w:tabs>
        <w:rPr>
          <w:sz w:val="20"/>
          <w:szCs w:val="20"/>
          <w:color w:val="auto"/>
        </w:rPr>
      </w:pPr>
      <w:r>
        <w:rPr>
          <w:rFonts w:ascii="Times New Roman" w:cs="Times New Roman" w:eastAsia="Times New Roman" w:hAnsi="Times New Roman"/>
          <w:sz w:val="18"/>
          <w:szCs w:val="18"/>
          <w:color w:val="auto"/>
        </w:rPr>
        <w:t>(4,735)</w:t>
      </w:r>
      <w:r>
        <w:rPr>
          <w:sz w:val="20"/>
          <w:szCs w:val="20"/>
          <w:color w:val="auto"/>
        </w:rPr>
        <w:tab/>
      </w:r>
      <w:r>
        <w:rPr>
          <w:rFonts w:ascii="Times New Roman" w:cs="Times New Roman" w:eastAsia="Times New Roman" w:hAnsi="Times New Roman"/>
          <w:sz w:val="18"/>
          <w:szCs w:val="18"/>
          <w:color w:val="auto"/>
        </w:rPr>
        <w:t>(1,978)</w:t>
      </w:r>
      <w:r>
        <w:rPr>
          <w:sz w:val="20"/>
          <w:szCs w:val="20"/>
          <w:color w:val="auto"/>
        </w:rPr>
        <w:tab/>
      </w:r>
      <w:r>
        <w:rPr>
          <w:rFonts w:ascii="Times New Roman" w:cs="Times New Roman" w:eastAsia="Times New Roman" w:hAnsi="Times New Roman"/>
          <w:sz w:val="18"/>
          <w:szCs w:val="18"/>
          <w:color w:val="auto"/>
        </w:rPr>
        <w:t>(8,163)</w:t>
      </w:r>
      <w:r>
        <w:rPr>
          <w:sz w:val="20"/>
          <w:szCs w:val="20"/>
          <w:color w:val="auto"/>
        </w:rPr>
        <w:tab/>
      </w:r>
      <w:r>
        <w:rPr>
          <w:rFonts w:ascii="Times New Roman" w:cs="Times New Roman" w:eastAsia="Times New Roman" w:hAnsi="Times New Roman"/>
          <w:sz w:val="17"/>
          <w:szCs w:val="17"/>
          <w:color w:val="auto"/>
        </w:rPr>
        <w:t>(2,918)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-2855595</wp:posOffset>
            </wp:positionH>
            <wp:positionV relativeFrom="paragraph">
              <wp:posOffset>17145</wp:posOffset>
            </wp:positionV>
            <wp:extent cx="5648960" cy="265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265430"/>
                    </a:xfrm>
                    <a:prstGeom prst="rect">
                      <a:avLst/>
                    </a:prstGeom>
                    <a:noFill/>
                  </pic:spPr>
                </pic:pic>
              </a:graphicData>
            </a:graphic>
          </wp:anchor>
        </w:drawing>
      </w:r>
    </w:p>
    <w:p>
      <w:pPr>
        <w:spacing w:after="0" w:line="178" w:lineRule="exact"/>
        <w:rPr>
          <w:sz w:val="20"/>
          <w:szCs w:val="20"/>
          <w:color w:val="auto"/>
        </w:rPr>
      </w:pPr>
    </w:p>
    <w:p>
      <w:pPr>
        <w:spacing w:after="0"/>
        <w:tabs>
          <w:tab w:leader="none" w:pos="260" w:val="left"/>
          <w:tab w:leader="none" w:pos="1080" w:val="left"/>
          <w:tab w:leader="none" w:pos="1360" w:val="left"/>
          <w:tab w:leader="none" w:pos="2140" w:val="left"/>
          <w:tab w:leader="none" w:pos="2420" w:val="left"/>
          <w:tab w:leader="none" w:pos="3260" w:val="left"/>
          <w:tab w:leader="none" w:pos="3540" w:val="left"/>
        </w:tabs>
        <w:rPr>
          <w:sz w:val="20"/>
          <w:szCs w:val="20"/>
          <w:color w:val="auto"/>
        </w:rPr>
      </w:pPr>
      <w:r>
        <w:rPr>
          <w:rFonts w:ascii="Times New Roman" w:cs="Times New Roman" w:eastAsia="Times New Roman" w:hAnsi="Times New Roman"/>
          <w:sz w:val="18"/>
          <w:szCs w:val="18"/>
          <w:u w:val="single" w:color="auto"/>
          <w:color w:val="auto"/>
        </w:rPr>
        <w:t>$</w:t>
        <w:tab/>
        <w:t>203,118</w:t>
        <w:tab/>
        <w:t>$</w:t>
        <w:tab/>
        <w:t>173,382</w:t>
        <w:tab/>
        <w:t>$</w:t>
        <w:tab/>
        <w:t>392,821</w:t>
        <w:tab/>
        <w:t>$</w:t>
      </w:r>
      <w:r>
        <w:rPr>
          <w:sz w:val="20"/>
          <w:szCs w:val="20"/>
          <w:color w:val="auto"/>
        </w:rPr>
        <w:tab/>
      </w:r>
      <w:r>
        <w:rPr>
          <w:rFonts w:ascii="Times New Roman" w:cs="Times New Roman" w:eastAsia="Times New Roman" w:hAnsi="Times New Roman"/>
          <w:sz w:val="17"/>
          <w:szCs w:val="17"/>
          <w:u w:val="single" w:color="auto"/>
          <w:color w:val="auto"/>
        </w:rPr>
        <w:t>276,693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2674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271" w:lineRule="exact"/>
        <w:rPr>
          <w:sz w:val="20"/>
          <w:szCs w:val="20"/>
          <w:color w:val="auto"/>
        </w:rPr>
      </w:pPr>
    </w:p>
    <w:p>
      <w:pPr>
        <w:sectPr>
          <w:pgSz w:w="11900" w:h="16838" w:orient="portrait"/>
          <w:cols w:equalWidth="0" w:num="2">
            <w:col w:w="3900" w:space="660"/>
            <w:col w:w="4459"/>
          </w:cols>
          <w:pgMar w:left="1440" w:top="540" w:right="1440" w:bottom="1440" w:gutter="0" w:footer="0" w:header="0"/>
          <w:type w:val="continuous"/>
        </w:sectPr>
      </w:pP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175,360</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GAIN (LOSS)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203,470</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178,080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399,785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280,135</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LESS COMPREHENSIVE INCOME ATTRIBUTABLE TO</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(9,017)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INCOME ATTRIBUTABLE TO</w:t>
            </w: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vMerge w:val="continue"/>
            <w:shd w:val="clear" w:color="auto" w:fill="CCEEFF"/>
          </w:tcPr>
          <w:p>
            <w:pPr>
              <w:spacing w:after="0"/>
              <w:rPr>
                <w:sz w:val="15"/>
                <w:szCs w:val="15"/>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198,830</w:t>
            </w:r>
          </w:p>
        </w:tc>
        <w:tc>
          <w:tcPr>
            <w:tcW w:w="3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175,382</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390,768</w:t>
            </w:r>
          </w:p>
        </w:tc>
        <w:tc>
          <w:tcPr>
            <w:tcW w:w="3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277,023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CONTROLLING INTEREST</w:t>
            </w:r>
          </w:p>
        </w:tc>
        <w:tc>
          <w:tcPr>
            <w:tcW w:w="4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bl>
      <w:tblPr>
        <w:tblLayout w:type="fixed"/>
        <w:tblInd w:w="6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9"/>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jc w:val="center"/>
              <w:ind w:right="8"/>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26,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61,902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243,995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$ 1,678,121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37,956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2,016,569</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189,703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3,428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193,131</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2,930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3,879</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(695)</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$0.20 per share - quarterly</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(12,541)</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(12,541)</w:t>
            </w: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9,734 shares under employee stock</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 plan</w:t>
            </w: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787,045 shares under stock grant programs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8,959</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9,746</w:t>
            </w: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79,973 shares under deferred compensation</w:t>
            </w: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44,442 shares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(3,544)</w:t>
            </w: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6,883</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1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6,134</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on March 26,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62,734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266,544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$ 1,851,784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(3,170)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40,280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2,218,172</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203,118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207,853</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(3,755)</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dividends - $0.25 per share - quarterly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(15,474)</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13,875 shares under employee stock plans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Issuance of 28,154 shares under stock grant programs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w:t>
            </w:r>
          </w:p>
        </w:tc>
        <w:tc>
          <w:tcPr>
            <w:tcW w:w="0" w:type="dxa"/>
            <w:vAlign w:val="bottom"/>
          </w:tcPr>
          <w:p>
            <w:pPr>
              <w:spacing w:after="0"/>
              <w:rPr>
                <w:sz w:val="1"/>
                <w:szCs w:val="1"/>
                <w:color w:val="auto"/>
              </w:rPr>
            </w:pPr>
          </w:p>
        </w:tc>
      </w:tr>
      <w:tr>
        <w:trPr>
          <w:trHeight w:val="126"/>
        </w:trPr>
        <w:tc>
          <w:tcPr>
            <w:tcW w:w="3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11,605 shares under deferred compensation</w:t>
            </w: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plans</w:t>
            </w: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1,165,268 shares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(88,506)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(89,671)</w:t>
            </w:r>
          </w:p>
        </w:tc>
        <w:tc>
          <w:tcPr>
            <w:tcW w:w="0" w:type="dxa"/>
            <w:vAlign w:val="bottom"/>
          </w:tcPr>
          <w:p>
            <w:pPr>
              <w:spacing w:after="0"/>
              <w:rPr>
                <w:sz w:val="1"/>
                <w:szCs w:val="1"/>
                <w:color w:val="auto"/>
              </w:rPr>
            </w:pPr>
          </w:p>
        </w:tc>
      </w:tr>
      <w:tr>
        <w:trPr>
          <w:trHeight w:val="126"/>
        </w:trPr>
        <w:tc>
          <w:tcPr>
            <w:tcW w:w="33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5,556</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arrangements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0" w:type="dxa"/>
            <w:vAlign w:val="bottom"/>
          </w:tcPr>
          <w:p>
            <w:pPr>
              <w:spacing w:after="0"/>
              <w:rPr>
                <w:sz w:val="1"/>
                <w:szCs w:val="1"/>
                <w:color w:val="auto"/>
              </w:rPr>
            </w:pPr>
          </w:p>
        </w:tc>
      </w:tr>
      <w:tr>
        <w:trPr>
          <w:trHeight w:val="177"/>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on June 25, 2022</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61,623</w:t>
            </w:r>
          </w:p>
        </w:tc>
        <w:tc>
          <w:tcPr>
            <w:tcW w:w="1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275,061</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$ 1,950,922</w:t>
            </w:r>
          </w:p>
        </w:tc>
        <w:tc>
          <w:tcPr>
            <w:tcW w:w="14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(7,458)</w:t>
            </w:r>
          </w:p>
        </w:tc>
        <w:tc>
          <w:tcPr>
            <w:tcW w:w="14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44,920</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2,325,068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bl>
      <w:tblPr>
        <w:tblLayout w:type="fixed"/>
        <w:tblInd w:w="40" w:type="dxa"/>
        <w:tblCellMar>
          <w:top w:w="0" w:type="dxa"/>
          <w:left w:w="0" w:type="dxa"/>
          <w:bottom w:w="0" w:type="dxa"/>
          <w:right w:w="0" w:type="dxa"/>
        </w:tblCellMar>
      </w:tblPr>
      <w:tr>
        <w:trPr>
          <w:trHeight w:val="168"/>
        </w:trPr>
        <w:tc>
          <w:tcPr>
            <w:tcW w:w="3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0" w:type="dxa"/>
            <w:vAlign w:val="bottom"/>
            <w:tcBorders>
              <w:bottom w:val="single" w:sz="8" w:color="auto"/>
            </w:tcBorders>
            <w:gridSpan w:val="10"/>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Controlling Interest Shareholders’ Equity</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8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3"/>
            <w:vMerge w:val="continue"/>
          </w:tcPr>
          <w:p>
            <w:pPr>
              <w:spacing w:after="0"/>
              <w:rPr>
                <w:sz w:val="12"/>
                <w:szCs w:val="12"/>
                <w:color w:val="auto"/>
              </w:rPr>
            </w:pP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2"/>
            <w:vMerge w:val="continue"/>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80" w:type="dxa"/>
            <w:vAlign w:val="bottom"/>
            <w:tcBorders>
              <w:top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Balance on December 27, 2020</w:t>
            </w: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61,206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218,224</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$ 1,182,680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(1,794)</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22,836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1,483,152</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103,311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104,251</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(374)</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(526)</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loss on debt securities</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(1,296)</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 $0.15 per share - quarterly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(9,274)</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(9,274)</w:t>
            </w: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5,816 shares under employee stock</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plan</w:t>
            </w: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Net issuance of 536,970 shares under stock grant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3,888</w:t>
            </w: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4,430</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89,690 shares under deferred compensation</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(89)</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5,795</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5,795</w:t>
            </w:r>
          </w:p>
        </w:tc>
        <w:tc>
          <w:tcPr>
            <w:tcW w:w="0" w:type="dxa"/>
            <w:vAlign w:val="bottom"/>
          </w:tcPr>
          <w:p>
            <w:pPr>
              <w:spacing w:after="0"/>
              <w:rPr>
                <w:sz w:val="1"/>
                <w:szCs w:val="1"/>
                <w:color w:val="auto"/>
              </w:rPr>
            </w:pPr>
          </w:p>
        </w:tc>
      </w:tr>
      <w:tr>
        <w:trPr>
          <w:trHeight w:val="136"/>
        </w:trPr>
        <w:tc>
          <w:tcPr>
            <w:tcW w:w="338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Balance on March 27, 2021</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61,838</w:t>
            </w:r>
          </w:p>
        </w:tc>
        <w:tc>
          <w:tcPr>
            <w:tcW w:w="140" w:type="dxa"/>
            <w:vAlign w:val="bottom"/>
          </w:tcPr>
          <w:p>
            <w:pPr>
              <w:spacing w:after="0"/>
              <w:rPr>
                <w:sz w:val="11"/>
                <w:szCs w:val="11"/>
                <w:color w:val="auto"/>
              </w:rPr>
            </w:pPr>
          </w:p>
        </w:tc>
        <w:tc>
          <w:tcPr>
            <w:tcW w:w="10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231,111</w:t>
            </w:r>
          </w:p>
        </w:tc>
        <w:tc>
          <w:tcPr>
            <w:tcW w:w="16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$ 1,276,722</w:t>
            </w:r>
          </w:p>
        </w:tc>
        <w:tc>
          <w:tcPr>
            <w:tcW w:w="140" w:type="dxa"/>
            <w:vAlign w:val="bottom"/>
          </w:tcPr>
          <w:p>
            <w:pPr>
              <w:spacing w:after="0"/>
              <w:rPr>
                <w:sz w:val="11"/>
                <w:szCs w:val="11"/>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(3,464)</w:t>
            </w:r>
          </w:p>
        </w:tc>
        <w:tc>
          <w:tcPr>
            <w:tcW w:w="160" w:type="dxa"/>
            <w:vAlign w:val="bottom"/>
          </w:tcPr>
          <w:p>
            <w:pPr>
              <w:spacing w:after="0"/>
              <w:rPr>
                <w:sz w:val="11"/>
                <w:szCs w:val="11"/>
                <w:color w:val="auto"/>
              </w:rPr>
            </w:pP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20,336</w:t>
            </w:r>
          </w:p>
        </w:tc>
        <w:tc>
          <w:tcPr>
            <w:tcW w:w="160" w:type="dxa"/>
            <w:vAlign w:val="bottom"/>
          </w:tcPr>
          <w:p>
            <w:pPr>
              <w:spacing w:after="0"/>
              <w:rPr>
                <w:sz w:val="11"/>
                <w:szCs w:val="11"/>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1,586,543</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173,382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175,360</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gain on debt securities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49"/>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Additional purchase of noncontrolling interest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3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dividends - $0.15 per share - quarterly</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(9,276)</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(9,276)</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Issuance of 9,282 shares under employee stock plans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Net forfeitures of 5,718 shares under stock grant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(224)</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Issuance of 8,913 shares under deferred compensation</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w:t>
            </w: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plans</w:t>
            </w:r>
          </w:p>
        </w:tc>
        <w:tc>
          <w:tcPr>
            <w:tcW w:w="120" w:type="dxa"/>
            <w:vAlign w:val="bottom"/>
            <w:shd w:val="clear" w:color="auto" w:fill="CCEEFF"/>
          </w:tcPr>
          <w:p>
            <w:pPr>
              <w:spacing w:after="0"/>
              <w:rPr>
                <w:sz w:val="14"/>
                <w:szCs w:val="14"/>
                <w:color w:val="auto"/>
              </w:rPr>
            </w:pPr>
          </w:p>
        </w:tc>
        <w:tc>
          <w:tcPr>
            <w:tcW w:w="5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Expense associated with share-based compensation</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0" w:type="dxa"/>
            <w:vAlign w:val="bottom"/>
          </w:tcPr>
          <w:p>
            <w:pPr>
              <w:spacing w:after="0"/>
              <w:rPr>
                <w:sz w:val="1"/>
                <w:szCs w:val="1"/>
                <w:color w:val="auto"/>
              </w:rPr>
            </w:pPr>
          </w:p>
        </w:tc>
      </w:tr>
      <w:tr>
        <w:trPr>
          <w:trHeight w:val="17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arrangements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80" w:type="dxa"/>
            <w:vAlign w:val="bottom"/>
            <w:tcBorders>
              <w:bottom w:val="single" w:sz="8" w:color="CCEEFF"/>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 under deferred compensation plans</w:t>
            </w:r>
          </w:p>
        </w:tc>
        <w:tc>
          <w:tcPr>
            <w:tcW w:w="1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1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0" w:type="dxa"/>
            <w:vAlign w:val="bottom"/>
          </w:tcPr>
          <w:p>
            <w:pPr>
              <w:spacing w:after="0"/>
              <w:rPr>
                <w:sz w:val="1"/>
                <w:szCs w:val="1"/>
                <w:color w:val="auto"/>
              </w:rPr>
            </w:pPr>
          </w:p>
        </w:tc>
      </w:tr>
      <w:tr>
        <w:trPr>
          <w:trHeight w:val="177"/>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on June 26, 2021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61,851</w:t>
            </w:r>
          </w:p>
        </w:tc>
        <w:tc>
          <w:tcPr>
            <w:tcW w:w="1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235,309</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$ 1,440,833</w:t>
            </w:r>
          </w:p>
        </w:tc>
        <w:tc>
          <w:tcPr>
            <w:tcW w:w="140" w:type="dxa"/>
            <w:vAlign w:val="bottom"/>
          </w:tcPr>
          <w:p>
            <w:pPr>
              <w:spacing w:after="0"/>
              <w:rPr>
                <w:sz w:val="15"/>
                <w:szCs w:val="15"/>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(1,464)</w:t>
            </w:r>
          </w:p>
        </w:tc>
        <w:tc>
          <w:tcPr>
            <w:tcW w:w="1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23,034</w:t>
            </w:r>
          </w:p>
        </w:tc>
        <w:tc>
          <w:tcPr>
            <w:tcW w:w="160" w:type="dxa"/>
            <w:vAlign w:val="bottom"/>
          </w:tcPr>
          <w:p>
            <w:pPr>
              <w:spacing w:after="0"/>
              <w:rPr>
                <w:sz w:val="15"/>
                <w:szCs w:val="15"/>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1,759,563</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28"/>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08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(USED IN)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earnings</w:t>
            </w:r>
          </w:p>
        </w:tc>
        <w:tc>
          <w:tcPr>
            <w:tcW w:w="6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400,984</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279,611</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earnings to net cash from operating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44,034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38,342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Amortization of intangibles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8,740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Expense associated with share-based and grant compensation arrangements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5,742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Unrealized loss (gain) on investments and other</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6,181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Equity in earnings of investee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1,532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(gain) on sale and disposition of assets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Changes in:</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(304,715)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(336,094)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(134,653)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(329,577)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 and cash overdraft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143,018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liabilities and other</w:t>
            </w: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(1,313)</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78,751</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8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FROM (USED IN) OPERATING ACTIVITIES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90,397</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(115,733)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INVESTING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Purchases of property, plant and equipment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(71,675)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(79,028)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6,673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Acquisitions and purchases of non-controlling interest, net of cash received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(433,239)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(14,581)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investments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6,885</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(2,829)</w:t>
            </w:r>
          </w:p>
        </w:tc>
        <w:tc>
          <w:tcPr>
            <w:tcW w:w="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(708)</w:t>
            </w: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80" w:type="dxa"/>
            <w:vAlign w:val="bottom"/>
          </w:tcPr>
          <w:p>
            <w:pPr>
              <w:ind w:left="80"/>
              <w:spacing w:after="0" w:line="136"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(118,763)</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spacing w:after="0" w:line="136" w:lineRule="exact"/>
              <w:rPr>
                <w:sz w:val="20"/>
                <w:szCs w:val="20"/>
                <w:color w:val="auto"/>
              </w:rPr>
            </w:pPr>
            <w:r>
              <w:rPr>
                <w:rFonts w:ascii="Times New Roman" w:cs="Times New Roman" w:eastAsia="Times New Roman" w:hAnsi="Times New Roman"/>
                <w:sz w:val="14"/>
                <w:szCs w:val="14"/>
                <w:color w:val="auto"/>
              </w:rPr>
              <w:t>(513,998)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(USED IN) FROM FINANCING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Borrowings under revolving credit facilities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570,700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849,944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Repayments under revolving credit facilities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(571,075)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(589,695)</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Repayments of debt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Contingent consideration payments and other</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(2,553)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(1,464)</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Dividends paid to shareholders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(18,550)</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Distributions to noncontrolling interest</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(90,805)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CASH (USED IN) FROM FINANCING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(125,013)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237,926</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Effect of exchange rate changes on cash</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CHANGE IN CASH AND CASH EQUIVALENTS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(152,423)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(391,693)</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8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BEGINNING OF YEAR</w:t>
            </w:r>
          </w:p>
        </w:tc>
        <w:tc>
          <w:tcPr>
            <w:tcW w:w="5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291,223</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436,608</w:t>
            </w:r>
          </w:p>
        </w:tc>
        <w:tc>
          <w:tcPr>
            <w:tcW w:w="3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138,800</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44,915</w:t>
            </w:r>
          </w:p>
        </w:tc>
        <w:tc>
          <w:tcPr>
            <w:tcW w:w="3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RECONCILIATION OF CASH AND CASH EQUIVALENTS AND RESTRICTED CASH:</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6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286,662</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436,507</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beginning of period</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4,561</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0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291,223</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436,608</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6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138,071</w:t>
            </w:r>
          </w:p>
        </w:tc>
        <w:tc>
          <w:tcPr>
            <w:tcW w:w="30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44,286</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 end of period</w:t>
            </w:r>
          </w:p>
        </w:tc>
        <w:tc>
          <w:tcPr>
            <w:tcW w:w="5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729</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50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138,800</w:t>
            </w:r>
          </w:p>
        </w:tc>
        <w:tc>
          <w:tcPr>
            <w:tcW w:w="180" w:type="dxa"/>
            <w:vAlign w:val="bottom"/>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44,915</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8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INFORMATION:</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62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7,008</w:t>
            </w:r>
          </w:p>
        </w:tc>
        <w:tc>
          <w:tcPr>
            <w:tcW w:w="30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7,107</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73,174</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INVESTING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Capital expenditures included in accounts payable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2,856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NON-CASH FINANCING ACTIVITIES:</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0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stock issued under deferred compensation plans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6,064</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See notes to consolidated condensed financial statements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p>
      <w:pPr>
        <w:spacing w:after="0" w:line="203" w:lineRule="exact"/>
        <w:rPr>
          <w:sz w:val="20"/>
          <w:szCs w:val="20"/>
          <w:color w:val="auto"/>
        </w:rPr>
      </w:pPr>
    </w:p>
    <w:p>
      <w:pPr>
        <w:ind w:left="540" w:hanging="490"/>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87"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10-K for the fiscal year ended December 25, 2021.</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June 26, 2021 balances in the accompanying unaudited condensed consolidated balance sheets.</w:t>
      </w:r>
    </w:p>
    <w:p>
      <w:pPr>
        <w:spacing w:after="0" w:line="181"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In October 2021, the FASB issued </w:t>
      </w:r>
      <w:r>
        <w:rPr>
          <w:rFonts w:ascii="Times New Roman" w:cs="Times New Roman" w:eastAsia="Times New Roman" w:hAnsi="Times New Roman"/>
          <w:sz w:val="18"/>
          <w:szCs w:val="18"/>
          <w:i w:val="1"/>
          <w:iCs w:val="1"/>
          <w:color w:val="auto"/>
        </w:rPr>
        <w:t>ASU 2021-08, Business Combinations (Topic 805), Accounting for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Contract Liabilities from Contracts with Customers</w:t>
      </w:r>
      <w:r>
        <w:rPr>
          <w:rFonts w:ascii="Times New Roman" w:cs="Times New Roman" w:eastAsia="Times New Roman" w:hAnsi="Times New Roman"/>
          <w:sz w:val="18"/>
          <w:szCs w:val="18"/>
          <w:color w:val="auto"/>
        </w:rPr>
        <w:t>. The ASU requires that an acquirer recognize and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and contract liabilities in a business combination in accordance with Topic 606. The ASU is effective for fiscal years beginning after December 15, 2022, including interim periods within those fiscal years. We are currently evaluating the impact of the new guidance on our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w:t>
      </w:r>
    </w:p>
    <w:p>
      <w:pPr>
        <w:spacing w:after="0" w:line="227" w:lineRule="exact"/>
        <w:rPr>
          <w:sz w:val="20"/>
          <w:szCs w:val="20"/>
          <w:color w:val="auto"/>
        </w:rPr>
      </w:pPr>
    </w:p>
    <w:p>
      <w:pPr>
        <w:jc w:val="both"/>
        <w:ind w:left="60" w:right="59" w:firstLine="492"/>
        <w:spacing w:after="0" w:line="284" w:lineRule="auto"/>
        <w:rPr>
          <w:sz w:val="20"/>
          <w:szCs w:val="20"/>
          <w:color w:val="auto"/>
        </w:rPr>
      </w:pPr>
      <w:r>
        <w:rPr>
          <w:rFonts w:ascii="Times New Roman" w:cs="Times New Roman" w:eastAsia="Times New Roman" w:hAnsi="Times New Roman"/>
          <w:sz w:val="18"/>
          <w:szCs w:val="18"/>
          <w:color w:val="auto"/>
        </w:rPr>
        <w:t xml:space="preserve">We apply the provisions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to assets and liabilities measured at fair value. Assets measured at fair value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25, 2022</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26, 2021</w:t>
            </w: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Quoted</w:t>
            </w:r>
          </w:p>
        </w:tc>
        <w:tc>
          <w:tcPr>
            <w:tcW w:w="900" w:type="dxa"/>
            <w:vAlign w:val="bottom"/>
            <w:gridSpan w:val="3"/>
          </w:tcPr>
          <w:p>
            <w:pPr>
              <w:jc w:val="center"/>
              <w:ind w:right="140"/>
              <w:spacing w:after="0" w:line="124" w:lineRule="exact"/>
              <w:rPr>
                <w:sz w:val="20"/>
                <w:szCs w:val="20"/>
                <w:color w:val="auto"/>
              </w:rPr>
            </w:pPr>
            <w:r>
              <w:rPr>
                <w:rFonts w:ascii="Times New Roman" w:cs="Times New Roman" w:eastAsia="Times New Roman" w:hAnsi="Times New Roman"/>
                <w:sz w:val="14"/>
                <w:szCs w:val="14"/>
                <w:b w:val="1"/>
                <w:bCs w:val="1"/>
                <w:color w:val="auto"/>
              </w:rPr>
              <w:t>Prices with</w:t>
            </w:r>
          </w:p>
        </w:tc>
        <w:tc>
          <w:tcPr>
            <w:tcW w:w="8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Prices with</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90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5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5"/>
                <w:szCs w:val="15"/>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2,859</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income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17,610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17,854</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Treasury securities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securities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19,014</w:t>
            </w:r>
          </w:p>
        </w:tc>
        <w:tc>
          <w:tcPr>
            <w:tcW w:w="0" w:type="dxa"/>
            <w:vAlign w:val="bottom"/>
          </w:tcPr>
          <w:p>
            <w:pPr>
              <w:spacing w:after="0"/>
              <w:rPr>
                <w:sz w:val="1"/>
                <w:szCs w:val="1"/>
                <w:color w:val="auto"/>
              </w:rPr>
            </w:pPr>
          </w:p>
        </w:tc>
      </w:tr>
      <w:tr>
        <w:trPr>
          <w:trHeight w:val="181"/>
        </w:trPr>
        <w:tc>
          <w:tcPr>
            <w:tcW w:w="17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Alternative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0" w:type="dxa"/>
            <w:vAlign w:val="bottom"/>
          </w:tcPr>
          <w:p>
            <w:pPr>
              <w:spacing w:after="0"/>
              <w:rPr>
                <w:sz w:val="1"/>
                <w:szCs w:val="1"/>
                <w:color w:val="auto"/>
              </w:rPr>
            </w:pPr>
          </w:p>
        </w:tc>
      </w:tr>
      <w:tr>
        <w:trPr>
          <w:trHeight w:val="203"/>
        </w:trPr>
        <w:tc>
          <w:tcPr>
            <w:tcW w:w="1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Mutual funds: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Domestic stock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10,037</w:t>
            </w:r>
          </w:p>
        </w:tc>
        <w:tc>
          <w:tcPr>
            <w:tcW w:w="0" w:type="dxa"/>
            <w:vAlign w:val="bottom"/>
          </w:tcPr>
          <w:p>
            <w:pPr>
              <w:spacing w:after="0"/>
              <w:rPr>
                <w:sz w:val="1"/>
                <w:szCs w:val="1"/>
                <w:color w:val="auto"/>
              </w:rPr>
            </w:pPr>
          </w:p>
        </w:tc>
      </w:tr>
      <w:tr>
        <w:trPr>
          <w:trHeight w:val="181"/>
        </w:trPr>
        <w:tc>
          <w:tcPr>
            <w:tcW w:w="1760" w:type="dxa"/>
            <w:vAlign w:val="bottom"/>
          </w:tcPr>
          <w:p>
            <w:pPr>
              <w:ind w:left="120"/>
              <w:spacing w:after="0" w:line="181" w:lineRule="exact"/>
              <w:rPr>
                <w:sz w:val="20"/>
                <w:szCs w:val="20"/>
                <w:color w:val="auto"/>
              </w:rPr>
            </w:pPr>
            <w:r>
              <w:rPr>
                <w:rFonts w:ascii="Times New Roman" w:cs="Times New Roman" w:eastAsia="Times New Roman" w:hAnsi="Times New Roman"/>
                <w:sz w:val="17"/>
                <w:szCs w:val="17"/>
                <w:color w:val="auto"/>
              </w:rPr>
              <w:t>International stock</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funds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Target funds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Bond funds</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Alternative funds</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0" w:type="dxa"/>
            <w:vAlign w:val="bottom"/>
          </w:tcPr>
          <w:p>
            <w:pPr>
              <w:spacing w:after="0"/>
              <w:rPr>
                <w:sz w:val="1"/>
                <w:szCs w:val="1"/>
                <w:color w:val="auto"/>
              </w:rPr>
            </w:pPr>
          </w:p>
        </w:tc>
      </w:tr>
      <w:tr>
        <w:trPr>
          <w:trHeight w:val="197"/>
        </w:trPr>
        <w:tc>
          <w:tcPr>
            <w:tcW w:w="1760" w:type="dxa"/>
            <w:vAlign w:val="bottom"/>
            <w:tcBorders>
              <w:top w:val="single" w:sz="8" w:color="CCEEFF"/>
              <w:bottom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color w:val="auto"/>
              </w:rPr>
              <w:t>Total mutual funds</w:t>
            </w: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14,766</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14,766</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12,168</w:t>
            </w:r>
          </w:p>
        </w:tc>
        <w:tc>
          <w:tcPr>
            <w:tcW w:w="18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12,168</w:t>
            </w:r>
          </w:p>
        </w:tc>
        <w:tc>
          <w:tcPr>
            <w:tcW w:w="0" w:type="dxa"/>
            <w:vAlign w:val="bottom"/>
          </w:tcPr>
          <w:p>
            <w:pPr>
              <w:spacing w:after="0"/>
              <w:rPr>
                <w:sz w:val="1"/>
                <w:szCs w:val="1"/>
                <w:color w:val="auto"/>
              </w:rPr>
            </w:pPr>
          </w:p>
        </w:tc>
      </w:tr>
      <w:tr>
        <w:trPr>
          <w:trHeight w:val="20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35,060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20,824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59,963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55,506</w:t>
            </w:r>
          </w:p>
        </w:tc>
        <w:tc>
          <w:tcPr>
            <w:tcW w:w="0" w:type="dxa"/>
            <w:vAlign w:val="bottom"/>
          </w:tcPr>
          <w:p>
            <w:pPr>
              <w:spacing w:after="0"/>
              <w:rPr>
                <w:sz w:val="1"/>
                <w:szCs w:val="1"/>
                <w:color w:val="auto"/>
              </w:rPr>
            </w:pPr>
          </w:p>
        </w:tc>
      </w:tr>
      <w:tr>
        <w:trPr>
          <w:trHeight w:val="203"/>
        </w:trPr>
        <w:tc>
          <w:tcPr>
            <w:tcW w:w="1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Assets at fair value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35,060</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20,824</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4,079</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59,963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31,752</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20,450</w:t>
            </w:r>
          </w:p>
        </w:tc>
        <w:tc>
          <w:tcPr>
            <w:tcW w:w="16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55,506</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From the assets measured at fair value as of June 25, 2022, listed in the table above, $35.5 million of mutual funds, equity securities, and alternative investments are held in Investments, $4.0 million of money market funds are held in Cash and Cash Equivalents, $0.6 million of money market and mutual funds are held in Other Assets for our deferred compensation plan, and $19.7 million of fixed income funds and $0.2 million of money market funds are held in Restricted Investments.</w:t>
      </w:r>
    </w:p>
    <w:p>
      <w:pPr>
        <w:spacing w:after="0" w:line="183"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 xml:space="preserve">We maintain money market, mutual funds, bonds, and/or equity securities in our non-qualified deferred compensation plan, our wholly owned licensed captive insurance company, and assets held in financial institutions. These funds are valued at prices quoted in an active exchange market and are included in “Cash and Cash Equivalents”, “Investments”, “Other Assets”, and “Restricted Investments”. We have elected not to apply the fair value option under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any of our financial instruments except for those expressly required by U.S. GAAP.</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accordance with our investment policy, our wholly-owned captive, Ardellis Insurance Ltd. (“Ardellis”), maintains an investment portfolio, totaling $55.2 million as of June 25, 2022, which has been included in the aforementioned table of total investments. This portfolio consists of domestic and international equity securities, alternative investments, and fixed income bonds.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Ardellis’ available for sale investment portfolio, including funds held with the State of Michigan, consists of the following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0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June 25, 2022</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26, 2021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4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70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0"/>
                <w:szCs w:val="10"/>
                <w:color w:val="auto"/>
              </w:rPr>
            </w:pPr>
          </w:p>
        </w:tc>
        <w:tc>
          <w:tcPr>
            <w:tcW w:w="78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78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$ 19,338</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$ 17,066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$ 17,854</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Securities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0" w:type="dxa"/>
            <w:vAlign w:val="bottom"/>
          </w:tcPr>
          <w:p>
            <w:pPr>
              <w:spacing w:after="0"/>
              <w:rPr>
                <w:sz w:val="1"/>
                <w:szCs w:val="1"/>
                <w:color w:val="auto"/>
              </w:rPr>
            </w:pPr>
          </w:p>
        </w:tc>
      </w:tr>
      <w:tr>
        <w:trPr>
          <w:trHeight w:val="21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11,509</w:t>
            </w: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Investments</w:t>
            </w:r>
          </w:p>
        </w:tc>
        <w:tc>
          <w:tcPr>
            <w:tcW w:w="1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03"/>
        </w:trPr>
        <w:tc>
          <w:tcPr>
            <w:tcW w:w="40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53,343</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$ 55,155</w:t>
            </w:r>
          </w:p>
        </w:tc>
        <w:tc>
          <w:tcPr>
            <w:tcW w:w="100" w:type="dxa"/>
            <w:vAlign w:val="bottom"/>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$ 43,548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8,133</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$ 51,681</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Our mutual fund investments consist of domestic and international stock. Our alternative investments consist of a private real estate income trust which is valued as a Level 3 asset. The net unrealized gain of the portfolio was $1.8 million. Carrying amounts above are recorded in the investments and restricted investments line items within the balance sheet as of June 25, 2022 and June 26, 2021.</w:t>
      </w:r>
    </w:p>
    <w:p>
      <w:pPr>
        <w:spacing w:after="0" w:line="183" w:lineRule="exact"/>
        <w:rPr>
          <w:sz w:val="20"/>
          <w:szCs w:val="20"/>
          <w:color w:val="auto"/>
        </w:rPr>
      </w:pPr>
    </w:p>
    <w:p>
      <w:pPr>
        <w:ind w:left="540" w:hanging="490"/>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Within the three primary segments (Retail, Industrial, and Construction) that the Company operates, there are a variety of written agreements governing the sale of our products and services.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89" w:lineRule="exact"/>
        <w:rPr>
          <w:sz w:val="20"/>
          <w:szCs w:val="20"/>
          <w:color w:val="auto"/>
        </w:rPr>
      </w:pPr>
    </w:p>
    <w:p>
      <w:pPr>
        <w:jc w:val="both"/>
        <w:ind w:left="60" w:right="59" w:firstLine="492"/>
        <w:spacing w:after="0" w:line="266" w:lineRule="auto"/>
        <w:rPr>
          <w:sz w:val="20"/>
          <w:szCs w:val="20"/>
          <w:color w:val="auto"/>
        </w:rPr>
      </w:pPr>
      <w:r>
        <w:rPr>
          <w:rFonts w:ascii="Times New Roman" w:cs="Times New Roman" w:eastAsia="Times New Roman" w:hAnsi="Times New Roman"/>
          <w:sz w:val="18"/>
          <w:szCs w:val="18"/>
          <w:color w:val="auto"/>
        </w:rPr>
        <w:t>Certain customer products that we provide require installation by the Company or a third party. Installation revenue is recognized upon completion. If we use a third party for installation, the party will act as an agent to us until completion of the installation. Installation revenue represents an immaterial share of our total net sales.</w:t>
      </w:r>
    </w:p>
    <w:p>
      <w:pPr>
        <w:spacing w:after="0" w:line="176"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utilize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returns and refunds are estimated on a historical and expected basis which is a reduction of revenue recognized.</w:t>
      </w:r>
    </w:p>
    <w:p>
      <w:pPr>
        <w:spacing w:after="0" w:line="183"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relative to the total estimated costs. Under over time accounting using the units of delivery method, revenues and related earnings on construction contracts are measured by the relationships of actual units produced relative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presents our net sales disaggregated by revenue source (in thousands):</w:t>
      </w: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6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Borders>
              <w:bottom w:val="single" w:sz="8" w:color="auto"/>
            </w:tcBorders>
          </w:tcPr>
          <w:p>
            <w:pPr>
              <w:spacing w:after="0"/>
              <w:rPr>
                <w:sz w:val="15"/>
                <w:szCs w:val="15"/>
                <w:color w:val="auto"/>
              </w:rPr>
            </w:pPr>
          </w:p>
        </w:tc>
      </w:tr>
      <w:tr>
        <w:trPr>
          <w:trHeight w:val="220"/>
        </w:trPr>
        <w:tc>
          <w:tcPr>
            <w:tcW w:w="2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25,</w:t>
            </w:r>
          </w:p>
        </w:tc>
        <w:tc>
          <w:tcPr>
            <w:tcW w:w="160" w:type="dxa"/>
            <w:vAlign w:val="bottom"/>
          </w:tcPr>
          <w:p>
            <w:pPr>
              <w:spacing w:after="0"/>
              <w:rPr>
                <w:sz w:val="19"/>
                <w:szCs w:val="19"/>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June 25,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26,</w:t>
            </w:r>
          </w:p>
        </w:tc>
        <w:tc>
          <w:tcPr>
            <w:tcW w:w="880" w:type="dxa"/>
            <w:vAlign w:val="bottom"/>
          </w:tcPr>
          <w:p>
            <w:pPr>
              <w:spacing w:after="0"/>
              <w:rPr>
                <w:sz w:val="19"/>
                <w:szCs w:val="19"/>
                <w:color w:val="auto"/>
              </w:rPr>
            </w:pPr>
          </w:p>
        </w:tc>
      </w:tr>
      <w:tr>
        <w:trPr>
          <w:trHeight w:val="192"/>
        </w:trPr>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8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8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6"/>
        </w:trPr>
        <w:tc>
          <w:tcPr>
            <w:tcW w:w="2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2,850,409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2,669,159</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5,300,690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4,466,558</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Revenue</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50,465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31,382</w:t>
            </w:r>
          </w:p>
        </w:tc>
        <w:tc>
          <w:tcPr>
            <w:tcW w:w="1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89,497</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58,987</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6"/>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2,900,874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2,700,541</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5,390,187</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4,525,545</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2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Construction segment comprises the construction contract revenue shown above. Construction contract revenue is primarily made up of site-built and framing customers.</w:t>
      </w:r>
    </w:p>
    <w:p>
      <w:pPr>
        <w:spacing w:after="0" w:line="162"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balances of over time accounting accounts which are included in “Other current assets” and “Accrued liabilities: Other”, respectively (in thousands):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25,</w:t>
            </w:r>
          </w:p>
        </w:tc>
        <w:tc>
          <w:tcPr>
            <w:tcW w:w="10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26,</w:t>
            </w:r>
          </w:p>
        </w:tc>
      </w:tr>
      <w:tr>
        <w:trPr>
          <w:trHeight w:val="180"/>
        </w:trPr>
        <w:tc>
          <w:tcPr>
            <w:tcW w:w="4360" w:type="dxa"/>
            <w:vAlign w:val="bottom"/>
          </w:tcPr>
          <w:p>
            <w:pPr>
              <w:spacing w:after="0"/>
              <w:rPr>
                <w:sz w:val="15"/>
                <w:szCs w:val="15"/>
                <w:color w:val="auto"/>
              </w:rPr>
            </w:pPr>
          </w:p>
        </w:tc>
        <w:tc>
          <w:tcPr>
            <w:tcW w:w="23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5"/>
                <w:szCs w:val="15"/>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and Earnings in Excess of Billings</w:t>
            </w:r>
          </w:p>
        </w:tc>
        <w:tc>
          <w:tcPr>
            <w:tcW w:w="1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6,413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00" w:type="dxa"/>
            <w:vAlign w:val="bottom"/>
            <w:tcBorders>
              <w:top w:val="single" w:sz="8" w:color="CCEEFF"/>
            </w:tcBorders>
            <w:shd w:val="clear" w:color="auto" w:fill="CCEEFF"/>
          </w:tcPr>
          <w:p>
            <w:pPr>
              <w:spacing w:after="0"/>
              <w:rPr>
                <w:sz w:val="18"/>
                <w:szCs w:val="18"/>
                <w:color w:val="auto"/>
              </w:rPr>
            </w:pPr>
          </w:p>
        </w:tc>
      </w:tr>
      <w:tr>
        <w:trPr>
          <w:trHeight w:val="23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 and Earnings</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200" w:type="dxa"/>
            <w:vAlign w:val="bottom"/>
          </w:tcPr>
          <w:p>
            <w:pPr>
              <w:spacing w:after="0"/>
              <w:rPr>
                <w:sz w:val="20"/>
                <w:szCs w:val="20"/>
                <w:color w:val="auto"/>
              </w:rPr>
            </w:pPr>
          </w:p>
        </w:tc>
      </w:tr>
    </w:tbl>
    <w:p>
      <w:pPr>
        <w:spacing w:after="0" w:line="189" w:lineRule="exact"/>
        <w:rPr>
          <w:sz w:val="20"/>
          <w:szCs w:val="20"/>
          <w:color w:val="auto"/>
        </w:rPr>
      </w:pPr>
    </w:p>
    <w:p>
      <w:pPr>
        <w:ind w:left="540" w:hanging="490"/>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rFonts w:ascii="Times New Roman" w:cs="Times New Roman" w:eastAsia="Times New Roman" w:hAnsi="Times New Roman"/>
          <w:sz w:val="18"/>
          <w:szCs w:val="18"/>
          <w:b w:val="1"/>
          <w:bCs w:val="1"/>
          <w:color w:val="auto"/>
        </w:rPr>
      </w:pPr>
    </w:p>
    <w:p>
      <w:pPr>
        <w:ind w:left="5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computation of earnings per share (“EPS”) is as follows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4"/>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54"/>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4"/>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73"/>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203,118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173,382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392,821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Adjustment for earnings allocated to non-vested restricted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Net earnings for calculating EPS</w:t>
            </w: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194,848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167,712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377,776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267,886</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 for non-vested restricted common stock</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basic EPS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60,211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60,207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60,480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60,111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dilutive restricted common stock</w:t>
            </w: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2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Shares for calculating diluted EPS</w:t>
            </w: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60,416</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60,363</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60,700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60,232</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earnings per share: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40" w:hanging="490"/>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w:t>
      </w:r>
    </w:p>
    <w:p>
      <w:pPr>
        <w:spacing w:after="0" w:line="229"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62" w:lineRule="exact"/>
        <w:rPr>
          <w:sz w:val="20"/>
          <w:szCs w:val="20"/>
          <w:color w:val="auto"/>
        </w:rPr>
      </w:pPr>
    </w:p>
    <w:p>
      <w:pPr>
        <w:jc w:val="both"/>
        <w:ind w:left="60" w:right="79" w:firstLine="492"/>
        <w:spacing w:after="0" w:line="266" w:lineRule="auto"/>
        <w:rPr>
          <w:sz w:val="20"/>
          <w:szCs w:val="20"/>
          <w:color w:val="auto"/>
        </w:rPr>
      </w:pPr>
      <w:r>
        <w:rPr>
          <w:rFonts w:ascii="Times New Roman" w:cs="Times New Roman" w:eastAsia="Times New Roman" w:hAnsi="Times New Roman"/>
          <w:sz w:val="18"/>
          <w:szCs w:val="18"/>
          <w:color w:val="auto"/>
        </w:rPr>
        <w:t>In addition, on June 25, 2022,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76"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On June 25, 2022, we had outstanding purchase commitments on commenced capital projects of approximately $80.4 million.</w:t>
      </w:r>
    </w:p>
    <w:p>
      <w:pPr>
        <w:spacing w:after="0" w:line="162" w:lineRule="exact"/>
        <w:rPr>
          <w:sz w:val="20"/>
          <w:szCs w:val="20"/>
          <w:color w:val="auto"/>
        </w:rPr>
      </w:pPr>
    </w:p>
    <w:p>
      <w:pPr>
        <w:jc w:val="both"/>
        <w:ind w:left="60" w:right="59" w:firstLine="492"/>
        <w:spacing w:after="0" w:line="258" w:lineRule="auto"/>
        <w:rPr>
          <w:sz w:val="20"/>
          <w:szCs w:val="20"/>
          <w:color w:val="auto"/>
        </w:rPr>
      </w:pPr>
      <w:r>
        <w:rPr>
          <w:rFonts w:ascii="Times New Roman" w:cs="Times New Roman" w:eastAsia="Times New Roman" w:hAnsi="Times New Roman"/>
          <w:sz w:val="18"/>
          <w:szCs w:val="18"/>
          <w:color w:val="auto"/>
        </w:rPr>
        <w:t>We provide a variety of warranties for products we manufacture. Historically, warranty claims have not been material. We also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3" w:lineRule="exact"/>
        <w:rPr>
          <w:sz w:val="20"/>
          <w:szCs w:val="20"/>
          <w:color w:val="auto"/>
        </w:rPr>
      </w:pPr>
    </w:p>
    <w:p>
      <w:pPr>
        <w:jc w:val="both"/>
        <w:ind w:left="60" w:right="59" w:firstLine="492"/>
        <w:spacing w:after="0" w:line="274" w:lineRule="auto"/>
        <w:rPr>
          <w:sz w:val="20"/>
          <w:szCs w:val="20"/>
          <w:color w:val="auto"/>
        </w:rPr>
      </w:pPr>
      <w:r>
        <w:rPr>
          <w:rFonts w:ascii="Times New Roman" w:cs="Times New Roman" w:eastAsia="Times New Roman" w:hAnsi="Times New Roman"/>
          <w:sz w:val="17"/>
          <w:szCs w:val="17"/>
          <w:color w:val="auto"/>
        </w:rPr>
        <w:t>As part of our operations, we supply building materials and labor to site-built construction projects or we jointly bid on contracts with framing companies for such projects. In some instances, we are required to post payment and performance bonds to ensure the products and installation services are completed in accordance with our contractual obligations. We have agreed to indemnify the surety for claims properly made against these bonds. As of June 25, 2022, we had approximately $13.8 million in outstanding payment and performance bonds for open projects. We had approximately $26.7 million in payment and performance bonds outstanding for completed projects which are still under warranty.</w:t>
      </w:r>
    </w:p>
    <w:p>
      <w:pPr>
        <w:spacing w:after="0" w:line="173" w:lineRule="exact"/>
        <w:rPr>
          <w:sz w:val="20"/>
          <w:szCs w:val="20"/>
          <w:color w:val="auto"/>
        </w:rPr>
      </w:pPr>
    </w:p>
    <w:p>
      <w:pPr>
        <w:jc w:val="both"/>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On June 25, 2022, we had outstanding letters of credit totaling $60.0 million, primarily related to certain insurance contracts and industrial development revenue bonds described further below.</w:t>
      </w:r>
    </w:p>
    <w:p>
      <w:pPr>
        <w:spacing w:after="0" w:line="162"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In lieu of cash deposits, we provide irrevocable letters of credit in favor of our insurers to guarantee our performance under certain insurance contracts. As of June 25, 2022, we have irrevocable letters of credit outstanding totaling approximately $50.1 million for these types of insurance arrangements. We have reserves recorded on our balance sheet, in accrued liabilities, that reflect our expected future liabilities under these insurance arrangements.</w:t>
      </w:r>
    </w:p>
    <w:p>
      <w:pPr>
        <w:spacing w:after="0" w:line="180" w:lineRule="exact"/>
        <w:rPr>
          <w:sz w:val="20"/>
          <w:szCs w:val="20"/>
          <w:color w:val="auto"/>
        </w:rPr>
      </w:pPr>
    </w:p>
    <w:p>
      <w:pPr>
        <w:jc w:val="both"/>
        <w:ind w:left="60" w:right="79" w:firstLine="492"/>
        <w:spacing w:after="0" w:line="258" w:lineRule="auto"/>
        <w:rPr>
          <w:sz w:val="20"/>
          <w:szCs w:val="20"/>
          <w:color w:val="auto"/>
        </w:rPr>
      </w:pPr>
      <w:r>
        <w:rPr>
          <w:rFonts w:ascii="Times New Roman" w:cs="Times New Roman" w:eastAsia="Times New Roman" w:hAnsi="Times New Roman"/>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$7.1 million related to our outstanding industrial development revenue bonds. These letters of credit have varying terms but may be renewed at the option of the issuing banks.</w:t>
      </w:r>
    </w:p>
    <w:p>
      <w:pPr>
        <w:spacing w:after="0" w:line="183"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Certain wholly owned domestic subsidiaries have guaranteed the indebtedness of UFP Industries, Inc. in certain debt agreements, including the Series 2012, 2018 and 2020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80" w:lineRule="exact"/>
        <w:rPr>
          <w:sz w:val="20"/>
          <w:szCs w:val="20"/>
          <w:color w:val="auto"/>
        </w:rPr>
      </w:pPr>
    </w:p>
    <w:p>
      <w:pPr>
        <w:jc w:val="both"/>
        <w:ind w:left="60" w:right="79" w:firstLine="492"/>
        <w:spacing w:after="0" w:line="282" w:lineRule="auto"/>
        <w:rPr>
          <w:sz w:val="20"/>
          <w:szCs w:val="20"/>
          <w:color w:val="auto"/>
        </w:rPr>
      </w:pPr>
      <w:r>
        <w:rPr>
          <w:rFonts w:ascii="Times New Roman" w:cs="Times New Roman" w:eastAsia="Times New Roman" w:hAnsi="Times New Roman"/>
          <w:sz w:val="18"/>
          <w:szCs w:val="18"/>
          <w:color w:val="auto"/>
        </w:rPr>
        <w:t>We did not enter into any new guarantee arrangements during the second quarter of 2022 which would require us to recognize a liability on our balance sheet.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121" w:lineRule="exact"/>
        <w:rPr>
          <w:sz w:val="20"/>
          <w:szCs w:val="20"/>
          <w:color w:val="auto"/>
        </w:rPr>
      </w:pPr>
    </w:p>
    <w:p>
      <w:pPr>
        <w:ind w:left="60" w:right="59" w:firstLine="492"/>
        <w:spacing w:after="0" w:line="282" w:lineRule="auto"/>
        <w:rPr>
          <w:sz w:val="20"/>
          <w:szCs w:val="20"/>
          <w:color w:val="auto"/>
        </w:rPr>
      </w:pPr>
      <w:r>
        <w:rPr>
          <w:rFonts w:ascii="Times New Roman" w:cs="Times New Roman" w:eastAsia="Times New Roman" w:hAnsi="Times New Roman"/>
          <w:sz w:val="18"/>
          <w:szCs w:val="18"/>
          <w:color w:val="auto"/>
        </w:rPr>
        <w:t>We completed the following acquisitions in fiscal 2022 and since the end of June 2021, which were accounted for using the purchase method. Dollars below are in thousands unless otherwise noted:</w:t>
      </w:r>
    </w:p>
    <w:p>
      <w:pPr>
        <w:spacing w:after="0" w:line="173" w:lineRule="exact"/>
        <w:rPr>
          <w:sz w:val="20"/>
          <w:szCs w:val="20"/>
          <w:color w:val="auto"/>
        </w:rPr>
      </w:pPr>
    </w:p>
    <w:tbl>
      <w:tblPr>
        <w:tblLayout w:type="fixed"/>
        <w:tblInd w:w="50" w:type="dxa"/>
        <w:tblCellMar>
          <w:top w:w="0" w:type="dxa"/>
          <w:left w:w="0" w:type="dxa"/>
          <w:bottom w:w="0" w:type="dxa"/>
          <w:right w:w="0" w:type="dxa"/>
        </w:tblCellMar>
      </w:tblPr>
      <w:tr>
        <w:trPr>
          <w:trHeight w:val="200"/>
        </w:trPr>
        <w:tc>
          <w:tcPr>
            <w:tcW w:w="2560" w:type="dxa"/>
            <w:vAlign w:val="bottom"/>
            <w:tcBorders>
              <w:top w:val="single" w:sz="8" w:color="auto"/>
              <w:left w:val="single" w:sz="8" w:color="auto"/>
              <w:right w:val="single" w:sz="8" w:color="auto"/>
            </w:tcBorders>
          </w:tcPr>
          <w:p>
            <w:pPr>
              <w:spacing w:after="0"/>
              <w:rPr>
                <w:sz w:val="17"/>
                <w:szCs w:val="17"/>
                <w:color w:val="auto"/>
              </w:rPr>
            </w:pPr>
          </w:p>
        </w:tc>
        <w:tc>
          <w:tcPr>
            <w:tcW w:w="1460" w:type="dxa"/>
            <w:vAlign w:val="bottom"/>
            <w:tcBorders>
              <w:top w:val="single" w:sz="8" w:color="auto"/>
              <w:right w:val="single" w:sz="8" w:color="auto"/>
            </w:tcBorders>
          </w:tcPr>
          <w:p>
            <w:pPr>
              <w:spacing w:after="0"/>
              <w:rPr>
                <w:sz w:val="17"/>
                <w:szCs w:val="17"/>
                <w:color w:val="auto"/>
              </w:rPr>
            </w:pPr>
          </w:p>
        </w:tc>
        <w:tc>
          <w:tcPr>
            <w:tcW w:w="176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7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$15,386</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May 9, 2022</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4,801</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10,585</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Retail</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Cedar Poly, LLC</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Located in Tipton, Iowa, Cedar Poly is a full-service recycler of high-density and low-density</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polyethylene (HDPE and LDPE) flakes and pellets used in various products, including composite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decking. The company also recycles corrugate and operates its own transportation fleet. Cedar</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Poly had 2021 sales of approximately $17.3 million and will operate in UFP’s Deckorators</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1460" w:type="dxa"/>
            <w:vAlign w:val="bottom"/>
            <w:tcBorders>
              <w:bottom w:val="single" w:sz="8" w:color="auto"/>
              <w:right w:val="single" w:sz="8" w:color="CCEBFF"/>
            </w:tcBorders>
            <w:shd w:val="clear" w:color="auto" w:fill="CCEBFF"/>
          </w:tcPr>
          <w:p>
            <w:pPr>
              <w:spacing w:after="0"/>
              <w:rPr>
                <w:sz w:val="20"/>
                <w:szCs w:val="20"/>
                <w:color w:val="auto"/>
              </w:rPr>
            </w:pPr>
            <w:r>
              <w:rPr>
                <w:rFonts w:ascii="Times New Roman" w:cs="Times New Roman" w:eastAsia="Times New Roman" w:hAnsi="Times New Roman"/>
                <w:sz w:val="16"/>
                <w:szCs w:val="16"/>
                <w:color w:val="auto"/>
              </w:rPr>
              <w:t>business unit.</w:t>
            </w:r>
          </w:p>
        </w:tc>
        <w:tc>
          <w:tcPr>
            <w:tcW w:w="1760" w:type="dxa"/>
            <w:vAlign w:val="bottom"/>
            <w:tcBorders>
              <w:bottom w:val="single" w:sz="8" w:color="auto"/>
              <w:right w:val="single" w:sz="8" w:color="CCEBFF"/>
            </w:tcBorders>
            <w:shd w:val="clear" w:color="auto" w:fill="CCEBFF"/>
          </w:tcPr>
          <w:p>
            <w:pPr>
              <w:spacing w:after="0"/>
              <w:rPr>
                <w:sz w:val="19"/>
                <w:szCs w:val="19"/>
                <w:color w:val="auto"/>
              </w:rPr>
            </w:pPr>
          </w:p>
        </w:tc>
        <w:tc>
          <w:tcPr>
            <w:tcW w:w="120" w:type="dxa"/>
            <w:vAlign w:val="bottom"/>
            <w:tcBorders>
              <w:bottom w:val="single" w:sz="8" w:color="auto"/>
            </w:tcBorders>
            <w:shd w:val="clear" w:color="auto" w:fill="CCEBFF"/>
          </w:tcPr>
          <w:p>
            <w:pPr>
              <w:spacing w:after="0"/>
              <w:rPr>
                <w:sz w:val="19"/>
                <w:szCs w:val="19"/>
                <w:color w:val="auto"/>
              </w:rPr>
            </w:pP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$24,057</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tcBorders>
              <w:left w:val="single" w:sz="8" w:color="auto"/>
              <w:right w:val="single" w:sz="8" w:color="auto"/>
            </w:tcBorders>
          </w:tcPr>
          <w:p>
            <w:pPr>
              <w:spacing w:after="0"/>
              <w:rPr>
                <w:sz w:val="22"/>
                <w:szCs w:val="22"/>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December 27, 2021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100% stock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17,484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Retail</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net of acquired</w:t>
            </w:r>
          </w:p>
        </w:tc>
        <w:tc>
          <w:tcPr>
            <w:tcW w:w="12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Ultra Aluminum Manufacturing, Inc.</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60" w:type="dxa"/>
            <w:vAlign w:val="bottom"/>
            <w:tcBorders>
              <w:left w:val="single" w:sz="8" w:color="auto"/>
              <w:right w:val="single" w:sz="8" w:color="auto"/>
            </w:tcBorders>
            <w:vMerge w:val="continue"/>
          </w:tcPr>
          <w:p>
            <w:pPr>
              <w:spacing w:after="0"/>
              <w:rPr>
                <w:sz w:val="14"/>
                <w:szCs w:val="14"/>
                <w:color w:val="auto"/>
              </w:rPr>
            </w:pPr>
          </w:p>
        </w:tc>
        <w:tc>
          <w:tcPr>
            <w:tcW w:w="6360" w:type="dxa"/>
            <w:vAlign w:val="bottom"/>
            <w:tcBorders>
              <w:right w:val="single" w:sz="8" w:color="auto"/>
            </w:tcBorders>
            <w:gridSpan w:val="7"/>
          </w:tcPr>
          <w:p>
            <w:pPr>
              <w:spacing w:after="0" w:line="171" w:lineRule="exact"/>
              <w:rPr>
                <w:sz w:val="20"/>
                <w:szCs w:val="20"/>
                <w:color w:val="auto"/>
              </w:rPr>
            </w:pPr>
            <w:r>
              <w:rPr>
                <w:rFonts w:ascii="Times New Roman" w:cs="Times New Roman" w:eastAsia="Times New Roman" w:hAnsi="Times New Roman"/>
                <w:sz w:val="16"/>
                <w:szCs w:val="16"/>
                <w:color w:val="auto"/>
              </w:rPr>
              <w:t>Located in Howell, Michigan and founded in 1996, Ultra is a leading manufacturer of aluminum</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(Ultra)</w:t>
            </w: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fencing, gates and railing. The company designs and produces an extensive selection of</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ornamental aluminum fence and railing products for contractors, landscapers, fence dealers and</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550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color w:val="auto"/>
              </w:rPr>
              <w:t>wholesalers. The Company had sales of approximately $45 million in 2021.</w:t>
            </w: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$20,754</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December 20,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stock</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11,417</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9,337</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Industrial</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Advantage Labels &amp; Packaging, Inc.</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560" w:type="dxa"/>
            <w:vAlign w:val="bottom"/>
            <w:tcBorders>
              <w:left w:val="single" w:sz="8" w:color="auto"/>
              <w:right w:val="single" w:sz="8" w:color="auto"/>
            </w:tcBorders>
            <w:vMerge w:val="continue"/>
            <w:shd w:val="clear" w:color="auto" w:fill="CCEBFF"/>
          </w:tcPr>
          <w:p>
            <w:pPr>
              <w:spacing w:after="0"/>
              <w:rPr>
                <w:sz w:val="14"/>
                <w:szCs w:val="14"/>
                <w:color w:val="auto"/>
              </w:rPr>
            </w:pPr>
          </w:p>
        </w:tc>
        <w:tc>
          <w:tcPr>
            <w:tcW w:w="6360" w:type="dxa"/>
            <w:vAlign w:val="bottom"/>
            <w:tcBorders>
              <w:right w:val="single" w:sz="8" w:color="auto"/>
            </w:tcBorders>
            <w:gridSpan w:val="7"/>
            <w:shd w:val="clear" w:color="auto" w:fill="CCEBFF"/>
          </w:tcPr>
          <w:p>
            <w:pPr>
              <w:spacing w:after="0" w:line="171" w:lineRule="exact"/>
              <w:rPr>
                <w:sz w:val="20"/>
                <w:szCs w:val="20"/>
                <w:color w:val="auto"/>
              </w:rPr>
            </w:pPr>
            <w:r>
              <w:rPr>
                <w:rFonts w:ascii="Times New Roman" w:cs="Times New Roman" w:eastAsia="Times New Roman" w:hAnsi="Times New Roman"/>
                <w:sz w:val="16"/>
                <w:szCs w:val="16"/>
                <w:color w:val="auto"/>
              </w:rPr>
              <w:t>Based in Grand Rapids, Michigan, Advantage provides blank and customized labels, printers,</w:t>
            </w:r>
          </w:p>
        </w:tc>
        <w:tc>
          <w:tcPr>
            <w:tcW w:w="0" w:type="dxa"/>
            <w:vAlign w:val="bottom"/>
          </w:tcPr>
          <w:p>
            <w:pPr>
              <w:spacing w:after="0"/>
              <w:rPr>
                <w:sz w:val="1"/>
                <w:szCs w:val="1"/>
                <w:color w:val="auto"/>
              </w:rPr>
            </w:pPr>
          </w:p>
        </w:tc>
      </w:tr>
      <w:tr>
        <w:trPr>
          <w:trHeight w:val="216"/>
        </w:trPr>
        <w:tc>
          <w:tcPr>
            <w:tcW w:w="2560" w:type="dxa"/>
            <w:vAlign w:val="bottom"/>
            <w:tcBorders>
              <w:left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(Advantage)</w:t>
            </w: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label applicators and other packaging supplies. Key industries served by the company include</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beer and beverage; body armor; food production and processing; greenhouse and nursery; hobby</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and craft; manufacturing; and automotive. The company had trailing 12-month sales through</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November 2021 of approximately $19.8 million.</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$11,155</w:t>
            </w:r>
          </w:p>
        </w:tc>
        <w:tc>
          <w:tcPr>
            <w:tcW w:w="12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November 22, 2021</w:t>
            </w:r>
          </w:p>
        </w:tc>
        <w:tc>
          <w:tcPr>
            <w:tcW w:w="1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cash paid for 70% stock</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9,562</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Ficus Pax Private Limited (Ficus)</w:t>
            </w:r>
          </w:p>
        </w:tc>
        <w:tc>
          <w:tcPr>
            <w:tcW w:w="14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purchase</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tcPr>
          <w:p>
            <w:pPr>
              <w:spacing w:after="0"/>
              <w:rPr>
                <w:sz w:val="16"/>
                <w:szCs w:val="16"/>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Headquartered in Bangalore, India, Ficus manufactures mixed-material cases and crates, nail-less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plywood boxes, wooden pallets and other packaging products through 10 facilities located in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major industrial markets throughout southern India. Ficus also owns a majority stake in Wadpack,</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a manufacturer of corrugated fiber board containers, corrugated pallets and display solutions. The</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gridSpan w:val="7"/>
          </w:tcPr>
          <w:p>
            <w:pPr>
              <w:spacing w:after="0"/>
              <w:rPr>
                <w:sz w:val="20"/>
                <w:szCs w:val="20"/>
                <w:color w:val="auto"/>
              </w:rPr>
            </w:pPr>
            <w:r>
              <w:rPr>
                <w:rFonts w:ascii="Times New Roman" w:cs="Times New Roman" w:eastAsia="Times New Roman" w:hAnsi="Times New Roman"/>
                <w:sz w:val="16"/>
                <w:szCs w:val="16"/>
                <w:color w:val="auto"/>
              </w:rPr>
              <w:t>company had trailing 12-month sales through August 2021 of approximately $39 million USD.</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6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$5,984</w:t>
            </w:r>
          </w:p>
        </w:tc>
        <w:tc>
          <w:tcPr>
            <w:tcW w:w="12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tcBorders>
              <w:left w:val="single" w:sz="8" w:color="auto"/>
              <w:right w:val="single" w:sz="8" w:color="auto"/>
            </w:tcBorders>
            <w:shd w:val="clear" w:color="auto" w:fill="CCEBFF"/>
          </w:tcPr>
          <w:p>
            <w:pPr>
              <w:spacing w:after="0"/>
              <w:rPr>
                <w:sz w:val="22"/>
                <w:szCs w:val="22"/>
                <w:color w:val="auto"/>
              </w:rPr>
            </w:pPr>
          </w:p>
        </w:tc>
        <w:tc>
          <w:tcPr>
            <w:tcW w:w="14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November 1,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20" w:type="dxa"/>
            <w:vAlign w:val="bottom"/>
            <w:shd w:val="clear" w:color="auto" w:fill="CCEB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5,681</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w w:val="98"/>
              </w:rPr>
              <w:t>Other</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right w:val="single" w:sz="8" w:color="auto"/>
            </w:tcBorders>
            <w:shd w:val="clear" w:color="auto" w:fill="CCEBFF"/>
          </w:tcPr>
          <w:p>
            <w:pPr>
              <w:spacing w:after="0"/>
              <w:rPr>
                <w:sz w:val="12"/>
                <w:szCs w:val="12"/>
                <w:color w:val="auto"/>
              </w:rPr>
            </w:pPr>
          </w:p>
        </w:tc>
        <w:tc>
          <w:tcPr>
            <w:tcW w:w="1460" w:type="dxa"/>
            <w:vAlign w:val="bottom"/>
            <w:tcBorders>
              <w:right w:val="single" w:sz="8" w:color="auto"/>
            </w:tcBorders>
            <w:shd w:val="clear" w:color="auto" w:fill="CCEBFF"/>
          </w:tcPr>
          <w:p>
            <w:pPr>
              <w:spacing w:after="0"/>
              <w:rPr>
                <w:sz w:val="12"/>
                <w:szCs w:val="12"/>
                <w:color w:val="auto"/>
              </w:rPr>
            </w:pPr>
          </w:p>
        </w:tc>
        <w:tc>
          <w:tcPr>
            <w:tcW w:w="1760" w:type="dxa"/>
            <w:vAlign w:val="bottom"/>
            <w:tcBorders>
              <w:right w:val="single" w:sz="8" w:color="auto"/>
            </w:tcBorders>
            <w:shd w:val="clear" w:color="auto" w:fill="CCEBFF"/>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20" w:type="dxa"/>
            <w:vAlign w:val="bottom"/>
            <w:shd w:val="clear" w:color="auto" w:fill="CCEBFF"/>
          </w:tcPr>
          <w:p>
            <w:pPr>
              <w:spacing w:after="0"/>
              <w:rPr>
                <w:sz w:val="12"/>
                <w:szCs w:val="12"/>
                <w:color w:val="auto"/>
              </w:rPr>
            </w:pPr>
          </w:p>
        </w:tc>
        <w:tc>
          <w:tcPr>
            <w:tcW w:w="1020" w:type="dxa"/>
            <w:vAlign w:val="bottom"/>
            <w:tcBorders>
              <w:right w:val="single" w:sz="8" w:color="auto"/>
            </w:tcBorders>
            <w:shd w:val="clear" w:color="auto" w:fill="CCEBFF"/>
          </w:tcPr>
          <w:p>
            <w:pPr>
              <w:spacing w:after="0"/>
              <w:rPr>
                <w:sz w:val="12"/>
                <w:szCs w:val="12"/>
                <w:color w:val="auto"/>
              </w:rPr>
            </w:pPr>
          </w:p>
        </w:tc>
        <w:tc>
          <w:tcPr>
            <w:tcW w:w="160" w:type="dxa"/>
            <w:vAlign w:val="bottom"/>
            <w:shd w:val="clear" w:color="auto" w:fill="CCEBFF"/>
          </w:tcPr>
          <w:p>
            <w:pPr>
              <w:spacing w:after="0"/>
              <w:rPr>
                <w:sz w:val="12"/>
                <w:szCs w:val="12"/>
                <w:color w:val="auto"/>
              </w:rPr>
            </w:pPr>
          </w:p>
        </w:tc>
        <w:tc>
          <w:tcPr>
            <w:tcW w:w="980" w:type="dxa"/>
            <w:vAlign w:val="bottom"/>
            <w:tcBorders>
              <w:right w:val="single" w:sz="8" w:color="auto"/>
            </w:tcBorders>
            <w:shd w:val="clear" w:color="auto" w:fill="CCEBFF"/>
          </w:tcPr>
          <w:p>
            <w:pPr>
              <w:spacing w:after="0"/>
              <w:rPr>
                <w:sz w:val="12"/>
                <w:szCs w:val="12"/>
                <w:color w:val="auto"/>
              </w:rPr>
            </w:pPr>
          </w:p>
        </w:tc>
        <w:tc>
          <w:tcPr>
            <w:tcW w:w="86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Boxpack Packaging (Boxpack)</w:t>
            </w:r>
          </w:p>
        </w:tc>
        <w:tc>
          <w:tcPr>
            <w:tcW w:w="146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2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Based near Melbourne, Australia, Boxpack specializes in flexographic and lithographic</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cardboard packaging, using the latest CAD design and finishing techniques. Boxpack serves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multiple industries, including food and beverage, confectionary, pharmaceutical, industrial and</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agricultural. The company had trailing 12-month sales through June 30, 2021, of $6.2 million</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USD ($8.2 million AUD).</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4"/>
        </w:trPr>
        <w:tc>
          <w:tcPr>
            <w:tcW w:w="2560" w:type="dxa"/>
            <w:vAlign w:val="bottom"/>
            <w:tcBorders>
              <w:top w:val="single" w:sz="8" w:color="auto"/>
              <w:left w:val="single" w:sz="8" w:color="auto"/>
              <w:right w:val="single" w:sz="8" w:color="auto"/>
            </w:tcBorders>
          </w:tcPr>
          <w:p>
            <w:pPr>
              <w:spacing w:after="0"/>
              <w:rPr>
                <w:sz w:val="18"/>
                <w:szCs w:val="18"/>
                <w:color w:val="auto"/>
              </w:rPr>
            </w:pPr>
          </w:p>
        </w:tc>
        <w:tc>
          <w:tcPr>
            <w:tcW w:w="1440" w:type="dxa"/>
            <w:vAlign w:val="bottom"/>
            <w:tcBorders>
              <w:top w:val="single" w:sz="8" w:color="auto"/>
              <w:right w:val="single" w:sz="8" w:color="auto"/>
            </w:tcBorders>
          </w:tcPr>
          <w:p>
            <w:pPr>
              <w:spacing w:after="0"/>
              <w:rPr>
                <w:sz w:val="18"/>
                <w:szCs w:val="18"/>
                <w:color w:val="auto"/>
              </w:rPr>
            </w:pPr>
          </w:p>
        </w:tc>
        <w:tc>
          <w:tcPr>
            <w:tcW w:w="17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8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144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Acquisition</w:t>
            </w:r>
          </w:p>
        </w:tc>
        <w:tc>
          <w:tcPr>
            <w:tcW w:w="17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Intangible</w:t>
            </w:r>
          </w:p>
        </w:tc>
        <w:tc>
          <w:tcPr>
            <w:tcW w:w="160" w:type="dxa"/>
            <w:vAlign w:val="bottom"/>
          </w:tcPr>
          <w:p>
            <w:pPr>
              <w:spacing w:after="0"/>
              <w:rPr>
                <w:sz w:val="17"/>
                <w:szCs w:val="17"/>
                <w:color w:val="auto"/>
              </w:rPr>
            </w:pPr>
          </w:p>
        </w:tc>
        <w:tc>
          <w:tcPr>
            <w:tcW w:w="980" w:type="dxa"/>
            <w:vAlign w:val="bottom"/>
            <w:tcBorders>
              <w:right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Tangible</w:t>
            </w:r>
          </w:p>
        </w:tc>
        <w:tc>
          <w:tcPr>
            <w:tcW w:w="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0" w:type="dxa"/>
            <w:vAlign w:val="bottom"/>
          </w:tcPr>
          <w:p>
            <w:pPr>
              <w:spacing w:after="0"/>
              <w:rPr>
                <w:sz w:val="1"/>
                <w:szCs w:val="1"/>
                <w:color w:val="auto"/>
              </w:rPr>
            </w:pPr>
          </w:p>
        </w:tc>
      </w:tr>
      <w:tr>
        <w:trPr>
          <w:trHeight w:val="225"/>
        </w:trPr>
        <w:tc>
          <w:tcPr>
            <w:tcW w:w="2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w:t>
            </w:r>
          </w:p>
        </w:tc>
        <w:tc>
          <w:tcPr>
            <w:tcW w:w="144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 Price</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0" w:type="dxa"/>
            <w:vAlign w:val="bottom"/>
          </w:tcPr>
          <w:p>
            <w:pPr>
              <w:spacing w:after="0"/>
              <w:rPr>
                <w:sz w:val="1"/>
                <w:szCs w:val="1"/>
                <w:color w:val="auto"/>
              </w:rPr>
            </w:pPr>
          </w:p>
        </w:tc>
      </w:tr>
      <w:tr>
        <w:trPr>
          <w:trHeight w:val="189"/>
        </w:trPr>
        <w:tc>
          <w:tcPr>
            <w:tcW w:w="2560" w:type="dxa"/>
            <w:vAlign w:val="bottom"/>
            <w:tcBorders>
              <w:left w:val="single" w:sz="8" w:color="auto"/>
              <w:right w:val="single" w:sz="8" w:color="auto"/>
            </w:tcBorders>
            <w:shd w:val="clear" w:color="auto" w:fill="CCEBFF"/>
          </w:tcPr>
          <w:p>
            <w:pPr>
              <w:spacing w:after="0"/>
              <w:rPr>
                <w:sz w:val="16"/>
                <w:szCs w:val="16"/>
                <w:color w:val="auto"/>
              </w:rPr>
            </w:pPr>
          </w:p>
        </w:tc>
        <w:tc>
          <w:tcPr>
            <w:tcW w:w="1440" w:type="dxa"/>
            <w:vAlign w:val="bottom"/>
            <w:tcBorders>
              <w:right w:val="single" w:sz="8" w:color="auto"/>
            </w:tcBorders>
            <w:shd w:val="clear" w:color="auto" w:fill="CCEBFF"/>
          </w:tcPr>
          <w:p>
            <w:pPr>
              <w:spacing w:after="0"/>
              <w:rPr>
                <w:sz w:val="16"/>
                <w:szCs w:val="16"/>
                <w:color w:val="auto"/>
              </w:rPr>
            </w:pP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$6,443</w:t>
            </w:r>
          </w:p>
        </w:tc>
        <w:tc>
          <w:tcPr>
            <w:tcW w:w="140" w:type="dxa"/>
            <w:vAlign w:val="bottom"/>
            <w:shd w:val="clear" w:color="auto" w:fill="CCEBFF"/>
          </w:tcPr>
          <w:p>
            <w:pPr>
              <w:spacing w:after="0"/>
              <w:rPr>
                <w:sz w:val="16"/>
                <w:szCs w:val="16"/>
                <w:color w:val="auto"/>
              </w:rPr>
            </w:pPr>
          </w:p>
        </w:tc>
        <w:tc>
          <w:tcPr>
            <w:tcW w:w="1020" w:type="dxa"/>
            <w:vAlign w:val="bottom"/>
            <w:tcBorders>
              <w:right w:val="single" w:sz="8" w:color="auto"/>
            </w:tcBorders>
            <w:shd w:val="clear" w:color="auto" w:fill="CCEBFF"/>
          </w:tcPr>
          <w:p>
            <w:pPr>
              <w:spacing w:after="0"/>
              <w:rPr>
                <w:sz w:val="16"/>
                <w:szCs w:val="16"/>
                <w:color w:val="auto"/>
              </w:rPr>
            </w:pPr>
          </w:p>
        </w:tc>
        <w:tc>
          <w:tcPr>
            <w:tcW w:w="160" w:type="dxa"/>
            <w:vAlign w:val="bottom"/>
            <w:shd w:val="clear" w:color="auto" w:fill="CCEBFF"/>
          </w:tcPr>
          <w:p>
            <w:pPr>
              <w:spacing w:after="0"/>
              <w:rPr>
                <w:sz w:val="16"/>
                <w:szCs w:val="16"/>
                <w:color w:val="auto"/>
              </w:rPr>
            </w:pPr>
          </w:p>
        </w:tc>
        <w:tc>
          <w:tcPr>
            <w:tcW w:w="980" w:type="dxa"/>
            <w:vAlign w:val="bottom"/>
            <w:tcBorders>
              <w:right w:val="single" w:sz="8" w:color="auto"/>
            </w:tcBorders>
            <w:shd w:val="clear" w:color="auto" w:fill="CCEBFF"/>
          </w:tcPr>
          <w:p>
            <w:pPr>
              <w:spacing w:after="0"/>
              <w:rPr>
                <w:sz w:val="16"/>
                <w:szCs w:val="16"/>
                <w:color w:val="auto"/>
              </w:rPr>
            </w:pPr>
          </w:p>
        </w:tc>
        <w:tc>
          <w:tcPr>
            <w:tcW w:w="860" w:type="dxa"/>
            <w:vAlign w:val="bottom"/>
            <w:tcBorders>
              <w:right w:val="single" w:sz="8" w:color="auto"/>
            </w:tcBorders>
            <w:shd w:val="clear" w:color="auto" w:fill="CCEB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560" w:type="dxa"/>
            <w:vAlign w:val="bottom"/>
            <w:tcBorders>
              <w:left w:val="single" w:sz="8" w:color="auto"/>
              <w:right w:val="single" w:sz="8" w:color="auto"/>
            </w:tcBorders>
            <w:shd w:val="clear" w:color="auto" w:fill="CCEBFF"/>
          </w:tcPr>
          <w:p>
            <w:pPr>
              <w:spacing w:after="0"/>
              <w:rPr>
                <w:sz w:val="22"/>
                <w:szCs w:val="22"/>
                <w:color w:val="auto"/>
              </w:rPr>
            </w:pPr>
          </w:p>
        </w:tc>
        <w:tc>
          <w:tcPr>
            <w:tcW w:w="1440" w:type="dxa"/>
            <w:vAlign w:val="bottom"/>
            <w:tcBorders>
              <w:right w:val="single" w:sz="8" w:color="auto"/>
            </w:tcBorders>
            <w:shd w:val="clear" w:color="auto" w:fill="CCEBFF"/>
          </w:tcPr>
          <w:p>
            <w:pPr>
              <w:ind w:left="60"/>
              <w:spacing w:after="0"/>
              <w:rPr>
                <w:sz w:val="20"/>
                <w:szCs w:val="20"/>
                <w:color w:val="auto"/>
              </w:rPr>
            </w:pPr>
            <w:r>
              <w:rPr>
                <w:rFonts w:ascii="Times New Roman" w:cs="Times New Roman" w:eastAsia="Times New Roman" w:hAnsi="Times New Roman"/>
                <w:sz w:val="16"/>
                <w:szCs w:val="16"/>
                <w:color w:val="auto"/>
              </w:rPr>
              <w:t>September 27, 2021</w:t>
            </w:r>
          </w:p>
        </w:tc>
        <w:tc>
          <w:tcPr>
            <w:tcW w:w="17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cash paid for 100% asset</w:t>
            </w:r>
          </w:p>
        </w:tc>
        <w:tc>
          <w:tcPr>
            <w:tcW w:w="14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60" w:type="dxa"/>
            <w:vAlign w:val="bottom"/>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right w:val="single" w:sz="8" w:color="auto"/>
            </w:tcBorders>
            <w:shd w:val="clear" w:color="auto" w:fill="CCEBFF"/>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860" w:type="dxa"/>
            <w:vAlign w:val="bottom"/>
            <w:tcBorders>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Construction</w:t>
            </w:r>
          </w:p>
        </w:tc>
        <w:tc>
          <w:tcPr>
            <w:tcW w:w="0" w:type="dxa"/>
            <w:vAlign w:val="bottom"/>
          </w:tcPr>
          <w:p>
            <w:pPr>
              <w:spacing w:after="0"/>
              <w:rPr>
                <w:sz w:val="1"/>
                <w:szCs w:val="1"/>
                <w:color w:val="auto"/>
              </w:rPr>
            </w:pPr>
          </w:p>
        </w:tc>
      </w:tr>
      <w:tr>
        <w:trPr>
          <w:trHeight w:val="148"/>
        </w:trPr>
        <w:tc>
          <w:tcPr>
            <w:tcW w:w="2560" w:type="dxa"/>
            <w:vAlign w:val="bottom"/>
            <w:tcBorders>
              <w:left w:val="single" w:sz="8" w:color="auto"/>
              <w:right w:val="single" w:sz="8" w:color="auto"/>
            </w:tcBorders>
            <w:shd w:val="clear" w:color="auto" w:fill="CCEBFF"/>
          </w:tcPr>
          <w:p>
            <w:pPr>
              <w:spacing w:after="0"/>
              <w:rPr>
                <w:sz w:val="12"/>
                <w:szCs w:val="12"/>
                <w:color w:val="auto"/>
              </w:rPr>
            </w:pPr>
          </w:p>
        </w:tc>
        <w:tc>
          <w:tcPr>
            <w:tcW w:w="1440" w:type="dxa"/>
            <w:vAlign w:val="bottom"/>
            <w:tcBorders>
              <w:right w:val="single" w:sz="8" w:color="auto"/>
            </w:tcBorders>
            <w:shd w:val="clear" w:color="auto" w:fill="CCEBFF"/>
          </w:tcPr>
          <w:p>
            <w:pPr>
              <w:spacing w:after="0"/>
              <w:rPr>
                <w:sz w:val="12"/>
                <w:szCs w:val="12"/>
                <w:color w:val="auto"/>
              </w:rPr>
            </w:pPr>
          </w:p>
        </w:tc>
        <w:tc>
          <w:tcPr>
            <w:tcW w:w="1760" w:type="dxa"/>
            <w:vAlign w:val="bottom"/>
            <w:tcBorders>
              <w:right w:val="single" w:sz="8" w:color="auto"/>
            </w:tcBorders>
            <w:shd w:val="clear" w:color="auto" w:fill="CCEBFF"/>
          </w:tcPr>
          <w:p>
            <w:pPr>
              <w:jc w:val="center"/>
              <w:spacing w:after="0" w:line="148" w:lineRule="exact"/>
              <w:rPr>
                <w:sz w:val="20"/>
                <w:szCs w:val="20"/>
                <w:color w:val="auto"/>
              </w:rPr>
            </w:pPr>
            <w:r>
              <w:rPr>
                <w:rFonts w:ascii="Times New Roman" w:cs="Times New Roman" w:eastAsia="Times New Roman" w:hAnsi="Times New Roman"/>
                <w:sz w:val="16"/>
                <w:szCs w:val="16"/>
                <w:color w:val="auto"/>
              </w:rPr>
              <w:t>purchase and estimated</w:t>
            </w:r>
          </w:p>
        </w:tc>
        <w:tc>
          <w:tcPr>
            <w:tcW w:w="140" w:type="dxa"/>
            <w:vAlign w:val="bottom"/>
            <w:shd w:val="clear" w:color="auto" w:fill="CCEBFF"/>
          </w:tcPr>
          <w:p>
            <w:pPr>
              <w:spacing w:after="0"/>
              <w:rPr>
                <w:sz w:val="12"/>
                <w:szCs w:val="12"/>
                <w:color w:val="auto"/>
              </w:rPr>
            </w:pPr>
          </w:p>
        </w:tc>
        <w:tc>
          <w:tcPr>
            <w:tcW w:w="1020" w:type="dxa"/>
            <w:vAlign w:val="bottom"/>
            <w:tcBorders>
              <w:right w:val="single" w:sz="8" w:color="auto"/>
            </w:tcBorders>
            <w:shd w:val="clear" w:color="auto" w:fill="CCEBFF"/>
          </w:tcPr>
          <w:p>
            <w:pPr>
              <w:spacing w:after="0"/>
              <w:rPr>
                <w:sz w:val="12"/>
                <w:szCs w:val="12"/>
                <w:color w:val="auto"/>
              </w:rPr>
            </w:pPr>
          </w:p>
        </w:tc>
        <w:tc>
          <w:tcPr>
            <w:tcW w:w="160" w:type="dxa"/>
            <w:vAlign w:val="bottom"/>
            <w:shd w:val="clear" w:color="auto" w:fill="CCEBFF"/>
          </w:tcPr>
          <w:p>
            <w:pPr>
              <w:spacing w:after="0"/>
              <w:rPr>
                <w:sz w:val="12"/>
                <w:szCs w:val="12"/>
                <w:color w:val="auto"/>
              </w:rPr>
            </w:pPr>
          </w:p>
        </w:tc>
        <w:tc>
          <w:tcPr>
            <w:tcW w:w="980" w:type="dxa"/>
            <w:vAlign w:val="bottom"/>
            <w:tcBorders>
              <w:right w:val="single" w:sz="8" w:color="auto"/>
            </w:tcBorders>
            <w:shd w:val="clear" w:color="auto" w:fill="CCEBFF"/>
          </w:tcPr>
          <w:p>
            <w:pPr>
              <w:spacing w:after="0"/>
              <w:rPr>
                <w:sz w:val="12"/>
                <w:szCs w:val="12"/>
                <w:color w:val="auto"/>
              </w:rPr>
            </w:pPr>
          </w:p>
        </w:tc>
        <w:tc>
          <w:tcPr>
            <w:tcW w:w="860" w:type="dxa"/>
            <w:vAlign w:val="bottom"/>
            <w:tcBorders>
              <w:right w:val="single" w:sz="8" w:color="auto"/>
            </w:tcBorders>
            <w:shd w:val="clear" w:color="auto" w:fill="CCEBFF"/>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560" w:type="dxa"/>
            <w:vAlign w:val="bottom"/>
            <w:tcBorders>
              <w:left w:val="single" w:sz="8" w:color="auto"/>
              <w:bottom w:val="single" w:sz="8" w:color="CCEBFF"/>
              <w:right w:val="single" w:sz="8" w:color="auto"/>
            </w:tcBorders>
            <w:vMerge w:val="restart"/>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Shelter Products, Inc. (Shelter)</w:t>
            </w:r>
          </w:p>
        </w:tc>
        <w:tc>
          <w:tcPr>
            <w:tcW w:w="1440" w:type="dxa"/>
            <w:vAlign w:val="bottom"/>
            <w:tcBorders>
              <w:bottom w:val="single" w:sz="8" w:color="auto"/>
              <w:right w:val="single" w:sz="8" w:color="auto"/>
            </w:tcBorders>
            <w:shd w:val="clear" w:color="auto" w:fill="CCEBFF"/>
          </w:tcPr>
          <w:p>
            <w:pPr>
              <w:spacing w:after="0"/>
              <w:rPr>
                <w:sz w:val="18"/>
                <w:szCs w:val="18"/>
                <w:color w:val="auto"/>
              </w:rPr>
            </w:pPr>
          </w:p>
        </w:tc>
        <w:tc>
          <w:tcPr>
            <w:tcW w:w="1760" w:type="dxa"/>
            <w:vAlign w:val="bottom"/>
            <w:tcBorders>
              <w:bottom w:val="single" w:sz="8" w:color="auto"/>
              <w:right w:val="single" w:sz="8" w:color="auto"/>
            </w:tcBorders>
            <w:shd w:val="clear" w:color="auto" w:fill="CCEBFF"/>
          </w:tcPr>
          <w:p>
            <w:pPr>
              <w:jc w:val="center"/>
              <w:spacing w:after="0"/>
              <w:rPr>
                <w:sz w:val="20"/>
                <w:szCs w:val="20"/>
                <w:color w:val="auto"/>
              </w:rPr>
            </w:pPr>
            <w:r>
              <w:rPr>
                <w:rFonts w:ascii="Times New Roman" w:cs="Times New Roman" w:eastAsia="Times New Roman" w:hAnsi="Times New Roman"/>
                <w:sz w:val="16"/>
                <w:szCs w:val="16"/>
                <w:color w:val="auto"/>
              </w:rPr>
              <w:t>contingent consideration</w:t>
            </w:r>
          </w:p>
        </w:tc>
        <w:tc>
          <w:tcPr>
            <w:tcW w:w="140" w:type="dxa"/>
            <w:vAlign w:val="bottom"/>
            <w:tcBorders>
              <w:bottom w:val="single" w:sz="8" w:color="auto"/>
            </w:tcBorders>
            <w:shd w:val="clear" w:color="auto" w:fill="CCEBFF"/>
          </w:tcPr>
          <w:p>
            <w:pPr>
              <w:spacing w:after="0"/>
              <w:rPr>
                <w:sz w:val="18"/>
                <w:szCs w:val="18"/>
                <w:color w:val="auto"/>
              </w:rPr>
            </w:pPr>
          </w:p>
        </w:tc>
        <w:tc>
          <w:tcPr>
            <w:tcW w:w="1020" w:type="dxa"/>
            <w:vAlign w:val="bottom"/>
            <w:tcBorders>
              <w:bottom w:val="single" w:sz="8" w:color="auto"/>
              <w:right w:val="single" w:sz="8" w:color="auto"/>
            </w:tcBorders>
            <w:shd w:val="clear" w:color="auto" w:fill="CCEBFF"/>
          </w:tcPr>
          <w:p>
            <w:pPr>
              <w:spacing w:after="0"/>
              <w:rPr>
                <w:sz w:val="18"/>
                <w:szCs w:val="18"/>
                <w:color w:val="auto"/>
              </w:rPr>
            </w:pPr>
          </w:p>
        </w:tc>
        <w:tc>
          <w:tcPr>
            <w:tcW w:w="160" w:type="dxa"/>
            <w:vAlign w:val="bottom"/>
            <w:tcBorders>
              <w:bottom w:val="single" w:sz="8" w:color="auto"/>
            </w:tcBorders>
            <w:shd w:val="clear" w:color="auto" w:fill="CCEBFF"/>
          </w:tcPr>
          <w:p>
            <w:pPr>
              <w:spacing w:after="0"/>
              <w:rPr>
                <w:sz w:val="18"/>
                <w:szCs w:val="18"/>
                <w:color w:val="auto"/>
              </w:rPr>
            </w:pPr>
          </w:p>
        </w:tc>
        <w:tc>
          <w:tcPr>
            <w:tcW w:w="980" w:type="dxa"/>
            <w:vAlign w:val="bottom"/>
            <w:tcBorders>
              <w:bottom w:val="single" w:sz="8" w:color="auto"/>
              <w:right w:val="single" w:sz="8" w:color="auto"/>
            </w:tcBorders>
            <w:shd w:val="clear" w:color="auto" w:fill="CCEBFF"/>
          </w:tcPr>
          <w:p>
            <w:pPr>
              <w:spacing w:after="0"/>
              <w:rPr>
                <w:sz w:val="18"/>
                <w:szCs w:val="18"/>
                <w:color w:val="auto"/>
              </w:rPr>
            </w:pPr>
          </w:p>
        </w:tc>
        <w:tc>
          <w:tcPr>
            <w:tcW w:w="860" w:type="dxa"/>
            <w:vAlign w:val="bottom"/>
            <w:tcBorders>
              <w:bottom w:val="single" w:sz="8" w:color="auto"/>
              <w:right w:val="single" w:sz="8" w:color="auto"/>
            </w:tcBorders>
            <w:shd w:val="clear" w:color="auto" w:fill="CCEB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560" w:type="dxa"/>
            <w:vAlign w:val="bottom"/>
            <w:tcBorders>
              <w:left w:val="single" w:sz="8" w:color="auto"/>
              <w:right w:val="single" w:sz="8" w:color="auto"/>
            </w:tcBorders>
            <w:vMerge w:val="continue"/>
            <w:shd w:val="clear" w:color="auto" w:fill="CCEBFF"/>
          </w:tcPr>
          <w:p>
            <w:pPr>
              <w:spacing w:after="0"/>
              <w:rPr>
                <w:sz w:val="16"/>
                <w:szCs w:val="16"/>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Based in Haleyville, Alabama, Shelter operates its distribution and logistics business from an</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87,800 sq.-ft. warehouse that specializes in manufactured housing industry customers. Shelter’s</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facility is adjacent to a UFP manufacturing facility that supplies trusses to manufactured housing</w:t>
            </w:r>
          </w:p>
        </w:tc>
        <w:tc>
          <w:tcPr>
            <w:tcW w:w="0" w:type="dxa"/>
            <w:vAlign w:val="bottom"/>
          </w:tcPr>
          <w:p>
            <w:pPr>
              <w:spacing w:after="0"/>
              <w:rPr>
                <w:sz w:val="1"/>
                <w:szCs w:val="1"/>
                <w:color w:val="auto"/>
              </w:rPr>
            </w:pPr>
          </w:p>
        </w:tc>
      </w:tr>
      <w:tr>
        <w:trPr>
          <w:trHeight w:val="203"/>
        </w:trPr>
        <w:tc>
          <w:tcPr>
            <w:tcW w:w="2560" w:type="dxa"/>
            <w:vAlign w:val="bottom"/>
            <w:tcBorders>
              <w:left w:val="single" w:sz="8" w:color="auto"/>
              <w:right w:val="single" w:sz="8" w:color="auto"/>
            </w:tcBorders>
            <w:shd w:val="clear" w:color="auto" w:fill="CCEBFF"/>
          </w:tcPr>
          <w:p>
            <w:pPr>
              <w:spacing w:after="0"/>
              <w:rPr>
                <w:sz w:val="17"/>
                <w:szCs w:val="17"/>
                <w:color w:val="auto"/>
              </w:rPr>
            </w:pPr>
          </w:p>
        </w:tc>
        <w:tc>
          <w:tcPr>
            <w:tcW w:w="6360" w:type="dxa"/>
            <w:vAlign w:val="bottom"/>
            <w:tcBorders>
              <w:right w:val="single" w:sz="8" w:color="auto"/>
            </w:tcBorders>
            <w:gridSpan w:val="7"/>
            <w:shd w:val="clear" w:color="auto" w:fill="CCEBFF"/>
          </w:tcPr>
          <w:p>
            <w:pPr>
              <w:spacing w:after="0"/>
              <w:rPr>
                <w:sz w:val="20"/>
                <w:szCs w:val="20"/>
                <w:color w:val="auto"/>
              </w:rPr>
            </w:pPr>
            <w:r>
              <w:rPr>
                <w:rFonts w:ascii="Times New Roman" w:cs="Times New Roman" w:eastAsia="Times New Roman" w:hAnsi="Times New Roman"/>
                <w:sz w:val="16"/>
                <w:szCs w:val="16"/>
                <w:color w:val="auto"/>
              </w:rPr>
              <w:t>builders, and the proximity will enable additional operational synergies. The Company had sales</w:t>
            </w:r>
          </w:p>
        </w:tc>
        <w:tc>
          <w:tcPr>
            <w:tcW w:w="0" w:type="dxa"/>
            <w:vAlign w:val="bottom"/>
          </w:tcPr>
          <w:p>
            <w:pPr>
              <w:spacing w:after="0"/>
              <w:rPr>
                <w:sz w:val="1"/>
                <w:szCs w:val="1"/>
                <w:color w:val="auto"/>
              </w:rPr>
            </w:pPr>
          </w:p>
        </w:tc>
      </w:tr>
      <w:tr>
        <w:trPr>
          <w:trHeight w:val="223"/>
        </w:trPr>
        <w:tc>
          <w:tcPr>
            <w:tcW w:w="2560" w:type="dxa"/>
            <w:vAlign w:val="bottom"/>
            <w:tcBorders>
              <w:left w:val="single" w:sz="8" w:color="auto"/>
              <w:bottom w:val="single" w:sz="8" w:color="auto"/>
              <w:right w:val="single" w:sz="8" w:color="auto"/>
            </w:tcBorders>
            <w:shd w:val="clear" w:color="auto" w:fill="CCEBFF"/>
          </w:tcPr>
          <w:p>
            <w:pPr>
              <w:spacing w:after="0"/>
              <w:rPr>
                <w:sz w:val="19"/>
                <w:szCs w:val="19"/>
                <w:color w:val="auto"/>
              </w:rPr>
            </w:pPr>
          </w:p>
        </w:tc>
        <w:tc>
          <w:tcPr>
            <w:tcW w:w="3340" w:type="dxa"/>
            <w:vAlign w:val="bottom"/>
            <w:tcBorders>
              <w:bottom w:val="single" w:sz="8" w:color="auto"/>
            </w:tcBorders>
            <w:gridSpan w:val="3"/>
            <w:shd w:val="clear" w:color="auto" w:fill="CCEBFF"/>
          </w:tcPr>
          <w:p>
            <w:pPr>
              <w:spacing w:after="0"/>
              <w:rPr>
                <w:sz w:val="20"/>
                <w:szCs w:val="20"/>
                <w:color w:val="auto"/>
              </w:rPr>
            </w:pPr>
            <w:r>
              <w:rPr>
                <w:rFonts w:ascii="Times New Roman" w:cs="Times New Roman" w:eastAsia="Times New Roman" w:hAnsi="Times New Roman"/>
                <w:sz w:val="16"/>
                <w:szCs w:val="16"/>
                <w:color w:val="auto"/>
              </w:rPr>
              <w:t>of approximately $11.4 million in 2020.</w:t>
            </w:r>
          </w:p>
        </w:tc>
        <w:tc>
          <w:tcPr>
            <w:tcW w:w="1020" w:type="dxa"/>
            <w:vAlign w:val="bottom"/>
            <w:tcBorders>
              <w:bottom w:val="single" w:sz="8" w:color="auto"/>
              <w:right w:val="single" w:sz="8" w:color="CCEBFF"/>
            </w:tcBorders>
            <w:shd w:val="clear" w:color="auto" w:fill="CCEBFF"/>
          </w:tcPr>
          <w:p>
            <w:pPr>
              <w:spacing w:after="0"/>
              <w:rPr>
                <w:sz w:val="19"/>
                <w:szCs w:val="19"/>
                <w:color w:val="auto"/>
              </w:rPr>
            </w:pPr>
          </w:p>
        </w:tc>
        <w:tc>
          <w:tcPr>
            <w:tcW w:w="160" w:type="dxa"/>
            <w:vAlign w:val="bottom"/>
            <w:tcBorders>
              <w:bottom w:val="single" w:sz="8" w:color="auto"/>
            </w:tcBorders>
            <w:shd w:val="clear" w:color="auto" w:fill="CCEBFF"/>
          </w:tcPr>
          <w:p>
            <w:pPr>
              <w:spacing w:after="0"/>
              <w:rPr>
                <w:sz w:val="19"/>
                <w:szCs w:val="19"/>
                <w:color w:val="auto"/>
              </w:rPr>
            </w:pPr>
          </w:p>
        </w:tc>
        <w:tc>
          <w:tcPr>
            <w:tcW w:w="980" w:type="dxa"/>
            <w:vAlign w:val="bottom"/>
            <w:tcBorders>
              <w:bottom w:val="single" w:sz="8" w:color="auto"/>
              <w:right w:val="single" w:sz="8" w:color="CCEBFF"/>
            </w:tcBorders>
            <w:shd w:val="clear" w:color="auto" w:fill="CCEBFF"/>
          </w:tcPr>
          <w:p>
            <w:pPr>
              <w:spacing w:after="0"/>
              <w:rPr>
                <w:sz w:val="19"/>
                <w:szCs w:val="19"/>
                <w:color w:val="auto"/>
              </w:rPr>
            </w:pPr>
          </w:p>
        </w:tc>
        <w:tc>
          <w:tcPr>
            <w:tcW w:w="860" w:type="dxa"/>
            <w:vAlign w:val="bottom"/>
            <w:tcBorders>
              <w:bottom w:val="single" w:sz="8" w:color="auto"/>
              <w:right w:val="single" w:sz="8" w:color="auto"/>
            </w:tcBorders>
            <w:shd w:val="clear" w:color="auto" w:fill="CCEB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firstLine="492"/>
        <w:spacing w:after="0" w:line="261" w:lineRule="auto"/>
        <w:rPr>
          <w:sz w:val="20"/>
          <w:szCs w:val="20"/>
          <w:color w:val="auto"/>
        </w:rPr>
      </w:pPr>
      <w:r>
        <w:rPr>
          <w:rFonts w:ascii="Times New Roman" w:cs="Times New Roman" w:eastAsia="Times New Roman" w:hAnsi="Times New Roman"/>
          <w:sz w:val="18"/>
          <w:szCs w:val="18"/>
          <w:color w:val="auto"/>
        </w:rPr>
        <w:t>The intangible assets for the above acquisitions have not been finalized and allocated to their respective identifiable asset and goodwill accounts. In aggregate, acquisitions completed since the end of June 2021 and not consolidated with other operations contributed approximately $53.7 million in net sales and $3.2 million in operating profits during the first six months of 2022.</w:t>
      </w:r>
    </w:p>
    <w:p>
      <w:pPr>
        <w:spacing w:after="0" w:line="176" w:lineRule="exact"/>
        <w:rPr>
          <w:sz w:val="20"/>
          <w:szCs w:val="20"/>
          <w:color w:val="auto"/>
        </w:rPr>
      </w:pPr>
    </w:p>
    <w:p>
      <w:pPr>
        <w:ind w:left="560" w:hanging="510"/>
        <w:spacing w:after="0"/>
        <w:tabs>
          <w:tab w:leader="none" w:pos="5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left="60" w:right="59" w:firstLine="492"/>
        <w:spacing w:after="0" w:line="255" w:lineRule="auto"/>
        <w:rPr>
          <w:sz w:val="20"/>
          <w:szCs w:val="20"/>
          <w:color w:val="auto"/>
        </w:rPr>
      </w:pPr>
      <w:r>
        <w:rPr>
          <w:rFonts w:ascii="Times New Roman" w:cs="Times New Roman" w:eastAsia="Times New Roman" w:hAnsi="Times New Roman"/>
          <w:sz w:val="18"/>
          <w:szCs w:val="18"/>
          <w:color w:val="auto"/>
        </w:rPr>
        <w:t>We operate manufacturing, treating and distribution facilities internationally, but primarily in the United States. Our business segments consist of UFP Retail Solutions, UFP Industrial and UFP Construction and align with the end markets we serve. This segment structure allows for a specialized and consistent sales approach among Company operations,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In the case of locations which serve multiple segments, results are allocated and accounted for by segment.</w:t>
      </w:r>
    </w:p>
    <w:p>
      <w:pPr>
        <w:spacing w:after="0" w:line="189" w:lineRule="exact"/>
        <w:rPr>
          <w:sz w:val="20"/>
          <w:szCs w:val="20"/>
          <w:color w:val="auto"/>
        </w:rPr>
      </w:pPr>
    </w:p>
    <w:p>
      <w:pPr>
        <w:jc w:val="both"/>
        <w:ind w:left="60" w:right="59" w:firstLine="492"/>
        <w:spacing w:after="0" w:line="256" w:lineRule="auto"/>
        <w:rPr>
          <w:sz w:val="20"/>
          <w:szCs w:val="20"/>
          <w:color w:val="auto"/>
        </w:rPr>
      </w:pPr>
      <w:r>
        <w:rPr>
          <w:rFonts w:ascii="Times New Roman" w:cs="Times New Roman" w:eastAsia="Times New Roman" w:hAnsi="Times New Roman"/>
          <w:sz w:val="18"/>
          <w:szCs w:val="18"/>
          <w:color w:val="auto"/>
        </w:rPr>
        <w:t>The exception to this market-centered reporting and management structure is our International segment, which comprises our Mexico, Canada, Europe, India, and Australia operations and sales and buying offices in other parts of the world and our Ardellis segment, which represents our wholly owned fully licensed captive insurance company based in Bermuda. Our International and Ardellis segments do not meet the quantitative thresholds in order to be separately reported and accordingly, the International and Ardellis segments have been aggregated in the “All Other” segment for reporting purposes.</w:t>
      </w:r>
    </w:p>
    <w:p>
      <w:pPr>
        <w:spacing w:after="0" w:line="187" w:lineRule="exact"/>
        <w:rPr>
          <w:sz w:val="20"/>
          <w:szCs w:val="20"/>
          <w:color w:val="auto"/>
        </w:rPr>
      </w:pPr>
    </w:p>
    <w:p>
      <w:pPr>
        <w:jc w:val="both"/>
        <w:ind w:left="60" w:right="59" w:firstLine="492"/>
        <w:spacing w:after="0" w:line="254" w:lineRule="auto"/>
        <w:rPr>
          <w:sz w:val="20"/>
          <w:szCs w:val="20"/>
          <w:color w:val="auto"/>
        </w:rPr>
      </w:pPr>
      <w:r>
        <w:rPr>
          <w:rFonts w:ascii="Times New Roman" w:cs="Times New Roman" w:eastAsia="Times New Roman" w:hAnsi="Times New Roman"/>
          <w:sz w:val="18"/>
          <w:szCs w:val="18"/>
          <w:color w:val="auto"/>
        </w:rPr>
        <w:t>“Corporate” includes purchasing, transportation and administrative functions that serve our operating segments. Operating results of Corporate primarily consist of net sales to external customers initiated by UFP Purchasing and UFP Transportation and over (under) allocated costs. The operating results of UFP Real Estate, Inc., which owns and leases real estate, and UFP Transportation Ltd., which owns, leases and operates transportation equipment, are also included in the Corporate column. Inter-company lease and service charges are assessed to our operating segments for the use of these assets and services at fair market value rates. Total assets in the Corporate column include unallocated cash and cash equivalents, certain prepaid assets, certain property, equipment and other assets pertaining to the centralized activities of Corporate, UFP Real Estate, Inc., UFP Transportation, Inc., UFP Purchasing, Inc., and UFP RMS, LLC. The tables below are presented 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0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25, 2022</w:t>
            </w: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000" w:type="dxa"/>
            <w:vAlign w:val="bottom"/>
          </w:tcPr>
          <w:p>
            <w:pPr>
              <w:spacing w:after="0"/>
              <w:rPr>
                <w:sz w:val="13"/>
                <w:szCs w:val="13"/>
                <w:color w:val="auto"/>
              </w:rPr>
            </w:pPr>
          </w:p>
        </w:tc>
        <w:tc>
          <w:tcPr>
            <w:tcW w:w="10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96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r>
      <w:tr>
        <w:trPr>
          <w:trHeight w:val="21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$ 1,121,440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$ 676,333</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$ 975,376</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$ 124,416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$ 2,900,874</w:t>
            </w:r>
          </w:p>
        </w:tc>
        <w:tc>
          <w:tcPr>
            <w:tcW w:w="20" w:type="dxa"/>
            <w:vAlign w:val="bottom"/>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21,487</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31,866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(246,858)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24,527</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94,210</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132,832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285,566</w:t>
            </w:r>
          </w:p>
        </w:tc>
        <w:tc>
          <w:tcPr>
            <w:tcW w:w="20" w:type="dxa"/>
            <w:vAlign w:val="bottom"/>
          </w:tcPr>
          <w:p>
            <w:pPr>
              <w:spacing w:after="0"/>
              <w:rPr>
                <w:sz w:val="18"/>
                <w:szCs w:val="18"/>
                <w:color w:val="auto"/>
              </w:rPr>
            </w:pPr>
          </w:p>
        </w:tc>
      </w:tr>
      <w:tr>
        <w:trPr>
          <w:trHeight w:val="864"/>
        </w:trPr>
        <w:tc>
          <w:tcPr>
            <w:tcW w:w="3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26, 2021</w:t>
            </w: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6"/>
        </w:trPr>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$ 1,259,218</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$ 611,181</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$ 738,704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2,700,541</w:t>
            </w: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65,147</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24,985</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20,034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(236,220)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1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62,051</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79,526</w:t>
            </w: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236,935</w:t>
            </w:r>
          </w:p>
        </w:tc>
      </w:tr>
      <w:tr>
        <w:trPr>
          <w:trHeight w:val="601"/>
        </w:trPr>
        <w:tc>
          <w:tcPr>
            <w:tcW w:w="2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25, 2022</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5"/>
        </w:trPr>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3"/>
                <w:szCs w:val="13"/>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$ 2,114,672</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$ 1,287,702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$ 1,761,847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219,983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5,390,187</w:t>
            </w: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133,560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43,660</w:t>
            </w: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57,218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(470,103)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176,601</w:t>
            </w: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544,591</w:t>
            </w:r>
          </w:p>
        </w:tc>
      </w:tr>
      <w:tr>
        <w:trPr>
          <w:trHeight w:val="385"/>
        </w:trPr>
        <w:tc>
          <w:tcPr>
            <w:tcW w:w="27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26, 2021</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55"/>
        </w:trPr>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Retail</w:t>
            </w:r>
          </w:p>
        </w:tc>
        <w:tc>
          <w:tcPr>
            <w:tcW w:w="80" w:type="dxa"/>
            <w:vAlign w:val="bottom"/>
          </w:tcPr>
          <w:p>
            <w:pPr>
              <w:spacing w:after="0"/>
              <w:rPr>
                <w:sz w:val="13"/>
                <w:szCs w:val="13"/>
                <w:color w:val="auto"/>
              </w:rPr>
            </w:pPr>
          </w:p>
        </w:tc>
        <w:tc>
          <w:tcPr>
            <w:tcW w:w="90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100" w:type="dxa"/>
            <w:vAlign w:val="bottom"/>
          </w:tcPr>
          <w:p>
            <w:pPr>
              <w:spacing w:after="0"/>
              <w:rPr>
                <w:sz w:val="13"/>
                <w:szCs w:val="13"/>
                <w:color w:val="auto"/>
              </w:rPr>
            </w:pPr>
          </w:p>
        </w:tc>
        <w:tc>
          <w:tcPr>
            <w:tcW w:w="8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9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3"/>
                <w:szCs w:val="13"/>
                <w:color w:val="auto"/>
              </w:rPr>
            </w:pPr>
          </w:p>
        </w:tc>
        <w:tc>
          <w:tcPr>
            <w:tcW w:w="820" w:type="dxa"/>
            <w:vAlign w:val="bottom"/>
          </w:tcPr>
          <w:p>
            <w:pPr>
              <w:jc w:val="right"/>
              <w:ind w:right="235"/>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 to outside customers</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$ 2,018,239</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$ 1,060,055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$ 1,298,234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4,525,545</w:t>
            </w:r>
          </w:p>
        </w:tc>
      </w:tr>
      <w:tr>
        <w:trPr>
          <w:trHeight w:val="216"/>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net sales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42,891</w:t>
            </w:r>
          </w:p>
        </w:tc>
        <w:tc>
          <w:tcPr>
            <w:tcW w:w="4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34,495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(413,569)</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119,936</w:t>
            </w:r>
          </w:p>
        </w:tc>
        <w:tc>
          <w:tcPr>
            <w:tcW w:w="4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374,422</w:t>
            </w: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goodwill by segment as of June 25, 2022, and December 25,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25,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$ 73,376</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$ 128,541</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$ 24,121</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$ 315,038</w:t>
            </w:r>
          </w:p>
        </w:tc>
      </w:tr>
      <w:tr>
        <w:trPr>
          <w:trHeight w:val="216"/>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 Acquisitions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11,938</w:t>
            </w: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Purchase Accounting Adjustments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(5,830)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w:t>
            </w:r>
          </w:p>
        </w:tc>
      </w:tr>
      <w:tr>
        <w:trPr>
          <w:trHeight w:val="22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Net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(796)</w:t>
            </w:r>
          </w:p>
        </w:tc>
        <w:tc>
          <w:tcPr>
            <w:tcW w:w="26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25,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$ 85,607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$ 122,711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$ 23,920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$ 320,532</w:t>
            </w:r>
          </w:p>
        </w:tc>
      </w:tr>
      <w:tr>
        <w:trPr>
          <w:trHeight w:val="20"/>
        </w:trPr>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presents total assets by segment as of June 25, 2022, and December 25, 2021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0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w w:val="98"/>
              </w:rPr>
              <w:t>Total Assets by Segment</w:t>
            </w:r>
          </w:p>
        </w:tc>
        <w:tc>
          <w:tcPr>
            <w:tcW w:w="700" w:type="dxa"/>
            <w:vAlign w:val="bottom"/>
            <w:tcBorders>
              <w:bottom w:val="single" w:sz="8" w:color="auto"/>
            </w:tcBorders>
          </w:tcPr>
          <w:p>
            <w:pPr>
              <w:spacing w:after="0"/>
              <w:rPr>
                <w:sz w:val="15"/>
                <w:szCs w:val="15"/>
                <w:color w:val="auto"/>
              </w:rPr>
            </w:pPr>
          </w:p>
        </w:tc>
      </w:tr>
      <w:tr>
        <w:trPr>
          <w:trHeight w:val="151"/>
        </w:trPr>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6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140" w:type="dxa"/>
            <w:vAlign w:val="bottom"/>
            <w:gridSpan w:val="3"/>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December 25,</w:t>
            </w:r>
          </w:p>
        </w:tc>
        <w:tc>
          <w:tcPr>
            <w:tcW w:w="700" w:type="dxa"/>
            <w:vAlign w:val="bottom"/>
          </w:tcPr>
          <w:p>
            <w:pPr>
              <w:spacing w:after="0"/>
              <w:rPr>
                <w:sz w:val="13"/>
                <w:szCs w:val="13"/>
                <w:color w:val="auto"/>
              </w:rPr>
            </w:pPr>
          </w:p>
        </w:tc>
      </w:tr>
      <w:tr>
        <w:trPr>
          <w:trHeight w:val="173"/>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Segment Classification</w:t>
            </w: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700" w:type="dxa"/>
            <w:vAlign w:val="bottom"/>
            <w:tcBorders>
              <w:bottom w:val="single" w:sz="8" w:color="auto"/>
            </w:tcBorders>
            <w:shd w:val="clear" w:color="auto" w:fill="000000"/>
          </w:tcPr>
          <w:p>
            <w:pPr>
              <w:spacing w:after="0" w:line="20" w:lineRule="exact"/>
              <w:rPr>
                <w:sz w:val="1"/>
                <w:szCs w:val="1"/>
                <w:color w:val="auto"/>
              </w:rPr>
            </w:pPr>
          </w:p>
        </w:tc>
      </w:tr>
      <w:tr>
        <w:trPr>
          <w:trHeight w:val="203"/>
        </w:trPr>
        <w:tc>
          <w:tcPr>
            <w:tcW w:w="6000" w:type="dxa"/>
            <w:vAlign w:val="bottom"/>
            <w:gridSpan w:val="3"/>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Retail</w:t>
            </w:r>
          </w:p>
        </w:tc>
        <w:tc>
          <w:tcPr>
            <w:tcW w:w="9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$ 1,075,310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844,189</w:t>
            </w:r>
          </w:p>
        </w:tc>
        <w:tc>
          <w:tcPr>
            <w:tcW w:w="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27.4 %</w:t>
            </w:r>
          </w:p>
        </w:tc>
      </w:tr>
      <w:tr>
        <w:trPr>
          <w:trHeight w:val="216"/>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741,672</w:t>
            </w:r>
          </w:p>
        </w:tc>
        <w:tc>
          <w:tcPr>
            <w:tcW w:w="220" w:type="dxa"/>
            <w:vAlign w:val="bottom"/>
          </w:tcPr>
          <w:p>
            <w:pPr>
              <w:spacing w:after="0"/>
              <w:rPr>
                <w:sz w:val="18"/>
                <w:szCs w:val="18"/>
                <w:color w:val="auto"/>
              </w:rPr>
            </w:pP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6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736,157</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6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343,363</w:t>
            </w:r>
          </w:p>
        </w:tc>
        <w:tc>
          <w:tcPr>
            <w:tcW w:w="220" w:type="dxa"/>
            <w:vAlign w:val="bottom"/>
          </w:tcPr>
          <w:p>
            <w:pPr>
              <w:spacing w:after="0"/>
              <w:rPr>
                <w:sz w:val="18"/>
                <w:szCs w:val="18"/>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6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445,394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579,890</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(23.2)</w:t>
            </w:r>
          </w:p>
        </w:tc>
      </w:tr>
      <w:tr>
        <w:trPr>
          <w:trHeight w:val="203"/>
        </w:trPr>
        <w:tc>
          <w:tcPr>
            <w:tcW w:w="6000" w:type="dxa"/>
            <w:vAlign w:val="bottom"/>
            <w:gridSpan w:val="3"/>
          </w:tcPr>
          <w:p>
            <w:pPr>
              <w:ind w:left="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$ 3,610,823</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3,245,271</w:t>
            </w:r>
          </w:p>
        </w:tc>
        <w:tc>
          <w:tcPr>
            <w:tcW w:w="22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11.3 %</w:t>
            </w: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40" w:lineRule="exact"/>
        <w:rPr>
          <w:sz w:val="20"/>
          <w:szCs w:val="20"/>
          <w:color w:val="auto"/>
        </w:rPr>
      </w:pPr>
    </w:p>
    <w:p>
      <w:pPr>
        <w:ind w:left="560" w:hanging="510"/>
        <w:spacing w:after="0"/>
        <w:tabs>
          <w:tab w:leader="none" w:pos="5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25.0% in the second quarter of 2022 and 2021 and was 24.5% in the first six months of 2022 compared to 24.4% for the same period in 2021. Permanent tax differences and credits have remained relatively consistent from 2021 to 2022, which is the primary reason the rate increased only slightly.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480" w:hanging="430"/>
        <w:spacing w:after="0"/>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60" w:right="419" w:firstLine="492"/>
        <w:spacing w:after="0" w:line="282" w:lineRule="auto"/>
        <w:rPr>
          <w:sz w:val="20"/>
          <w:szCs w:val="20"/>
          <w:color w:val="auto"/>
        </w:rPr>
      </w:pPr>
      <w:r>
        <w:rPr>
          <w:rFonts w:ascii="Times New Roman" w:cs="Times New Roman" w:eastAsia="Times New Roman" w:hAnsi="Times New Roman"/>
          <w:sz w:val="18"/>
          <w:szCs w:val="18"/>
          <w:color w:val="auto"/>
        </w:rPr>
        <w:t>Below is a summary of common stock issuances for the first six months of 2022 and 2021 (in thousands, except average share price):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June 25,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Pr>
          <w:p>
            <w:pPr>
              <w:spacing w:after="0"/>
              <w:rPr>
                <w:sz w:val="10"/>
                <w:szCs w:val="10"/>
                <w:color w:val="auto"/>
              </w:rPr>
            </w:pPr>
          </w:p>
        </w:tc>
        <w:tc>
          <w:tcPr>
            <w:tcW w:w="6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Share Issuance Activity</w:t>
            </w:r>
          </w:p>
        </w:tc>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20" w:type="dxa"/>
            <w:vAlign w:val="bottom"/>
            <w:tcBorders>
              <w:bottom w:val="single" w:sz="8" w:color="auto"/>
            </w:tcBorders>
            <w:gridSpan w:val="3"/>
            <w:vMerge w:val="continue"/>
          </w:tcPr>
          <w:p>
            <w:pPr>
              <w:spacing w:after="0"/>
              <w:rPr>
                <w:sz w:val="11"/>
                <w:szCs w:val="11"/>
                <w:color w:val="auto"/>
              </w:rPr>
            </w:pPr>
          </w:p>
        </w:tc>
        <w:tc>
          <w:tcPr>
            <w:tcW w:w="5340" w:type="dxa"/>
            <w:vAlign w:val="bottom"/>
            <w:gridSpan w:val="2"/>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78.57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82.73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match plan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815</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7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92</w:t>
            </w: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June 26, 2021</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0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Share Issuance Activity</w:t>
            </w:r>
          </w:p>
        </w:tc>
        <w:tc>
          <w:tcPr>
            <w:tcW w:w="20" w:type="dxa"/>
            <w:vAlign w:val="bottom"/>
          </w:tcPr>
          <w:p>
            <w:pPr>
              <w:spacing w:after="0"/>
              <w:rPr>
                <w:sz w:val="7"/>
                <w:szCs w:val="7"/>
                <w:color w:val="auto"/>
              </w:rPr>
            </w:pPr>
          </w:p>
        </w:tc>
        <w:tc>
          <w:tcPr>
            <w:tcW w:w="5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00" w:type="dxa"/>
            <w:vAlign w:val="bottom"/>
            <w:tcBorders>
              <w:bottom w:val="single" w:sz="8" w:color="auto"/>
            </w:tcBorders>
            <w:gridSpan w:val="2"/>
            <w:vMerge w:val="continue"/>
          </w:tcPr>
          <w:p>
            <w:pPr>
              <w:spacing w:after="0"/>
              <w:rPr>
                <w:sz w:val="11"/>
                <w:szCs w:val="11"/>
                <w:color w:val="auto"/>
              </w:rPr>
            </w:pPr>
          </w:p>
        </w:tc>
        <w:tc>
          <w:tcPr>
            <w:tcW w:w="5360" w:type="dxa"/>
            <w:vAlign w:val="bottom"/>
            <w:gridSpan w:val="3"/>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1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issued under the employee stock purchase plan</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employee stock gift program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director retainer stock program</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67.77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under the bonus plan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Shares issued under the executive stock grants plan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1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Forfeitures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shares issued under stock grant programs</w:t>
            </w:r>
          </w:p>
        </w:tc>
        <w:tc>
          <w:tcPr>
            <w:tcW w:w="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8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Shares issued under the deferred compensation plans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w:t>
            </w:r>
          </w:p>
        </w:tc>
        <w:tc>
          <w:tcPr>
            <w:tcW w:w="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419" w:firstLine="486"/>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2022, we repurchased approximately 1,210,000 shares of our common stock at an average share price of $77.06.</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During the first six months of 2021, we did not repurchase any of our shares of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500" w:hanging="450"/>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The cost of inventories includes raw materials, direct labor, and manufacturing overhead. Cost is determined on a weighted average FIFO basis. Raw materials consist primarily of unfinished wood products and other materials expected to be manufactured or treated prior to sale, while finished goods represent various manufactured and treated wood products ready for sale.</w:t>
      </w:r>
    </w:p>
    <w:p>
      <w:pPr>
        <w:spacing w:after="0" w:line="18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write down the value of inventory, the impact of which is reflected in cost of goods sold in the Condensed Consolidated Statement of Earnings and Comprehensive Income, if the cost of specific inventory items on hand exceeds the amount we expect to realize from the ultimate sale or disposal of the inventory. These estimates are based on management's judgment regarding future demand and market conditions and analysis of historical experience. The lower of cost or net realizable value adjustment to inventory as of June 25, 2022 and June 26, 2021 was $9.3 million and $23.2 million, respectively.</w:t>
      </w:r>
    </w:p>
    <w:p>
      <w:pPr>
        <w:spacing w:after="0" w:line="183" w:lineRule="exact"/>
        <w:rPr>
          <w:sz w:val="20"/>
          <w:szCs w:val="20"/>
          <w:color w:val="auto"/>
        </w:rPr>
      </w:pPr>
    </w:p>
    <w:p>
      <w:pPr>
        <w:ind w:left="560" w:hanging="510"/>
        <w:spacing w:after="0"/>
        <w:tabs>
          <w:tab w:leader="none" w:pos="5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On June 27, 2022, we acquired 50% of the equity of Dempsey Wood Products, LLC, for $66.0 million. Based in Orangeburg, South Carolina, Dempsey Wood Products produces kiln-dried lumber, pallet lumber, and other industrial wood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UFP Industries, Inc. is a holding company with subsidiaries throughout North America, Europe, Asia, and Australia that supply wood, wood composite and other products to three markets: retail, industrial, and construction. We are headquartered in Grand Rapids, Michigan. For more information about UFP Industries, Inc., or our affiliated operations, go to www.ufpi.com.</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government imposed “stay at home” orders and directives to cease or curtail operations;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the second quarter of 2022.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results for the second quarter of 2022 include the following highlights:</w:t>
      </w:r>
    </w:p>
    <w:p>
      <w:pPr>
        <w:spacing w:after="0" w:line="225" w:lineRule="exact"/>
        <w:rPr>
          <w:sz w:val="20"/>
          <w:szCs w:val="20"/>
          <w:color w:val="auto"/>
        </w:rPr>
      </w:pPr>
    </w:p>
    <w:p>
      <w:pPr>
        <w:jc w:val="both"/>
        <w:ind w:left="880" w:right="79" w:hanging="317"/>
        <w:spacing w:after="0" w:line="25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sales were up 7% compared to the second quarter of 2021, which was comprised of a 4% increase in selling prices, a 1% increase in unit sales due to acquisitions completed since June of last year, and a 2% increase in organic unit sales. The overall increase in our selling prices is due to a combination of an improvement in our product mix of value-added products which tend to be sold on a fixed price, elevated end market demand, and our value-based selling initiatives. Organic unit growth of 17% in our construction segment was offset by an organic unit decline of 7% in our retail segment and 1% in our industrial segment.</w:t>
      </w:r>
    </w:p>
    <w:p>
      <w:pPr>
        <w:spacing w:after="0" w:line="187" w:lineRule="exact"/>
        <w:rPr>
          <w:rFonts w:ascii="Times New Roman" w:cs="Times New Roman" w:eastAsia="Times New Roman" w:hAnsi="Times New Roman"/>
          <w:sz w:val="18"/>
          <w:szCs w:val="18"/>
          <w:color w:val="auto"/>
        </w:rPr>
      </w:pPr>
    </w:p>
    <w:p>
      <w:pPr>
        <w:jc w:val="both"/>
        <w:ind w:left="880" w:right="79" w:hanging="317"/>
        <w:spacing w:after="0" w:line="258"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gross profits increased by $82.2 million, or 19.5%, compared to the same period of the prior year. Acquired operations contributed $6 million to the increase in our gross profits. Excluding the impact of acquisitions, gross profits increased by $76.2 million and we estimate that value-added products contributed $131 million to the increase, which was offset by a decrease in gross profit of $55 million due to the impact of falling lumber prices on certain commodity-based products that are sold on a variable price formula.</w:t>
      </w:r>
    </w:p>
    <w:p>
      <w:pPr>
        <w:spacing w:after="0" w:line="183" w:lineRule="exact"/>
        <w:rPr>
          <w:rFonts w:ascii="Times New Roman" w:cs="Times New Roman" w:eastAsia="Times New Roman" w:hAnsi="Times New Roman"/>
          <w:sz w:val="18"/>
          <w:szCs w:val="18"/>
          <w:color w:val="auto"/>
        </w:rPr>
      </w:pPr>
    </w:p>
    <w:p>
      <w:pPr>
        <w:jc w:val="both"/>
        <w:ind w:left="880" w:right="79" w:hanging="317"/>
        <w:spacing w:after="0" w:line="25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profits increased $48.6 million, or 20%, compared to the second quarter of 2021. This increase resulted from a variety of factors including improved leveraging of our fixed costs in business units that experienced organic growth, increased sales of new and value-added products which have higher gross margins, and our ability to effectively include lumber and other cost increases in the selling prices of our products. In addition, our value-based selling practices have enabled us to improve our profit per unit. Acquisitions contributed approximately $2.5 million to our increase in operating profits.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5"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flows from operations for the first six months of 2022 increased to $90 million compared to $116 million of cash used in operations during the first six months of 2021. The improved cash flows resulted from net earnings and non-cash expenses totaling $475 million, compared to $328 million last year, offset by a $385 million increase in net working capital since the end of last year, compared to a $444 million increase in the prior year. Last year, our inventories increased more significantly from the beginning of the year until the end of June, primarily due to the increase in lumber prices, as reflected in the table below, which remained elevated at the end of the second quarter.</w:t>
      </w:r>
    </w:p>
    <w:p>
      <w:pPr>
        <w:spacing w:after="0" w:line="188" w:lineRule="exact"/>
        <w:rPr>
          <w:rFonts w:ascii="Times New Roman" w:cs="Times New Roman" w:eastAsia="Times New Roman" w:hAnsi="Times New Roman"/>
          <w:sz w:val="18"/>
          <w:szCs w:val="18"/>
          <w:color w:val="auto"/>
        </w:rPr>
      </w:pPr>
    </w:p>
    <w:p>
      <w:pPr>
        <w:jc w:val="both"/>
        <w:ind w:left="880" w:right="79" w:hanging="317"/>
        <w:spacing w:after="0" w:line="261"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debt (debt and cash overdraft less cash) at the end of June 2022 was $190.7 million compared to $561.9 million at the end of June 2021. Our unused borrowing capacity under revolving credit facilities and a shelf agreement with certain lenders along with our cash surplus resulted in total liquidity of approximately $1.2 billion at the end of the second quarter of 2022.</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HISTORICAL LUMBER PRICES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experience significant fluctuations in the cost of commodity lumber products from primary producers (“Lumber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 The following table presents the Random Lengths framing lumber composite price:</w:t>
      </w:r>
    </w:p>
    <w:p>
      <w:pPr>
        <w:spacing w:after="0" w:line="214"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Random Lengths Composite</w:t>
      </w:r>
    </w:p>
    <w:p>
      <w:pPr>
        <w:jc w:val="center"/>
        <w:ind w:left="676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352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February</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June</w:t>
            </w: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average</w:t>
            </w:r>
          </w:p>
        </w:tc>
        <w:tc>
          <w:tcPr>
            <w:tcW w:w="3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Year-to-date average</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percentage change</w:t>
            </w:r>
          </w:p>
        </w:tc>
        <w:tc>
          <w:tcPr>
            <w:tcW w:w="3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3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52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addition, a Southern Yellow Pine (“SYP”) composite price, which we prepare and use, is presented below. Our purchases of this species comprise almost two-thirds of our total lumber purchases.</w:t>
      </w:r>
    </w:p>
    <w:p>
      <w:pPr>
        <w:spacing w:after="0" w:line="169"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Southern Yellow Pine</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Average $/MBF</w:t>
      </w:r>
    </w:p>
    <w:tbl>
      <w:tblPr>
        <w:tblLayout w:type="fixed"/>
        <w:tblInd w:w="40" w:type="dxa"/>
        <w:tblCellMar>
          <w:top w:w="0" w:type="dxa"/>
          <w:left w:w="0" w:type="dxa"/>
          <w:bottom w:w="0" w:type="dxa"/>
          <w:right w:w="0" w:type="dxa"/>
        </w:tblCellMar>
      </w:tblPr>
      <w:tr>
        <w:trPr>
          <w:trHeight w:val="162"/>
        </w:trPr>
        <w:tc>
          <w:tcPr>
            <w:tcW w:w="69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Second quarter average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Year-to-date average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4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percentage change</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percentage change</w:t>
            </w:r>
          </w:p>
        </w:tc>
        <w:tc>
          <w:tcPr>
            <w:tcW w:w="16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decrease in overall lumber prices for the second quarter of the year was primarily due to demand in the retail and housing markets beginning to return to more normalized levels and improvements in supply chain constraints. A change in lumber prices impacts our profitability of products sold with fixed and variable prices, as discussed below.</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IMPACT OF THE LUMBER MARKET ON OUR OPERATING RESULTS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54.8% and 63.7% of our sales in the first six months of 2022 and 2021, respectively. The decrease from the prior year ratio reflects an improvement in our sales mix of value-added products as well as our value-based selling practices.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general description of the primary ways in which our products are priced.</w:t>
      </w:r>
    </w:p>
    <w:p>
      <w:pPr>
        <w:spacing w:after="0" w:line="225" w:lineRule="exact"/>
        <w:rPr>
          <w:sz w:val="20"/>
          <w:szCs w:val="20"/>
          <w:color w:val="auto"/>
        </w:rPr>
      </w:pPr>
    </w:p>
    <w:p>
      <w:pPr>
        <w:jc w:val="both"/>
        <w:ind w:left="880" w:right="79" w:hanging="317"/>
        <w:spacing w:after="0" w:line="255"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w:t>
      </w:r>
      <w:r>
        <w:rPr>
          <w:rFonts w:ascii="Times New Roman" w:cs="Times New Roman" w:eastAsia="Times New Roman" w:hAnsi="Times New Roman"/>
          <w:sz w:val="18"/>
          <w:szCs w:val="18"/>
          <w:color w:val="auto"/>
        </w:rPr>
        <w:t xml:space="preserve"> These products include value-added products, such as manufactured items, sold within all segments. Prices for these products are generally fixed at the time of the sales quotation for a specified period of time. In order to reduce any exposure to adverse trends in the price of component lumber products, we attempt to lock in costs with our suppliers or purchase necessary inventory for these sales commitments. The time period limitation eventually allows us to periodically re-price our products for changes in lumber costs from our suppliers. We believe our percentage of sales of fixed price items is usually greatest in our third and fourth quarters.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880" w:right="79" w:hanging="317"/>
        <w:spacing w:after="0" w:line="255"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selling prices indexed to the reported Lumber Market with a fixed dollar “adder” to cover conversion costs and profit.</w:t>
      </w:r>
      <w:r>
        <w:rPr>
          <w:rFonts w:ascii="Times New Roman" w:cs="Times New Roman" w:eastAsia="Times New Roman" w:hAnsi="Times New Roman"/>
          <w:sz w:val="18"/>
          <w:szCs w:val="18"/>
          <w:color w:val="auto"/>
        </w:rPr>
        <w:t xml:space="preserve"> These products primarily include treated lumber, panel goods, other commodity-type items,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 We believe our sales of these products are at their highest relative level in our second quarter, primarily due to pressure-treated lumber sold in our retail segment.</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For each of the product pricing categories above, our margins are exposed to changes in the trend of lumber prices.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The greatest risk associated with changes in the </w:t>
      </w:r>
      <w:r>
        <w:rPr>
          <w:rFonts w:ascii="Times New Roman" w:cs="Times New Roman" w:eastAsia="Times New Roman" w:hAnsi="Times New Roman"/>
          <w:sz w:val="18"/>
          <w:szCs w:val="18"/>
          <w:u w:val="single" w:color="auto"/>
          <w:color w:val="auto"/>
        </w:rPr>
        <w:t>trend</w:t>
      </w:r>
      <w:r>
        <w:rPr>
          <w:rFonts w:ascii="Times New Roman" w:cs="Times New Roman" w:eastAsia="Times New Roman" w:hAnsi="Times New Roman"/>
          <w:sz w:val="18"/>
          <w:szCs w:val="18"/>
          <w:color w:val="auto"/>
        </w:rPr>
        <w:t xml:space="preserve"> of lumber prices is on the following products:</w:t>
      </w:r>
    </w:p>
    <w:p>
      <w:pPr>
        <w:spacing w:after="0" w:line="225" w:lineRule="exact"/>
        <w:rPr>
          <w:sz w:val="20"/>
          <w:szCs w:val="20"/>
          <w:color w:val="auto"/>
        </w:rPr>
      </w:pPr>
    </w:p>
    <w:p>
      <w:pPr>
        <w:jc w:val="both"/>
        <w:ind w:left="880" w:right="79" w:hanging="317"/>
        <w:spacing w:after="0" w:line="253"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significant inventory levels with low turnover rates, whose selling prices are indexed to the Lumber Market.</w:t>
      </w:r>
      <w:r>
        <w:rPr>
          <w:rFonts w:ascii="Times New Roman" w:cs="Times New Roman" w:eastAsia="Times New Roman" w:hAnsi="Times New Roman"/>
          <w:sz w:val="18"/>
          <w:szCs w:val="18"/>
          <w:color w:val="auto"/>
        </w:rPr>
        <w:t xml:space="preserve"> In other words, the longer the period of time these products remain in inventory, the greater the exposure to changes in the price of lumber. This would include treated lumber, which comprised approximately 16% of our total annual sales in 2021. This exposure is less significant with remanufactured lumber, panel goods, other commodity-type items, and trusses sold to the manufactured housing market due to the higher rate of inventory turnover. We attempt to mitigate the risk associated with treated lumber through inventory consignment programs with our vendors. Our new Sunbelt and Spartanburg Forest Products plants began participating in these consignment programs in 2022, and we estimate that 24.2% of their inventory was consigned with vendors. (</w:t>
      </w:r>
      <w:r>
        <w:rPr>
          <w:rFonts w:ascii="Times New Roman" w:cs="Times New Roman" w:eastAsia="Times New Roman" w:hAnsi="Times New Roman"/>
          <w:sz w:val="18"/>
          <w:szCs w:val="18"/>
          <w:i w:val="1"/>
          <w:iCs w:val="1"/>
          <w:color w:val="auto"/>
        </w:rPr>
        <w:t>Please refer to the “Risk Factors” section of our annual report on form 10-K, filed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the United States Securities and Exchange Commission.</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Products with fixed selling prices sold under long-term supply arrangements, particularly those involving multi-family construction projects.</w:t>
      </w:r>
      <w:r>
        <w:rPr>
          <w:rFonts w:ascii="Times New Roman" w:cs="Times New Roman" w:eastAsia="Times New Roman" w:hAnsi="Times New Roman"/>
          <w:sz w:val="18"/>
          <w:szCs w:val="18"/>
          <w:color w:val="auto"/>
        </w:rPr>
        <w:t xml:space="preserve"> We attempt to mitigate this risk through our purchasing practices and longer vendor commitments.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4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Period 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Period 2</w:t>
            </w:r>
          </w:p>
        </w:tc>
      </w:tr>
      <w:tr>
        <w:trPr>
          <w:trHeight w:val="216"/>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Lumber cost</w:t>
            </w:r>
          </w:p>
        </w:tc>
        <w:tc>
          <w:tcPr>
            <w:tcW w:w="2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Conversion cost</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Product cost</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4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Adder</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Sell price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17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is apparent from the preceding example, the level of lumber prices does not impact our overall profits but does impact our margins. Gross margins and operating margins are negatively impacted during periods of high lumber prices; conversely, we experience margin improvement when lumber prices are relatively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completed two business acquisition during the first six months of fiscal 2022 and nine during all of fiscal 2021. The annual historical sales attributable to acquisitions completed in the first six months of fiscal 2022 is approximately $62 million, while acquisitions completed during the last six months of 2021 have annual sales of approximately $76 million. These business combinations were not significant to our quarterly results individually or in aggregate and thus pro forma results for 2022 and 2021 are not presented.</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See Notes to the Unaudited Condensed Consolidated Financial Statements, Note F, “Business Combinations” for additional information.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components of our Unaudited Condensed Consolidated Statements of Earnings as a percentage of net sales.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5560" w:type="dxa"/>
            <w:vAlign w:val="bottom"/>
          </w:tcPr>
          <w:p>
            <w:pPr>
              <w:spacing w:after="0"/>
              <w:rPr>
                <w:sz w:val="15"/>
                <w:szCs w:val="15"/>
                <w:color w:val="auto"/>
              </w:rPr>
            </w:pPr>
          </w:p>
        </w:tc>
        <w:tc>
          <w:tcPr>
            <w:tcW w:w="170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bottom w:val="single" w:sz="8" w:color="auto"/>
            </w:tcBorders>
          </w:tcPr>
          <w:p>
            <w:pPr>
              <w:spacing w:after="0"/>
              <w:rPr>
                <w:sz w:val="15"/>
                <w:szCs w:val="15"/>
                <w:color w:val="auto"/>
              </w:rPr>
            </w:pPr>
          </w:p>
        </w:tc>
      </w:tr>
      <w:tr>
        <w:trPr>
          <w:trHeight w:val="124"/>
        </w:trPr>
        <w:tc>
          <w:tcPr>
            <w:tcW w:w="556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240" w:type="dxa"/>
            <w:vAlign w:val="bottom"/>
          </w:tcPr>
          <w:p>
            <w:pPr>
              <w:spacing w:after="0"/>
              <w:rPr>
                <w:sz w:val="10"/>
                <w:szCs w:val="10"/>
                <w:color w:val="auto"/>
              </w:rPr>
            </w:pPr>
          </w:p>
        </w:tc>
        <w:tc>
          <w:tcPr>
            <w:tcW w:w="58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32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240" w:type="dxa"/>
            <w:vAlign w:val="bottom"/>
          </w:tcPr>
          <w:p>
            <w:pPr>
              <w:spacing w:after="0"/>
              <w:rPr>
                <w:sz w:val="10"/>
                <w:szCs w:val="10"/>
                <w:color w:val="auto"/>
              </w:rPr>
            </w:pPr>
          </w:p>
        </w:tc>
        <w:tc>
          <w:tcPr>
            <w:tcW w:w="6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40" w:type="dxa"/>
            <w:vAlign w:val="bottom"/>
          </w:tcPr>
          <w:p>
            <w:pPr>
              <w:spacing w:after="0"/>
              <w:rPr>
                <w:sz w:val="10"/>
                <w:szCs w:val="10"/>
                <w:color w:val="auto"/>
              </w:rPr>
            </w:pPr>
          </w:p>
        </w:tc>
      </w:tr>
      <w:tr>
        <w:trPr>
          <w:trHeight w:val="180"/>
        </w:trPr>
        <w:tc>
          <w:tcPr>
            <w:tcW w:w="55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losses,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earnings attributable to noncontrolling interest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controlling interest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result of the impact of the level of lumber prices on the percentages displayed in the table above (see Impact of the Lumber Market on Our Operating Results), we believe it is useful to compare our change in units sold with our change in gross profits, selling, general, and administrative expenses, and operating profits as presented in the following table. The percentages displayed below represent the percentage change from the prior year comparable period.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9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gridSpan w:val="4"/>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204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 w:type="dxa"/>
            <w:vAlign w:val="bottom"/>
          </w:tcPr>
          <w:p>
            <w:pPr>
              <w:spacing w:after="0"/>
              <w:rPr>
                <w:sz w:val="13"/>
                <w:szCs w:val="13"/>
                <w:color w:val="auto"/>
              </w:rPr>
            </w:pPr>
          </w:p>
        </w:tc>
      </w:tr>
      <w:tr>
        <w:trPr>
          <w:trHeight w:val="137"/>
        </w:trPr>
        <w:tc>
          <w:tcPr>
            <w:tcW w:w="3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Borders>
              <w:top w:val="single" w:sz="8" w:color="auto"/>
            </w:tcBorders>
            <w:gridSpan w:val="2"/>
          </w:tcPr>
          <w:p>
            <w:pPr>
              <w:ind w:left="200"/>
              <w:spacing w:after="0" w:line="137" w:lineRule="exact"/>
              <w:rPr>
                <w:sz w:val="20"/>
                <w:szCs w:val="20"/>
                <w:color w:val="auto"/>
              </w:rPr>
            </w:pPr>
            <w:r>
              <w:rPr>
                <w:rFonts w:ascii="Times New Roman" w:cs="Times New Roman" w:eastAsia="Times New Roman" w:hAnsi="Times New Roman"/>
                <w:sz w:val="14"/>
                <w:szCs w:val="14"/>
                <w:b w:val="1"/>
                <w:bCs w:val="1"/>
                <w:color w:val="auto"/>
              </w:rPr>
              <w:t>June 25,</w:t>
            </w:r>
          </w:p>
        </w:tc>
        <w:tc>
          <w:tcPr>
            <w:tcW w:w="940" w:type="dxa"/>
            <w:vAlign w:val="bottom"/>
            <w:tcBorders>
              <w:top w:val="single" w:sz="8" w:color="auto"/>
            </w:tcBorders>
          </w:tcPr>
          <w:p>
            <w:pPr>
              <w:jc w:val="right"/>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40" w:type="dxa"/>
            <w:vAlign w:val="bottom"/>
          </w:tcPr>
          <w:p>
            <w:pPr>
              <w:spacing w:after="0"/>
              <w:rPr>
                <w:sz w:val="11"/>
                <w:szCs w:val="11"/>
                <w:color w:val="auto"/>
              </w:rPr>
            </w:pPr>
          </w:p>
        </w:tc>
        <w:tc>
          <w:tcPr>
            <w:tcW w:w="1080" w:type="dxa"/>
            <w:vAlign w:val="bottom"/>
            <w:tcBorders>
              <w:top w:val="single" w:sz="8" w:color="auto"/>
            </w:tcBorders>
            <w:gridSpan w:val="2"/>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June 25,</w:t>
            </w:r>
          </w:p>
        </w:tc>
        <w:tc>
          <w:tcPr>
            <w:tcW w:w="960" w:type="dxa"/>
            <w:vAlign w:val="bottom"/>
            <w:tcBorders>
              <w:top w:val="single" w:sz="8" w:color="auto"/>
            </w:tcBorders>
          </w:tcPr>
          <w:p>
            <w:pPr>
              <w:ind w:left="220"/>
              <w:spacing w:after="0" w:line="137" w:lineRule="exact"/>
              <w:rPr>
                <w:sz w:val="20"/>
                <w:szCs w:val="20"/>
                <w:color w:val="auto"/>
              </w:rPr>
            </w:pPr>
            <w:r>
              <w:rPr>
                <w:rFonts w:ascii="Times New Roman" w:cs="Times New Roman" w:eastAsia="Times New Roman" w:hAnsi="Times New Roman"/>
                <w:sz w:val="14"/>
                <w:szCs w:val="14"/>
                <w:b w:val="1"/>
                <w:bCs w:val="1"/>
                <w:color w:val="auto"/>
              </w:rPr>
              <w:t>June 26,</w:t>
            </w:r>
          </w:p>
        </w:tc>
        <w:tc>
          <w:tcPr>
            <w:tcW w:w="20" w:type="dxa"/>
            <w:vAlign w:val="bottom"/>
          </w:tcPr>
          <w:p>
            <w:pPr>
              <w:spacing w:after="0"/>
              <w:rPr>
                <w:sz w:val="11"/>
                <w:szCs w:val="11"/>
                <w:color w:val="auto"/>
              </w:rPr>
            </w:pPr>
          </w:p>
        </w:tc>
      </w:tr>
      <w:tr>
        <w:trPr>
          <w:trHeight w:val="180"/>
        </w:trPr>
        <w:tc>
          <w:tcPr>
            <w:tcW w:w="3820" w:type="dxa"/>
            <w:vAlign w:val="bottom"/>
          </w:tcPr>
          <w:p>
            <w:pPr>
              <w:spacing w:after="0"/>
              <w:rPr>
                <w:sz w:val="15"/>
                <w:szCs w:val="15"/>
                <w:color w:val="auto"/>
              </w:rPr>
            </w:pPr>
          </w:p>
        </w:tc>
        <w:tc>
          <w:tcPr>
            <w:tcW w:w="1820" w:type="dxa"/>
            <w:vAlign w:val="bottom"/>
            <w:gridSpan w:val="2"/>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9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9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5"/>
                <w:szCs w:val="15"/>
                <w:color w:val="auto"/>
              </w:rPr>
            </w:pPr>
          </w:p>
        </w:tc>
      </w:tr>
      <w:tr>
        <w:trPr>
          <w:trHeight w:val="216"/>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sold</w:t>
            </w:r>
          </w:p>
        </w:tc>
        <w:tc>
          <w:tcPr>
            <w:tcW w:w="9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47.0 %</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41.0 %</w:t>
            </w: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94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105.6</w:t>
            </w:r>
          </w:p>
        </w:tc>
        <w:tc>
          <w:tcPr>
            <w:tcW w:w="140" w:type="dxa"/>
            <w:vAlign w:val="bottom"/>
          </w:tcPr>
          <w:p>
            <w:pPr>
              <w:spacing w:after="0"/>
              <w:rPr>
                <w:sz w:val="18"/>
                <w:szCs w:val="18"/>
                <w:color w:val="auto"/>
              </w:rPr>
            </w:pPr>
          </w:p>
        </w:tc>
        <w:tc>
          <w:tcPr>
            <w:tcW w:w="94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2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8"/>
                <w:szCs w:val="18"/>
                <w:color w:val="auto"/>
              </w:rPr>
            </w:pP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from operations</w:t>
            </w:r>
          </w:p>
        </w:tc>
        <w:tc>
          <w:tcPr>
            <w:tcW w:w="182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20"/>
                <w:szCs w:val="20"/>
                <w:color w:val="auto"/>
              </w:rPr>
            </w:pPr>
          </w:p>
        </w:tc>
        <w:tc>
          <w:tcPr>
            <w:tcW w:w="94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tcPr>
          <w:p>
            <w:pPr>
              <w:spacing w:after="0"/>
              <w:rPr>
                <w:sz w:val="20"/>
                <w:szCs w:val="20"/>
                <w:color w:val="auto"/>
              </w:rPr>
            </w:pPr>
          </w:p>
        </w:tc>
        <w:tc>
          <w:tcPr>
            <w:tcW w:w="94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Pr>
          <w:p>
            <w:pPr>
              <w:spacing w:after="0"/>
              <w:rPr>
                <w:sz w:val="20"/>
                <w:szCs w:val="20"/>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tcPr>
          <w:p>
            <w:pPr>
              <w:spacing w:after="0"/>
              <w:rPr>
                <w:sz w:val="20"/>
                <w:szCs w:val="20"/>
                <w:color w:val="auto"/>
              </w:rPr>
            </w:pPr>
          </w:p>
        </w:tc>
      </w:tr>
      <w:tr>
        <w:trPr>
          <w:trHeight w:val="630"/>
        </w:trPr>
        <w:tc>
          <w:tcPr>
            <w:tcW w:w="3820" w:type="dxa"/>
            <w:vAlign w:val="bottom"/>
          </w:tcPr>
          <w:p>
            <w:pPr>
              <w:spacing w:after="0"/>
              <w:rPr>
                <w:sz w:val="24"/>
                <w:szCs w:val="24"/>
                <w:color w:val="auto"/>
              </w:rPr>
            </w:pPr>
          </w:p>
        </w:tc>
        <w:tc>
          <w:tcPr>
            <w:tcW w:w="9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22</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selling, general, and administrative expenses (SG&amp;A) as a percentage of gross profit. Given our strategies to enhance our capabilities and improve our value-added product offering, and recognizing the higher relative level of SG&amp;A these strategies require, we believe this ratio provides an enhanced view of our effectiveness in managing these costs and mitigates the impact of changing lumber prices.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360" w:type="dxa"/>
            <w:vAlign w:val="bottom"/>
            <w:gridSpan w:val="4"/>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35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7"/>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180"/>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2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97"/>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r>
      <w:tr>
        <w:trPr>
          <w:trHeight w:val="180"/>
        </w:trPr>
        <w:tc>
          <w:tcPr>
            <w:tcW w:w="35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421,294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707,848</w:t>
            </w: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214,538</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184,539</w:t>
            </w:r>
          </w:p>
        </w:tc>
        <w:tc>
          <w:tcPr>
            <w:tcW w:w="1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434,688</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334,637</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SG&amp;A as percentage of 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Bonus expense, which is a component of SG&amp;A, decreased in the second quarter to $55 million from $61 million in the prior year due to modifications made to our bonus plan intended to reduce the payout rate when higher levels of pre-bonus earnings from operations are achieved. The adjustment to reduce bonus expense based on the new parameters was recorded in the second quarter and totaled $17 million. As a result of this change, our year to date bonus accrual rate has decreased to 17.5% of pre-bonus earnings from operations from a historical rate of approximately 20.0%. Bonus rates continue to be derived based on return on investment achieved. Bonus expense in the first six months of 2022 totaled $124 million compared to $98 million in the prior year.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business segments consist of UFP Retail Solutions, UFP Industrial and UFP Construction, and align with the end markets we serve. Among other things, this structure allows for a more specialized and consistent sales approach among Company operations, more efficient use of resources and capital, and quicker introduction of new products and services. We manage the operations of our individual locations primarily through a market-centered reporting structure under which each location is included in a business unit and business units are included in our Retail, Industrial, and Construction segments. The exception to this market-centered reporting and management structure is our International segment, which comprises our Mexico, Canada, Europe, Asia, and Australia operations and sales and buying offices in other parts of the world. Our International segment and Ardellis (our insurance captive) are included in the “All Other” column of the table below. The “Corporate” column includes purchasing, transportation and administrative functions that serve our operating segments. Operating results of Corporate primarily consists of over (under) allocated costs. The operating results of UFP Real Estate, Inc., which owns and leases real estate, and UFP Transportation Ltd., which owns, leases, and operates transportation equipment, are also included in the Corporate column. Inter-company lease and services charges are assessed to our operating segments for the use of these assets and services at fair market value rates.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tables present our operating results, for the periods indicated, by segment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25, 2022</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7"/>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676,333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2,900,874</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1,048,260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514,216</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748,060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2,397,421</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227,316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503,453</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67,235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(12,078)</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214,538</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24,527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94,210</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132,832</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22,748</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11,249</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285,566</w:t>
            </w:r>
          </w:p>
        </w:tc>
        <w:tc>
          <w:tcPr>
            <w:tcW w:w="20" w:type="dxa"/>
            <w:vAlign w:val="bottom"/>
          </w:tcPr>
          <w:p>
            <w:pPr>
              <w:spacing w:after="0"/>
              <w:rPr>
                <w:sz w:val="18"/>
                <w:szCs w:val="18"/>
                <w:color w:val="auto"/>
              </w:rPr>
            </w:pPr>
          </w:p>
        </w:tc>
      </w:tr>
      <w:tr>
        <w:trPr>
          <w:trHeight w:val="864"/>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26, 2021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1,259,218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611,181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738,704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89,470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2,700,541</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1,136,887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476,731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604,414</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2,279,247</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421,294</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(11,280)</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184,539</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62,051</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79,526</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67,107</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16,304</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11,947</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236,935</w:t>
            </w:r>
          </w:p>
        </w:tc>
        <w:tc>
          <w:tcPr>
            <w:tcW w:w="20" w:type="dxa"/>
            <w:vAlign w:val="bottom"/>
          </w:tcPr>
          <w:p>
            <w:pPr>
              <w:spacing w:after="0"/>
              <w:rPr>
                <w:sz w:val="18"/>
                <w:szCs w:val="18"/>
                <w:color w:val="auto"/>
              </w:rPr>
            </w:pPr>
          </w:p>
        </w:tc>
      </w:tr>
      <w:tr>
        <w:trPr>
          <w:trHeight w:val="628"/>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25, 2022</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2,114,672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1,287,702</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219,983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5,390,187</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1,907,155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976,031</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1,373,119</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147,360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4,408,372</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981,815</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176,975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(20,789)</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434,688</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95,924</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176,601</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211,650</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37,563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22,853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544,591</w:t>
            </w:r>
          </w:p>
        </w:tc>
        <w:tc>
          <w:tcPr>
            <w:tcW w:w="20" w:type="dxa"/>
            <w:vAlign w:val="bottom"/>
          </w:tcPr>
          <w:p>
            <w:pPr>
              <w:spacing w:after="0"/>
              <w:rPr>
                <w:sz w:val="18"/>
                <w:szCs w:val="18"/>
                <w:color w:val="auto"/>
              </w:rPr>
            </w:pPr>
          </w:p>
        </w:tc>
      </w:tr>
      <w:tr>
        <w:trPr>
          <w:trHeight w:val="628"/>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26, 2021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4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4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24"/>
                <w:szCs w:val="24"/>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80" w:type="dxa"/>
            <w:vAlign w:val="bottom"/>
          </w:tcPr>
          <w:p>
            <w:pPr>
              <w:spacing w:after="0"/>
              <w:rPr>
                <w:sz w:val="24"/>
                <w:szCs w:val="24"/>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2,018,239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1,060,055</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1,298,234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4,525,545</w:t>
            </w:r>
          </w:p>
        </w:tc>
        <w:tc>
          <w:tcPr>
            <w:tcW w:w="20" w:type="dxa"/>
            <w:vAlign w:val="bottom"/>
          </w:tcPr>
          <w:p>
            <w:pPr>
              <w:spacing w:after="0"/>
              <w:rPr>
                <w:sz w:val="18"/>
                <w:szCs w:val="18"/>
                <w:color w:val="auto"/>
              </w:rPr>
            </w:pPr>
          </w:p>
        </w:tc>
      </w:tr>
      <w:tr>
        <w:trPr>
          <w:trHeight w:val="223"/>
        </w:trPr>
        <w:tc>
          <w:tcPr>
            <w:tcW w:w="2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1,795,435</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845,280</w:t>
            </w: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1,075,260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3,817,697</w:t>
            </w:r>
          </w:p>
        </w:tc>
        <w:tc>
          <w:tcPr>
            <w:tcW w:w="20" w:type="dxa"/>
            <w:vAlign w:val="bottom"/>
          </w:tcPr>
          <w:p>
            <w:pPr>
              <w:spacing w:after="0"/>
              <w:rPr>
                <w:sz w:val="19"/>
                <w:szCs w:val="19"/>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214,775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707,848</w:t>
            </w:r>
          </w:p>
        </w:tc>
        <w:tc>
          <w:tcPr>
            <w:tcW w:w="20" w:type="dxa"/>
            <w:vAlign w:val="bottom"/>
          </w:tcPr>
          <w:p>
            <w:pPr>
              <w:spacing w:after="0"/>
              <w:rPr>
                <w:sz w:val="18"/>
                <w:szCs w:val="18"/>
                <w:color w:val="auto"/>
              </w:rPr>
            </w:pPr>
          </w:p>
        </w:tc>
      </w:tr>
      <w:tr>
        <w:trPr>
          <w:trHeight w:val="198"/>
        </w:trPr>
        <w:tc>
          <w:tcPr>
            <w:tcW w:w="2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107,476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95,016</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(14,361)</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334,637</w:t>
            </w:r>
          </w:p>
        </w:tc>
        <w:tc>
          <w:tcPr>
            <w:tcW w:w="20" w:type="dxa"/>
            <w:vAlign w:val="bottom"/>
          </w:tcPr>
          <w:p>
            <w:pPr>
              <w:spacing w:after="0"/>
              <w:rPr>
                <w:sz w:val="20"/>
                <w:szCs w:val="20"/>
                <w:color w:val="auto"/>
              </w:rPr>
            </w:pPr>
          </w:p>
        </w:tc>
      </w:tr>
      <w:tr>
        <w:trPr>
          <w:trHeight w:val="236"/>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20" w:type="dxa"/>
            <w:vAlign w:val="bottom"/>
          </w:tcPr>
          <w:p>
            <w:pPr>
              <w:spacing w:after="0"/>
              <w:rPr>
                <w:sz w:val="20"/>
                <w:szCs w:val="20"/>
                <w:color w:val="auto"/>
              </w:rPr>
            </w:pPr>
          </w:p>
        </w:tc>
      </w:tr>
      <w:tr>
        <w:trPr>
          <w:trHeight w:val="210"/>
        </w:trPr>
        <w:tc>
          <w:tcPr>
            <w:tcW w:w="20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115,596</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119,936</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100,125</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24,282</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14,483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374,422</w:t>
            </w:r>
          </w:p>
        </w:tc>
        <w:tc>
          <w:tcPr>
            <w:tcW w:w="20" w:type="dxa"/>
            <w:vAlign w:val="bottom"/>
          </w:tcPr>
          <w:p>
            <w:pPr>
              <w:spacing w:after="0"/>
              <w:rPr>
                <w:sz w:val="18"/>
                <w:szCs w:val="18"/>
                <w:color w:val="auto"/>
              </w:rPr>
            </w:pPr>
          </w:p>
        </w:tc>
      </w:tr>
      <w:tr>
        <w:trPr>
          <w:trHeight w:val="648"/>
        </w:trPr>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2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our operating results, for the periods indicated, as a percentage of net sales by segment.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25, 2022</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318"/>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8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2"/>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20"/>
        </w:trPr>
        <w:tc>
          <w:tcPr>
            <w:tcW w:w="55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June 26, 2021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8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gridSpan w:val="2"/>
          </w:tcPr>
          <w:p>
            <w:pPr>
              <w:ind w:left="7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r>
      <w:tr>
        <w:trPr>
          <w:trHeight w:val="220"/>
        </w:trPr>
        <w:tc>
          <w:tcPr>
            <w:tcW w:w="55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68"/>
        </w:trPr>
        <w:tc>
          <w:tcPr>
            <w:tcW w:w="2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25, 2022</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r>
        <w:trPr>
          <w:trHeight w:val="220"/>
        </w:trPr>
        <w:tc>
          <w:tcPr>
            <w:tcW w:w="5540" w:type="dxa"/>
            <w:vAlign w:val="bottom"/>
            <w:gridSpan w:val="14"/>
          </w:tcPr>
          <w:p>
            <w:pPr>
              <w:ind w:left="2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82"/>
        </w:trPr>
        <w:tc>
          <w:tcPr>
            <w:tcW w:w="2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26, 2021</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318"/>
        </w:trPr>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1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Industrial</w:t>
            </w:r>
          </w:p>
        </w:tc>
        <w:tc>
          <w:tcPr>
            <w:tcW w:w="11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1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12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198"/>
        </w:trPr>
        <w:tc>
          <w:tcPr>
            <w:tcW w:w="2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16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from operations</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6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w:t>
            </w:r>
          </w:p>
        </w:tc>
        <w:tc>
          <w:tcPr>
            <w:tcW w:w="200" w:type="dxa"/>
            <w:vAlign w:val="bottom"/>
            <w:tcBorders>
              <w:top w:val="single" w:sz="8" w:color="CCEEFF"/>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w:t>
            </w: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Actual percentages are calculated and may not sum to total due to rounding.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design, manufacture and market wood and wood-alternative products, primarily used to enhance outdoor living environments, for national home centers and other retailers, structural lumber and other products for the manufactured housing industry, engineered wood components for residential and commercial construction, customized interior fixtures used in a variety of retail stores, commercial, and other structures, and specialty wood packaging, components and packing materials for various industries. Our strategic long-term sales objectives include:</w:t>
      </w:r>
    </w:p>
    <w:p>
      <w:pPr>
        <w:spacing w:after="0" w:line="183" w:lineRule="exact"/>
        <w:rPr>
          <w:sz w:val="20"/>
          <w:szCs w:val="20"/>
          <w:color w:val="auto"/>
        </w:rPr>
      </w:pPr>
    </w:p>
    <w:p>
      <w:pPr>
        <w:jc w:val="both"/>
        <w:ind w:left="380" w:right="79" w:hanging="330"/>
        <w:spacing w:after="0" w:line="266"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Maximizing unit sales growth while achieving return on investment goals.</w:t>
      </w:r>
      <w:r>
        <w:rPr>
          <w:rFonts w:ascii="Times New Roman" w:cs="Times New Roman" w:eastAsia="Times New Roman" w:hAnsi="Times New Roman"/>
          <w:sz w:val="18"/>
          <w:szCs w:val="18"/>
          <w:color w:val="auto"/>
        </w:rPr>
        <w:t xml:space="preserve"> The following table presents estimates, for the periods indicated, of our percentage change in net sales which were attributable to changes in overall selling prices versus changes in units shipped.</w:t>
      </w:r>
    </w:p>
    <w:p>
      <w:pPr>
        <w:spacing w:after="0" w:line="182" w:lineRule="exact"/>
        <w:rPr>
          <w:rFonts w:ascii="Times New Roman" w:cs="Times New Roman" w:eastAsia="Times New Roman" w:hAnsi="Times New Roman"/>
          <w:sz w:val="18"/>
          <w:szCs w:val="18"/>
          <w:color w:val="auto"/>
        </w:rPr>
      </w:pPr>
    </w:p>
    <w:p>
      <w:pPr>
        <w:ind w:left="6780" w:hanging="170"/>
        <w:spacing w:after="0"/>
        <w:tabs>
          <w:tab w:leader="none" w:pos="6780" w:val="left"/>
        </w:tabs>
        <w:numPr>
          <w:ilvl w:val="1"/>
          <w:numId w:val="1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Change</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31"/>
        </w:trPr>
        <w:tc>
          <w:tcPr>
            <w:tcW w:w="48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Selling</w:t>
            </w:r>
          </w:p>
        </w:tc>
        <w:tc>
          <w:tcPr>
            <w:tcW w:w="4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center"/>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60" w:type="dxa"/>
            <w:vAlign w:val="bottom"/>
            <w:tcBorders>
              <w:top w:val="single" w:sz="8" w:color="auto"/>
            </w:tcBorders>
            <w:gridSpan w:val="2"/>
          </w:tcPr>
          <w:p>
            <w:pPr>
              <w:jc w:val="center"/>
              <w:ind w:right="130"/>
              <w:spacing w:after="0" w:line="131"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720" w:type="dxa"/>
            <w:vAlign w:val="bottom"/>
            <w:gridSpan w:val="2"/>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Sales</w:t>
            </w:r>
          </w:p>
        </w:tc>
        <w:tc>
          <w:tcPr>
            <w:tcW w:w="86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7"/>
              </w:rPr>
              <w:t>in Units</w:t>
            </w:r>
          </w:p>
        </w:tc>
        <w:tc>
          <w:tcPr>
            <w:tcW w:w="9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76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Unit</w:t>
            </w:r>
          </w:p>
        </w:tc>
        <w:tc>
          <w:tcPr>
            <w:tcW w:w="0" w:type="dxa"/>
            <w:vAlign w:val="bottom"/>
          </w:tcPr>
          <w:p>
            <w:pPr>
              <w:spacing w:after="0"/>
              <w:rPr>
                <w:sz w:val="1"/>
                <w:szCs w:val="1"/>
                <w:color w:val="auto"/>
              </w:rPr>
            </w:pPr>
          </w:p>
        </w:tc>
      </w:tr>
      <w:tr>
        <w:trPr>
          <w:trHeight w:val="180"/>
        </w:trPr>
        <w:tc>
          <w:tcPr>
            <w:tcW w:w="48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86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740" w:type="dxa"/>
            <w:vAlign w:val="bottom"/>
            <w:gridSpan w:val="2"/>
            <w:vMerge w:val="continue"/>
          </w:tcPr>
          <w:p>
            <w:pPr>
              <w:spacing w:after="0"/>
              <w:rPr>
                <w:sz w:val="15"/>
                <w:szCs w:val="15"/>
                <w:color w:val="auto"/>
              </w:rPr>
            </w:pPr>
          </w:p>
        </w:tc>
        <w:tc>
          <w:tcPr>
            <w:tcW w:w="9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6"/>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 2022 versus Second quarter 2021</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4"/>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Year-to-date 2022 versus Year-to-date 2021</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19.1 %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left="380" w:right="79" w:hanging="330"/>
        <w:spacing w:after="0" w:line="26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Diversifying our end market sales mix</w:t>
      </w:r>
      <w:r>
        <w:rPr>
          <w:rFonts w:ascii="Times New Roman" w:cs="Times New Roman" w:eastAsia="Times New Roman" w:hAnsi="Times New Roman"/>
          <w:sz w:val="18"/>
          <w:szCs w:val="18"/>
          <w:color w:val="auto"/>
        </w:rPr>
        <w:t xml:space="preserve"> by increasing sales of structural wood and protective packaging to industrial users, increasing our penetration of the concrete forming market, increasing our sales of engineered wood components for custom home, multi-family, military and light commercial construction, and increasing our market share with independent retailers.</w:t>
      </w:r>
    </w:p>
    <w:p>
      <w:pPr>
        <w:spacing w:after="0" w:line="17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Expanding geographically in our core businesses</w:t>
      </w:r>
      <w:r>
        <w:rPr>
          <w:rFonts w:ascii="Times New Roman" w:cs="Times New Roman" w:eastAsia="Times New Roman" w:hAnsi="Times New Roman"/>
          <w:sz w:val="18"/>
          <w:szCs w:val="18"/>
          <w:color w:val="auto"/>
        </w:rPr>
        <w:t>, domestically and internationally.</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Increasing our sales of "value-added" products and enhancing our product offering with new or improved products. </w:t>
      </w:r>
      <w:r>
        <w:rPr>
          <w:rFonts w:ascii="Times New Roman" w:cs="Times New Roman" w:eastAsia="Times New Roman" w:hAnsi="Times New Roman"/>
          <w:sz w:val="18"/>
          <w:szCs w:val="18"/>
          <w:color w:val="auto"/>
        </w:rPr>
        <w:t>Value-added products generally consist of fencing, decking, lattice, and other specialty products sold to the retail market, structural wood packaging, engineered wood components, customized interior fixtures, manufactured and assembled concrete forms, and "wood alternative" products. Engineered wood components include roof trusses, wall panels, and floor systems. Wood alternative products consist of products manufactured with wood and non-wood composites, metal, and plastics. Although we consider the treatment of dimensional lumber and panels with certain chemical preservatives a value-added process, treated lumber is not presently included in the value-added sales totals. Remanufactured lumber and panels that are components of finished goods are also generally categorized as “commodity-based” products.</w:t>
      </w:r>
    </w:p>
    <w:p>
      <w:pPr>
        <w:spacing w:after="0" w:line="188" w:lineRule="exact"/>
        <w:rPr>
          <w:sz w:val="20"/>
          <w:szCs w:val="20"/>
          <w:color w:val="auto"/>
        </w:rPr>
      </w:pPr>
    </w:p>
    <w:p>
      <w:pPr>
        <w:ind w:left="380" w:right="59"/>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our percentage of value-added and commodity-based sales to total sales by our segments: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160" w:type="dxa"/>
            <w:vAlign w:val="bottom"/>
          </w:tcPr>
          <w:p>
            <w:pPr>
              <w:spacing w:after="0"/>
              <w:rPr>
                <w:sz w:val="15"/>
                <w:szCs w:val="15"/>
                <w:color w:val="auto"/>
              </w:rPr>
            </w:pPr>
          </w:p>
        </w:tc>
        <w:tc>
          <w:tcPr>
            <w:tcW w:w="23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25, 2022</w:t>
            </w: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26, 2021</w:t>
            </w:r>
          </w:p>
        </w:tc>
      </w:tr>
      <w:tr>
        <w:trPr>
          <w:trHeight w:val="169"/>
        </w:trPr>
        <w:tc>
          <w:tcPr>
            <w:tcW w:w="4160" w:type="dxa"/>
            <w:vAlign w:val="bottom"/>
          </w:tcPr>
          <w:p>
            <w:pPr>
              <w:spacing w:after="0"/>
              <w:rPr>
                <w:sz w:val="14"/>
                <w:szCs w:val="14"/>
                <w:color w:val="auto"/>
              </w:rPr>
            </w:pPr>
          </w:p>
        </w:tc>
        <w:tc>
          <w:tcPr>
            <w:tcW w:w="2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00" w:type="dxa"/>
            <w:vAlign w:val="bottom"/>
          </w:tcPr>
          <w:p>
            <w:pPr>
              <w:spacing w:after="0"/>
              <w:rPr>
                <w:sz w:val="14"/>
                <w:szCs w:val="14"/>
                <w:color w:val="auto"/>
              </w:rPr>
            </w:pPr>
          </w:p>
        </w:tc>
        <w:tc>
          <w:tcPr>
            <w:tcW w:w="22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20" w:type="dxa"/>
            <w:vAlign w:val="bottom"/>
            <w:gridSpan w:val="2"/>
          </w:tcPr>
          <w:p>
            <w:pPr>
              <w:spacing w:after="0"/>
              <w:rPr>
                <w:sz w:val="14"/>
                <w:szCs w:val="14"/>
                <w:color w:val="auto"/>
              </w:rPr>
            </w:pPr>
          </w:p>
        </w:tc>
      </w:tr>
      <w:tr>
        <w:trPr>
          <w:trHeight w:val="216"/>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54.7 %</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60.3 %</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73.4 %</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37.8 %</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864"/>
        </w:trPr>
        <w:tc>
          <w:tcPr>
            <w:tcW w:w="4160" w:type="dxa"/>
            <w:vAlign w:val="bottom"/>
          </w:tcPr>
          <w:p>
            <w:pPr>
              <w:spacing w:after="0"/>
              <w:rPr>
                <w:sz w:val="24"/>
                <w:szCs w:val="24"/>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4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4180" w:type="dxa"/>
            <w:vAlign w:val="bottom"/>
          </w:tcPr>
          <w:p>
            <w:pPr>
              <w:spacing w:after="0"/>
              <w:rPr>
                <w:sz w:val="15"/>
                <w:szCs w:val="15"/>
                <w:color w:val="auto"/>
              </w:rPr>
            </w:pPr>
          </w:p>
        </w:tc>
        <w:tc>
          <w:tcPr>
            <w:tcW w:w="23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25, 2022</w:t>
            </w:r>
          </w:p>
        </w:tc>
        <w:tc>
          <w:tcPr>
            <w:tcW w:w="23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June 26, 2021</w:t>
            </w:r>
          </w:p>
        </w:tc>
      </w:tr>
      <w:tr>
        <w:trPr>
          <w:trHeight w:val="169"/>
        </w:trPr>
        <w:tc>
          <w:tcPr>
            <w:tcW w:w="4180" w:type="dxa"/>
            <w:vAlign w:val="bottom"/>
          </w:tcPr>
          <w:p>
            <w:pPr>
              <w:spacing w:after="0"/>
              <w:rPr>
                <w:sz w:val="14"/>
                <w:szCs w:val="14"/>
                <w:color w:val="auto"/>
              </w:rPr>
            </w:pPr>
          </w:p>
        </w:tc>
        <w:tc>
          <w:tcPr>
            <w:tcW w:w="11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Value-Added</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Commodity-Based</w:t>
            </w:r>
          </w:p>
        </w:tc>
        <w:tc>
          <w:tcPr>
            <w:tcW w:w="100" w:type="dxa"/>
            <w:vAlign w:val="bottom"/>
          </w:tcPr>
          <w:p>
            <w:pPr>
              <w:spacing w:after="0"/>
              <w:rPr>
                <w:sz w:val="14"/>
                <w:szCs w:val="14"/>
                <w:color w:val="auto"/>
              </w:rPr>
            </w:pPr>
          </w:p>
        </w:tc>
        <w:tc>
          <w:tcPr>
            <w:tcW w:w="22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Value-Added   Commodity-Based</w:t>
            </w:r>
          </w:p>
        </w:tc>
        <w:tc>
          <w:tcPr>
            <w:tcW w:w="120" w:type="dxa"/>
            <w:vAlign w:val="bottom"/>
          </w:tcPr>
          <w:p>
            <w:pPr>
              <w:spacing w:after="0"/>
              <w:rPr>
                <w:sz w:val="14"/>
                <w:szCs w:val="14"/>
                <w:color w:val="auto"/>
              </w:rPr>
            </w:pPr>
          </w:p>
        </w:tc>
      </w:tr>
      <w:tr>
        <w:trPr>
          <w:trHeight w:val="216"/>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20" w:type="dxa"/>
            <w:vAlign w:val="bottom"/>
            <w:shd w:val="clear" w:color="auto" w:fill="CCEEFF"/>
          </w:tcPr>
          <w:p>
            <w:pPr>
              <w:spacing w:after="0"/>
              <w:rPr>
                <w:sz w:val="18"/>
                <w:szCs w:val="18"/>
                <w:color w:val="auto"/>
              </w:rPr>
            </w:pPr>
          </w:p>
        </w:tc>
      </w:tr>
      <w:tr>
        <w:trPr>
          <w:trHeight w:val="21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73.9 %</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72.7 %</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20" w:type="dxa"/>
            <w:vAlign w:val="bottom"/>
          </w:tcPr>
          <w:p>
            <w:pPr>
              <w:spacing w:after="0"/>
              <w:rPr>
                <w:sz w:val="18"/>
                <w:szCs w:val="18"/>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60.5 %</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44.5 %</w:t>
            </w:r>
          </w:p>
        </w:tc>
        <w:tc>
          <w:tcPr>
            <w:tcW w:w="120" w:type="dxa"/>
            <w:vAlign w:val="bottom"/>
            <w:shd w:val="clear" w:color="auto" w:fill="CCEEFF"/>
          </w:tcPr>
          <w:p>
            <w:pPr>
              <w:spacing w:after="0"/>
              <w:rPr>
                <w:sz w:val="18"/>
                <w:szCs w:val="18"/>
                <w:color w:val="auto"/>
              </w:rPr>
            </w:pPr>
          </w:p>
        </w:tc>
      </w:tr>
    </w:tbl>
    <w:p>
      <w:pPr>
        <w:spacing w:after="0" w:line="153"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"value-added" resulted in a change in prior year's sales.</w:t>
      </w:r>
    </w:p>
    <w:p>
      <w:pPr>
        <w:spacing w:after="0" w:line="167" w:lineRule="exact"/>
        <w:rPr>
          <w:sz w:val="20"/>
          <w:szCs w:val="20"/>
          <w:color w:val="auto"/>
        </w:rPr>
      </w:pPr>
    </w:p>
    <w:p>
      <w:pPr>
        <w:jc w:val="both"/>
        <w:ind w:left="380" w:right="59"/>
        <w:spacing w:after="0" w:line="255" w:lineRule="auto"/>
        <w:rPr>
          <w:sz w:val="20"/>
          <w:szCs w:val="20"/>
          <w:color w:val="auto"/>
        </w:rPr>
      </w:pPr>
      <w:r>
        <w:rPr>
          <w:rFonts w:ascii="Times New Roman" w:cs="Times New Roman" w:eastAsia="Times New Roman" w:hAnsi="Times New Roman"/>
          <w:sz w:val="18"/>
          <w:szCs w:val="18"/>
          <w:color w:val="auto"/>
        </w:rPr>
        <w:t>Our overall unit sales of value-added products increased approximately 6% in the second quarter of 2022 compared to 2021, comprised of a 2% contribution from acquisitions and 4% organic growth. Our overall unit sales of value-added products increased approximately 6% in the first six months of 2022 compared to the same period last year, comprised of a 3% contribution from acquisitions and 3% organic growth. Our organic unit sales of commodity-based products decreased approximately 1% quarter-over-quarter and our overall unit sales of commodity-based products increased approximately 5% in the first six months of 2022 compared to the same period last year, comprised of a 4% contribution from acquisitions and 1% organic growth.</w:t>
      </w:r>
    </w:p>
    <w:p>
      <w:pPr>
        <w:spacing w:after="0" w:line="189" w:lineRule="exact"/>
        <w:rPr>
          <w:sz w:val="20"/>
          <w:szCs w:val="20"/>
          <w:color w:val="auto"/>
        </w:rPr>
      </w:pPr>
    </w:p>
    <w:p>
      <w:pPr>
        <w:jc w:val="both"/>
        <w:ind w:left="380" w:right="79" w:hanging="330"/>
        <w:spacing w:after="0" w:line="258"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Developing new products.</w:t>
      </w:r>
      <w:r>
        <w:rPr>
          <w:rFonts w:ascii="Times New Roman" w:cs="Times New Roman" w:eastAsia="Times New Roman" w:hAnsi="Times New Roman"/>
          <w:sz w:val="18"/>
          <w:szCs w:val="18"/>
          <w:color w:val="auto"/>
        </w:rPr>
        <w:t xml:space="preserve"> We define new products as those that will generate sales of at least $1 million per year within 4 years of launch and are still growing and gaining market penetration. New product sales in the second quarter of 2022 increased 37%. Approximately $211 million of new product sales for the first six months of 2021, while still sold, were sunset in 2022 and excluded from the table below because they no longer meet the definition above. Our goal is to achieve annual new product sales of at least $525 million in 2022.</w:t>
      </w:r>
    </w:p>
    <w:p>
      <w:pPr>
        <w:spacing w:after="0" w:line="18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new product sales in thousands:</w:t>
      </w:r>
    </w:p>
    <w:p>
      <w:pPr>
        <w:spacing w:after="0" w:line="31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center"/>
              <w:ind w:left="238"/>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New Product Sales by Segment</w:t>
            </w:r>
          </w:p>
        </w:tc>
        <w:tc>
          <w:tcPr>
            <w:tcW w:w="240" w:type="dxa"/>
            <w:vAlign w:val="bottom"/>
            <w:tcBorders>
              <w:bottom w:val="single" w:sz="8" w:color="auto"/>
            </w:tcBorders>
          </w:tcPr>
          <w:p>
            <w:pPr>
              <w:spacing w:after="0"/>
              <w:rPr>
                <w:sz w:val="15"/>
                <w:szCs w:val="15"/>
                <w:color w:val="auto"/>
              </w:rPr>
            </w:pPr>
          </w:p>
        </w:tc>
      </w:tr>
      <w:tr>
        <w:trPr>
          <w:trHeight w:val="155"/>
        </w:trPr>
        <w:tc>
          <w:tcPr>
            <w:tcW w:w="2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center"/>
              <w:ind w:left="258"/>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r>
      <w:tr>
        <w:trPr>
          <w:trHeight w:val="151"/>
        </w:trPr>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1"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320" w:type="dxa"/>
            <w:vAlign w:val="bottom"/>
            <w:gridSpan w:val="3"/>
          </w:tcPr>
          <w:p>
            <w:pPr>
              <w:ind w:left="240"/>
              <w:spacing w:after="0" w:line="151" w:lineRule="exact"/>
              <w:rPr>
                <w:sz w:val="20"/>
                <w:szCs w:val="20"/>
                <w:color w:val="auto"/>
              </w:rPr>
            </w:pPr>
            <w:r>
              <w:rPr>
                <w:rFonts w:ascii="Times New Roman" w:cs="Times New Roman" w:eastAsia="Times New Roman" w:hAnsi="Times New Roman"/>
                <w:sz w:val="14"/>
                <w:szCs w:val="14"/>
                <w:b w:val="1"/>
                <w:bCs w:val="1"/>
                <w:color w:val="auto"/>
              </w:rPr>
              <w:t>June 26,</w:t>
            </w:r>
          </w:p>
        </w:tc>
        <w:tc>
          <w:tcPr>
            <w:tcW w:w="520" w:type="dxa"/>
            <w:vAlign w:val="bottom"/>
          </w:tcPr>
          <w:p>
            <w:pPr>
              <w:jc w:val="right"/>
              <w:ind w:right="95"/>
              <w:spacing w:after="0" w:line="151" w:lineRule="exact"/>
              <w:rPr>
                <w:sz w:val="20"/>
                <w:szCs w:val="20"/>
                <w:color w:val="auto"/>
              </w:rPr>
            </w:pPr>
            <w:r>
              <w:rPr>
                <w:rFonts w:ascii="Calibri" w:cs="Calibri" w:eastAsia="Calibri" w:hAnsi="Calibri"/>
                <w:sz w:val="14"/>
                <w:szCs w:val="14"/>
                <w:b w:val="1"/>
                <w:bCs w:val="1"/>
                <w:color w:val="auto"/>
              </w:rPr>
              <w:t>%</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77"/>
              <w:spacing w:after="0" w:line="151"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55"/>
              <w:spacing w:after="0" w:line="151" w:lineRule="exact"/>
              <w:rPr>
                <w:sz w:val="20"/>
                <w:szCs w:val="20"/>
                <w:color w:val="auto"/>
              </w:rPr>
            </w:pPr>
            <w:r>
              <w:rPr>
                <w:rFonts w:ascii="Times New Roman" w:cs="Times New Roman" w:eastAsia="Times New Roman" w:hAnsi="Times New Roman"/>
                <w:sz w:val="14"/>
                <w:szCs w:val="14"/>
                <w:b w:val="1"/>
                <w:bCs w:val="1"/>
                <w:color w:val="auto"/>
              </w:rPr>
              <w:t>June 26,</w:t>
            </w:r>
          </w:p>
        </w:tc>
        <w:tc>
          <w:tcPr>
            <w:tcW w:w="780" w:type="dxa"/>
            <w:vAlign w:val="bottom"/>
            <w:gridSpan w:val="2"/>
          </w:tcPr>
          <w:p>
            <w:pPr>
              <w:jc w:val="right"/>
              <w:ind w:right="39"/>
              <w:spacing w:after="0" w:line="151" w:lineRule="exact"/>
              <w:rPr>
                <w:sz w:val="20"/>
                <w:szCs w:val="20"/>
                <w:color w:val="auto"/>
              </w:rPr>
            </w:pPr>
            <w:r>
              <w:rPr>
                <w:rFonts w:ascii="Calibri" w:cs="Calibri" w:eastAsia="Calibri" w:hAnsi="Calibri"/>
                <w:sz w:val="14"/>
                <w:szCs w:val="14"/>
                <w:b w:val="1"/>
                <w:bCs w:val="1"/>
                <w:color w:val="auto"/>
              </w:rPr>
              <w:t>%</w:t>
            </w:r>
          </w:p>
        </w:tc>
        <w:tc>
          <w:tcPr>
            <w:tcW w:w="240" w:type="dxa"/>
            <w:vAlign w:val="bottom"/>
          </w:tcPr>
          <w:p>
            <w:pPr>
              <w:spacing w:after="0"/>
              <w:rPr>
                <w:sz w:val="13"/>
                <w:szCs w:val="13"/>
                <w:color w:val="auto"/>
              </w:rPr>
            </w:pPr>
          </w:p>
        </w:tc>
      </w:tr>
      <w:tr>
        <w:trPr>
          <w:trHeight w:val="180"/>
        </w:trPr>
        <w:tc>
          <w:tcPr>
            <w:tcW w:w="2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119,966</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and Corporate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7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New Product Sales</w:t>
            </w: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180,833</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132,092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347,692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228,505</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Note: Certain prior year product reclassifications and the change in designation of certain products as "new" resulted in a change in prior year's sales.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Retail Segment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Net sales in the second quarter of 2022 decreased by 11% compared to the same period of 2021, due to a 5% decrease in selling prices, a 2% decrease due to the transfer of certain sales to the Construction segment this year, and an organic unit decrease of 4%. These factors were offset by acquisition unit growth of 1%. The decline in organic unit sales was experienced in nearly all of our retail business units as consumer demand begins to return to more normalized levels. By business unit, we experienced organic unit growth of 3% in UFP Edge and this was offset by organic unit decreases in our ProWood (1%), Retail Building Products (2%), Sunbelt (8%), Deckorators (9%), Handprint (18%), and Outdoor Essentials (22%) business units. Capacity expansion contributed to our unit increase in UFP Edge, and we believe investments we’ve made to expand capacity in our Deckorators and UFP Edge business units will add planned sales of nearly $100 million to the Retail segment for all of 2022. Finally, sales to big box customers were down 10%, while sales to independent retailers decreased 15%.</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$49.2 million, or 40.2% to $73.2 million for the second quarter of 2022 compared to the same period last year. The decrease in gross profit was attributable to the following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Sunbelt and ProWood business units decreased by a total of $29.9 million, primarily due to the impact that declining lumber prices had on pressure treated products sold at a variable price. A decrease in unit sales also contributed to the reduction in gross profit.</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UFP Edge and Retail Building Products business units contributed $21.1 million to the decrease in gross profits due to the impact that declining lumber prices had on products sold at a variable price in these business units.</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operations contributed $2.7 million, which partially offset the decrease in gross profits.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SG&amp;A decreased by approximately $12.0 million, or 19.9%, in the second quarter of 2022 compared to the same period of 2021. SG&amp;A of recently acquired businesses added roughly $1.5 million to overall SG&amp;A. Accrued bonus expense, which varies with our overall profitability and return on investment, decreased approximately $17.2 million from the second quarter of 2021 and totaled approximately $3.8 million for the quarter. Bonus expense was also impacted by the plan modification disclosed above. The decrease was partially offset by increases in advertising of $1.3 million, bad debt expenses of $1.1 million, travel related expenses of $0.8 million, and salaries and wages of $0.6 million.</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decreased in the second quarter of 2022 compared to 2021 by $37.5 million, or 60.5%, as a result of the factors mentioned above.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Net sales in the first six months of 2022 increased by 5% compared to the same period of 2021, due to a 4% increase in selling prices and acquisition unit growth of 6%, offset by a 2% decrease due to the transfer of certain sales to the Construction segment, and an organic unit decrease of 3%. We experienced organic unit growth of 5% in our UFP Edge business unit. This increase was offset by organic unit decreases in our ProWood (1%), Retail Building Products (4%), Sunbelt (6%), Deckorators (8%), Outdoor Essentials (14%), and Handprint (19%) business units. Capacity expansion contributed to our unit increase in UFP Edge. Finally, sales to big box customers increased 5%, while sales to independent retailers increased 3%.</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Gross profits decreased by $15.3 million, or 6.9% to $207.5 million for the first six months of 2022 compared to the same period last year. Our decrease in gross profit was attributable to the following</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profits of our Sunbelt and ProWood business units decreased by a total of $17.8 million, primarily due to the impact that declining lumber prices had on pressure treated products that are sold at a variable price.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Retail Building Products business unit contributed $13.3 million to the decrease in gross profits due to the impact that declining lumber prices had on products sold at a variable price.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operations contributed $14.3 million, which partially offset the decrease in gross profits.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SG&amp;A increased by approximately $3.6 million, or 3.3%, in the first six months of 2022 compared to the same period of 2021. SG&amp;A of recently acquired businesses added $4.1 million to overall SG&amp;A. Accrued bonus expense, which varies with our overall profitability and return on investment, decreased approximtely $10.4 million and totaled approximately $24.5 million for the first six months of 2022. Bonus expense was also impacted by the plan modification disclosed above. The remaining increase was primarily due to increases in salaries and wages of $2.7 million, advertising of $1.8 million, travel-related expenses of $1.4 million, and bad debt expenses of $0.9 million.</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Retail reportable segment decreased in the first six months of 2022 compared to 2021 by $19.7 million, or 17.0%, as a result of the factors mentioned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Industrial Segment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sales in the second quarter of 2022 increased 11% compared to the same period of 2021, due to an 11% increase in selling prices and acquisition unit growth of 1%, offset by a 1% decrease in organic unit sales. The increase in our selling prices is a result of executing value-based selling initiatives and maintaining pricing discipline as we operate in an</w:t>
      </w:r>
    </w:p>
    <w:p>
      <w:pPr>
        <w:spacing w:after="0" w:line="54"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8"/>
          <w:szCs w:val="18"/>
          <w:color w:val="auto"/>
        </w:rPr>
        <w:t>environment of elevated demand and capacity constraints. The components of our change in organic unit sales includes gains associated with $17 million in sales to new customers, $24 million of sales to new locations of existing customers, and $26 million of new product sales. These gains were offset by the loss of unit sales on less profitable accounts.</w:t>
      </w:r>
    </w:p>
    <w:p>
      <w:pPr>
        <w:spacing w:after="0" w:line="16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Gross profits increased by $27.7 million, or 20.6%, for the second quarter of 2022 compared to the same period last year. Acquisitions contributed $1.4 million to the increase in gross profit. The remaining increase is a result of the pricing increases discussed above as well as favorable changes in our value-added sales mix. Excluding acquisitions, we estimate that value-added products contributed $36.5 million to the increase in gross profit, while commodity-based products contributed to a decline of $10.2 million in gross profit. Value-added sales increased to 70.5% of total net sales in the second quarter of 2022 compared to 63.8% of total net sales in the second quarter of 2021. Additionally, the increase in new product sales contributed $11.2 million to gross profits this year ($1.4 million from acquisitions).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SG&amp;A increased by approximately $12.3 million, or 22.5%, in the second quarter of 2022 compared to the same period of 2021. Acquired operations since the second quarter of 2021 contributed approximately $1.0 million to our increase in costs. Accrued bonus expense, which varies with our overall profitability and return on investment, decreased approximately $1.4 million relative to the second quarter of 2021, and totaled $19.7 million for the quarter. Bonus expense was impacted by the plan modification disclosed above. The remaining increase was primarily due to increases in bad debt expense of $6.4 million, sales incentive compensation of $2.0 million, medical benefits expense of $0.6 million, salaries and wages of $0.4 million, and travel related expenses of $0.4 million.</w:t>
      </w:r>
    </w:p>
    <w:p>
      <w:pPr>
        <w:spacing w:after="0" w:line="18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Industrial reportable segment increased in the second quarter of 2022 compared to 2021 by $14.7 million, or 18.5%, due to the factors discussed above.</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Net sales in the first six months of 2022 increased 21% compared to the same period of 2021, due to a 23% increase in selling prices and acquisition unit growth of 1%, offset by a 3% decrease in organic unit sales. The increase in our selling prices is a result of executing value-based selling initiatives and maintaining pricing discipline as we operate in an</w:t>
      </w:r>
    </w:p>
    <w:p>
      <w:pPr>
        <w:spacing w:after="0" w:line="54"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8"/>
          <w:szCs w:val="18"/>
          <w:color w:val="auto"/>
        </w:rPr>
        <w:t>environment of elevated demand and capacity constraints. The components of our change in organic unit sales includes gains associated with $40 million in sales to new customers, $42 million of sales to new locations of existing customers, and $55 million of new product sales. These gains were offset by the loss of unit sales on less profitable accounts.</w:t>
      </w:r>
    </w:p>
    <w:p>
      <w:pPr>
        <w:spacing w:after="0" w:line="16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Gross profits increased by $96.9 million, or 45.1%, for the first six months of 2022 compared to the same period last year. Acquisitions contributed $3.1 million to the increase in gross profit. The remaining increase is a result of the pricing increases discussed above as well as favorable changes in our value-added sales mix. Excluding acquisitions, we estimate that value-added products and commodity-based products contributed $86.4 million and $7.4 million, respectively, to the increase in gross profit. Value-added sales increased to 69.2% of total net sales in the first six months of 2022 compared to 65.1% of total net sales in the first six months of 2021. Additionally, the increase in new product sales contributed $23 million to gross profits this year ($3.1 million from acquisitions).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SG&amp;A increased by approximately $39.5 million, or 41.5%, in the first six months of 2022 compared to the same period of 2021. Acquired operations since the first six months of 2021 contributed approximately $2.3 million to our increase in costs. Accrued bonus expense, which varies with our overall profitability and return on investment, increased approximately $11.7 million, and totaled $43.4 million for the six months of 2022. Bonus expense was also impacted by the plan modification disclosed above. The remaining increase was primarily due to increases in bad debt expense of $8.0 million, sales incentive compensation of $6.8 million, salaries and wages of $2.0 million, travel related expenses of $1.0 million, and medical benefits expense of $0.7 million.</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Industrial reportable segment increased in the first six months of 2022 compared to 2021 by $56.7 million, or 47.2%, due to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Construction Segment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sales in the second quarter of 2022 increased 32% compared to the same period of 2021, due to a 15% increase in selling prices, 2% due to the transfer of certain sales from the Retail segment and organic unit sales growth of 15%. The increase in our selling prices is due to a combination of an improvement in our product mix of value-added products which tend to be sold on a fixed price, elevated end market demand, and selectively selling to maximize profitability. Organic unit changes within this segment consist of increases of 63% in commercial construction, 35% in concrete forming, 16% in factory-built housing, and 1% in site-built construction.</w:t>
      </w:r>
    </w:p>
    <w:p>
      <w:pPr>
        <w:spacing w:after="0" w:line="187" w:lineRule="exact"/>
        <w:rPr>
          <w:sz w:val="20"/>
          <w:szCs w:val="20"/>
          <w:color w:val="auto"/>
        </w:rPr>
      </w:pPr>
    </w:p>
    <w:p>
      <w:pPr>
        <w:jc w:val="both"/>
        <w:ind w:left="720" w:right="7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organic increase in commercial is due primarily to an increase in sales at our idX facility in CA. As of June 25, 2022 and December 25, 2021, we estimate that backlog orders associated with commercial construction approximated $118.0 million and $84.6 million, respectively.</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organic unit increase in concrete forming is comprised of a 64% increase in our value-added unit sales and a 10% increase in our commodity-based unit sales. The unit increase in value-added sales is due to an increase in concrete form and engineered wood product sales to new customers and existing customers.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organic unit increase in factory-built is primarily due to an increase in industry production and an increase in new products sales of $11.1 million.</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constraints impacted our ability to grow our site-built business unit. Consequently we have been selective in the business we take in order to maximize profitability. As of June 25, 2022 and December 25, 2021, we estimate that backlog orders associated with site-built construction approximated $160.6 million and $113.5 million, respectively.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increased by $93.0 million, or 69.3%, for the second quarter of 2022 compared to the same period of 2021.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our gross profit was comprised of the following factors:</w:t>
      </w:r>
    </w:p>
    <w:p>
      <w:pPr>
        <w:spacing w:after="0" w:line="207" w:lineRule="exact"/>
        <w:rPr>
          <w:sz w:val="20"/>
          <w:szCs w:val="20"/>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site-built construction business unit increased by $72.5 million as a result of being more selective in the business that we take during this period of elevated demand and capacity constraints.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factory-built housing business unit increased $10.9 million as a result of increased unit sales and leveraging fixed costs. In addition, value-added sales in this business unit increased to 55.3% of total net sales in the second quarter of 2022 compared to 46.7% of total net sales in the second quarter of 2021. The increase in new product sales contributed $1.8 million in gross profits this year.</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increased $7.6 million as a result of increased unit sales, better productivity and other operational improvements, and improved pricing discipline.</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increased by $1.7 million, including $2.9 million as a result of the transfer of sales from the Retail segment.</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contributed $0.3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SG&amp;A increased by approximately $27.7 million, or 41.4%, in the second quarter of 2022 compared to the same period of 2021. Acquired operations since the second quarter of 2021 contributed approximately $0.3 million to total SG&amp;A for the quarter. Accrued bonus expense, which varies with our overall profitability and return on investment, increased approximately $11.0 million, and totaled $28.7 million for the quarter. Bonus expense was also impacted by previously discussed modifications in our plan. The remaining increase was primarily due to increases in sales incentive compensation of $8.9 million, salaries and wages of $1.3 million, bad debt expense of $1.3 million, and travel related expenses of $0.7 million.</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increased in the second quarter of 2022 compared to 2021 by $65.7 million, or 97.9%, due to the factors mentioned above.</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sales in the first six months of 2022 increased 36% compared to the same period of 2021, due to a 20% increase in selling prices, 3% due to the transfer of certain sales from the Retail segment, and organic unit sales growth of 13%. Organic unit changes within this segment consisted of increases of 48% in commercial construction, 26% in concrete forming, and 16% in factory-built housing. The organic unit sales of our site-built business unit remained flat due to capacity constraints.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Gross profits increased by $165.8 million, or 74.3%, for the first six months of 2022 compared to the same period of 2021.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our gross profit was comprised of the following factors:</w:t>
      </w:r>
    </w:p>
    <w:p>
      <w:pPr>
        <w:spacing w:after="0" w:line="207" w:lineRule="exact"/>
        <w:rPr>
          <w:sz w:val="20"/>
          <w:szCs w:val="20"/>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site-built construction business unit increased by $108.4 million as a result of being more selective in the business that we take during this period of elevated demand and capacity constraints.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profits in our factory-built housing business unit increased $36.3 million as a result of increased unit sales and leveraging fixed costs. In addition, value-added sales in this business unit increased to 54.6% of total net sales in the first six months of 2022 compared to 47.5% of total net sales in the first six months of 2021. The increase in new product sales contributed $4.6 million in gross profits this year.</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concrete forming business unit increased by $10.2 million, including $6.7 million as a result of the transfer of sales from the Retail segment.</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profit of our commercial construction business unit increased $9.7 million as a result of increased unit sales, better productivity and other operational improvements, as well as improved pricing discipline.</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contributed $1.2 million.</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SG&amp;A increased by approximately $54.5 million, or 44.5%, in the first six months of 2022 compared to the same period of 2021. Acquired operations since the first six months of 2021 contributed approximately $1.2 million to total SG&amp;A for the quarter. Accrued bonus expense, which varies with our overall profitability and return on investment, increased approximately $24.6 million, and totaled $51.3 million for the first six months of 2022. Bonus expense was also impacted by previously discussed modifications in our plan. The remaining increase was primarily due to increases in sales incentive compensation of $15.5 million, salaries and wages of $3.4 million, bad debt expense of $2.7 million, and travel related expenses of $1.4 million.</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Earnings from operations for the Construction reportable segment increased in the first six months of 2022 compared to 2021 by $111.5 million, or 111.4%, due to the factors mentioned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All Other Segment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All Other reportable segment consists of our International and Ardellis (our insurance captive) segments that are not significant.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corporate segment consists of over (under) allocated costs that are not significant.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Effective tax rates differ from statutory federal income tax rates, primarily due to provisions for foreign, state and local income taxes and permanent tax differences. Our effective tax rate was 25.0% in the second quarter of 2022 compared to 25.0% for same period in 2021 and was 24.5% in the first six months of 2022 compared to 24.4% for the same period in 2021. Permanent tax differences and credits have remained relatively consistent from 2021 to 2022, which is the primary reason the rate increased only slightly.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no significant off-balance sheet transactions.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table below presents, for the periods indicated, a summary of our cash flow statement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57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5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95"/>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14"/>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r>
      <w:tr>
        <w:trPr>
          <w:trHeight w:val="180"/>
        </w:trPr>
        <w:tc>
          <w:tcPr>
            <w:tcW w:w="57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from (used in) operating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(115,733)</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(513,998)</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from financing activities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237,926</w:t>
            </w:r>
          </w:p>
        </w:tc>
      </w:tr>
      <w:tr>
        <w:trPr>
          <w:trHeight w:val="22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all cash and cash equivalents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(391,693)</w:t>
            </w:r>
          </w:p>
        </w:tc>
      </w:tr>
      <w:tr>
        <w:trPr>
          <w:trHeight w:val="223"/>
        </w:trPr>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291,223</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436,608</w:t>
            </w:r>
          </w:p>
        </w:tc>
      </w:tr>
      <w:tr>
        <w:trPr>
          <w:trHeight w:val="216"/>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138,800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44,915</w:t>
            </w:r>
          </w:p>
        </w:tc>
      </w:tr>
      <w:tr>
        <w:trPr>
          <w:trHeight w:val="20"/>
        </w:trPr>
        <w:tc>
          <w:tcPr>
            <w:tcW w:w="5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general, we fund our growth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Seasonality has a significant impact on our working capital due to our primary selling season which occurs during the period from March to September. Consequently, our working capital increases during our first and second quarters which typically results in negative or modest cash flows from operations during those periods. Conversely, we typically experience a substantial decrease in working capital once we move beyond our peak selling season which typically results in significant cash flows from operations in our third and fourth quarters.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increased to 51 days from 48 days during the second quarter of 2022 compared to the prior year period.</w:t>
      </w:r>
    </w:p>
    <w:p>
      <w:pPr>
        <w:spacing w:after="0" w:line="187" w:lineRule="exact"/>
        <w:rPr>
          <w:sz w:val="20"/>
          <w:szCs w:val="20"/>
          <w:color w:val="auto"/>
        </w:rPr>
      </w:pPr>
    </w:p>
    <w:tbl>
      <w:tblPr>
        <w:tblLayout w:type="fixed"/>
        <w:tblInd w:w="94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14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24"/>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780" w:type="dxa"/>
            <w:vAlign w:val="bottom"/>
            <w:tcBorders>
              <w:top w:val="single" w:sz="8" w:color="auto"/>
            </w:tcBorders>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June 25,</w:t>
            </w:r>
          </w:p>
        </w:tc>
        <w:tc>
          <w:tcPr>
            <w:tcW w:w="58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80" w:type="dxa"/>
            <w:vAlign w:val="bottom"/>
          </w:tcPr>
          <w:p>
            <w:pPr>
              <w:spacing w:after="0"/>
              <w:rPr>
                <w:sz w:val="10"/>
                <w:szCs w:val="10"/>
                <w:color w:val="auto"/>
              </w:rPr>
            </w:pPr>
          </w:p>
        </w:tc>
        <w:tc>
          <w:tcPr>
            <w:tcW w:w="520" w:type="dxa"/>
            <w:vAlign w:val="bottom"/>
            <w:tcBorders>
              <w:top w:val="single" w:sz="8" w:color="auto"/>
            </w:tcBorders>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w w:val="96"/>
              </w:rPr>
              <w:t>June 25,</w:t>
            </w:r>
          </w:p>
        </w:tc>
        <w:tc>
          <w:tcPr>
            <w:tcW w:w="700" w:type="dxa"/>
            <w:vAlign w:val="bottom"/>
            <w:tcBorders>
              <w:top w:val="single" w:sz="8" w:color="auto"/>
            </w:tcBorders>
            <w:gridSpan w:val="2"/>
          </w:tcPr>
          <w:p>
            <w:pPr>
              <w:jc w:val="right"/>
              <w:spacing w:after="0" w:line="124" w:lineRule="exact"/>
              <w:rPr>
                <w:sz w:val="20"/>
                <w:szCs w:val="20"/>
                <w:color w:val="auto"/>
              </w:rPr>
            </w:pPr>
            <w:r>
              <w:rPr>
                <w:rFonts w:ascii="Times New Roman" w:cs="Times New Roman" w:eastAsia="Times New Roman" w:hAnsi="Times New Roman"/>
                <w:sz w:val="14"/>
                <w:szCs w:val="14"/>
                <w:b w:val="1"/>
                <w:bCs w:val="1"/>
                <w:color w:val="auto"/>
              </w:rPr>
              <w:t>June 26,</w:t>
            </w:r>
          </w:p>
        </w:tc>
        <w:tc>
          <w:tcPr>
            <w:tcW w:w="180" w:type="dxa"/>
            <w:vAlign w:val="bottom"/>
          </w:tcPr>
          <w:p>
            <w:pPr>
              <w:spacing w:after="0"/>
              <w:rPr>
                <w:sz w:val="10"/>
                <w:szCs w:val="10"/>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5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70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of sales outstanding</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Days supply of inventory</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Days payables outstanding</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03"/>
        </w:trPr>
        <w:tc>
          <w:tcPr>
            <w:tcW w:w="41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Days in cash cycle</w:t>
            </w: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7"/>
                <w:szCs w:val="17"/>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increase in our cash cycle in the second quarter of 2022 compared to the same period of 2021 was primarily due to a two day increase in our days supply of inventory as well as a one day increase in our receivables cycle. The increase in our cash cycle in the first six months of 2022 compared to the same period of 2021 was primarily due to a three day increase in our days supply of inventory. The increases in our days supply of inventory are generally due to carrying greater amounts of safety stock due to supply and transportation constraints.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cash flows from operations for the first six months of 2022 increased to $90 million compared to $116 million of cash used in operations during the first six months of 2021. This improvement in operational cash flows is due to net earnings and non-cash expenses totaling $475 million, compared to $328 million last year, offset by a $385 million increase in net working capital since the end of last year, compared to a $444 million increase in the prior year. Last year, our inventories increased more significantly from the beginning of the year until the end of June primarily due to an increase in lumber prices, which remained elevated at the end of the second quarter.</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Purchases of property, plant, and equipment and acquisitions (refer to Note F for Business Combinations) comprised most of our cash used in investing activities during the first six months of 2022 and totaled $71.7 million and $39.3 million, respectively. Net purchases of investments totaled $6.9 million. Total proceeds from the sales of property, plant, and equipment were $2.0 million. Outstanding purchase commitments on existing capital projects totaled approximately $80.4 million on June 25, 2022. Capital spending primarily consists of several projects to expand capacity to manufacture new and value-added products, achieve efficiencies through automation, make improvements to a number of facilities, and increase our transportation capacity (tractors, trailers) in order to meet higher volumes and replace older rolling stock. We intend to fund capital expenditures and purchase commitments through our operating cash flows for the balance of the year. We currently plan to spend between $175 million to $225 million on capital projects for the year with variability due to uncertainty about supplier lead times. Notable areas of capital spending include projects to increase the capacity and efficiency of our plants that produce our Deckorators mineral-based composite and wood-plastic composite decking and our UFP Edge siding, pattern and trim products, expand the capacity of machine-built pallet and site-built business units, and take advantage of automation opportunities.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Cash flows from financing activities consisted of cash paid for repurchases of common stock of $90.8 million. We repurchased approximately 1.21 million shares of our common stock for $93.2 million for the year at an average share price of $77.06, of which $90.8 million was paid in cash and the remaining $2.4 million was accrued. The total number of remaining shares that may be repurchased under the program is approximately 1.4 million. Dividends paid during the first six months of 2022 include first quarter dividends of $12.5 million ($0.20 per share) and second quarter dividends of $15.5 million ($0.25 per share). On July 20, 2022, the Board approved a quarterly dividend payment of $0.25 per share, payable on September 15, 2022, to shareholders of record on September 1, 2022. Net repayments of debt were approximately $2.9 million and distributions to noncontrolling interests were $2.1 million. We have debt maturities of $38.7 million due in December of this year which we intend to repay through operating cash flows and available cash balances.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25, 2022, we had $7.2 million outstanding on our $550 million revolving credit facility, and we had approximately $535.7 million in remaining availability after considering $7.1 million in outstanding letters of credit.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June 25, 2022.</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At the end of the second quarter of 2022, we have approximately $1.2 billion in total liquidity, consisting of our net cash surplus and remaining availability under our revolving credit facility and a shelf agreement with certain lenders providing up to $500 million in borrowing capacity.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CONSIDERATIONS AND REGULATIONS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See Notes to Unaudited Consolidated Condensed Financial Statements, Note E, “Commitments, Contingencies, and Guarantees.”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25, 2021.</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3. Quantitative and Qualitative Disclosures about Market Risk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 margins, and our profitability. We anticipate that these fluctuations will continue in the future. (See “Impact of the Lumber Market on Our Operating Results.”)</w:t>
      </w:r>
    </w:p>
    <w:p>
      <w:pPr>
        <w:spacing w:after="0" w:line="18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may enter into forward foreign exchange rate contracts in the future to mitigate foreign currency exchange risk. Historically, our hedge contracts are deemed immaterial to the financial statements, however any material hedge contract in the future will be disclosed.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4. Controls and Procedures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80" w:right="79" w:hanging="317"/>
        <w:spacing w:after="0" w:line="261"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Procedures</w:t>
      </w:r>
      <w:r>
        <w:rPr>
          <w:rFonts w:ascii="Times New Roman" w:cs="Times New Roman" w:eastAsia="Times New Roman" w:hAnsi="Times New Roman"/>
          <w:sz w:val="18"/>
          <w:szCs w:val="18"/>
          <w:color w:val="auto"/>
        </w:rPr>
        <w:t>. With the participation of management, our chief executive officer and chief financial officer, after evaluating the effectiveness of our disclosure controls and procedures (as defined in Exchange Act Rules 13a – 15e and 15d – 15e) as of the quarter ended June 25, 2022 (the “Evaluation Date”), have concluded that, as of such date, our disclosure controls and procedures were effective.</w:t>
      </w:r>
    </w:p>
    <w:p>
      <w:pPr>
        <w:spacing w:after="0" w:line="179" w:lineRule="exact"/>
        <w:rPr>
          <w:rFonts w:ascii="Times New Roman" w:cs="Times New Roman" w:eastAsia="Times New Roman" w:hAnsi="Times New Roman"/>
          <w:sz w:val="18"/>
          <w:szCs w:val="18"/>
          <w:color w:val="auto"/>
        </w:rPr>
      </w:pPr>
    </w:p>
    <w:p>
      <w:pPr>
        <w:jc w:val="both"/>
        <w:ind w:left="880" w:right="79" w:hanging="317"/>
        <w:spacing w:after="0" w:line="266" w:lineRule="auto"/>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Controls</w:t>
      </w:r>
      <w:r>
        <w:rPr>
          <w:rFonts w:ascii="Times New Roman" w:cs="Times New Roman" w:eastAsia="Times New Roman" w:hAnsi="Times New Roman"/>
          <w:sz w:val="18"/>
          <w:szCs w:val="18"/>
          <w:color w:val="auto"/>
        </w:rPr>
        <w:t>. During the quarter ended June 25, 2022, there were no changes in our internal control over financial reporting that materially affected, or is reasonably likely to materially affect, our internal control over financial reporting.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2. Unregistered Sales of Equity Securities and Use of Proceeds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880" w:hanging="317"/>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880" w:hanging="317"/>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5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Fiscal Month</w:t>
            </w: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w:t>
            </w:r>
          </w:p>
        </w:tc>
        <w:tc>
          <w:tcPr>
            <w:tcW w:w="14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w:t>
            </w: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r>
      <w:tr>
        <w:trPr>
          <w:trHeight w:val="425"/>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27 – April 30,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755,558</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77.40</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755,558</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1,803,958</w:t>
            </w:r>
          </w:p>
        </w:tc>
      </w:tr>
      <w:tr>
        <w:trPr>
          <w:trHeight w:val="432"/>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May 1 – 28, 2022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363,659</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77.54</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363,659</w:t>
            </w:r>
          </w:p>
        </w:tc>
        <w:tc>
          <w:tcPr>
            <w:tcW w:w="1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1,440,299</w:t>
            </w:r>
          </w:p>
        </w:tc>
      </w:tr>
      <w:tr>
        <w:trPr>
          <w:trHeight w:val="432"/>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29 – June 25,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46,051</w:t>
            </w: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65.00</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46,051</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1,394,248</w:t>
            </w:r>
          </w:p>
        </w:tc>
      </w:tr>
      <w:tr>
        <w:trPr>
          <w:trHeight w:val="108"/>
        </w:trPr>
        <w:tc>
          <w:tcPr>
            <w:tcW w:w="224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w:t>
      </w:r>
    </w:p>
    <w:p>
      <w:pPr>
        <w:spacing w:after="0" w:line="2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paid per share.</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shares purchased as part of publicly announced plans or programs.</w:t>
      </w:r>
    </w:p>
    <w:p>
      <w:pPr>
        <w:spacing w:after="0" w:line="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number of shares that may yet be purchased under the plans or programs.</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November 14, 2001, the Board of Directors approved a share repurchase program (which succeeded a previous program) allowing us to repurchase up to 2.5 million shares of our common stock. On October 14, 2010, our Board authorized 2 million shares to be repurchased under our share repurchase program. On February 15, 2022, our Board authorized an additional 1.5 million shares to be repurchased under our existing share repurchase program. The total number of remaining shares that may be repurchased under the program is approximately 1.4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5. 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Item 6. Exhibits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following exhibits (listed by number corresponding to the Exhibit Table as Item 601 in Regulation S-K) are filed with this report:</w:t>
      </w:r>
    </w:p>
    <w:p>
      <w:pPr>
        <w:spacing w:after="0" w:line="175" w:lineRule="exact"/>
        <w:rPr>
          <w:sz w:val="20"/>
          <w:szCs w:val="20"/>
          <w:color w:val="auto"/>
        </w:rPr>
      </w:pPr>
    </w:p>
    <w:p>
      <w:pPr>
        <w:ind w:left="540" w:hanging="490"/>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302 of the Sarbanes-Oxley Act of 2002 (18 U.S.C. 1350).</w:t>
      </w:r>
    </w:p>
    <w:p>
      <w:pPr>
        <w:spacing w:after="0" w:line="161" w:lineRule="exact"/>
        <w:rPr>
          <w:rFonts w:ascii="Times New Roman" w:cs="Times New Roman" w:eastAsia="Times New Roman" w:hAnsi="Times New Roman"/>
          <w:sz w:val="18"/>
          <w:szCs w:val="18"/>
          <w:color w:val="auto"/>
        </w:rPr>
      </w:pPr>
    </w:p>
    <w:p>
      <w:pPr>
        <w:ind w:left="540" w:hanging="490"/>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Certifications.</w:t>
      </w:r>
    </w:p>
    <w:p>
      <w:pPr>
        <w:spacing w:after="0" w:line="225"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Executive Officer of UFP Industries, Inc., pursuant to Section 906 of the Sarbanes-Oxley Act of 2002 (18 U.S.C. 1350).</w:t>
      </w:r>
    </w:p>
    <w:p>
      <w:pPr>
        <w:spacing w:after="0" w:line="161" w:lineRule="exact"/>
        <w:rPr>
          <w:rFonts w:ascii="Times New Roman" w:cs="Times New Roman" w:eastAsia="Times New Roman" w:hAnsi="Times New Roman"/>
          <w:sz w:val="18"/>
          <w:szCs w:val="18"/>
          <w:color w:val="auto"/>
        </w:rPr>
      </w:pPr>
    </w:p>
    <w:p>
      <w:pPr>
        <w:ind w:left="1100" w:right="139" w:hanging="564"/>
        <w:spacing w:after="0" w:line="282" w:lineRule="auto"/>
        <w:tabs>
          <w:tab w:leader="none" w:pos="11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Certificate of the Chief Financial Officer of UFP Industries, Inc., pursuant to Section 906 of the Sarbanes-Oxley Act of 2002 (18 U.S.C. 1350).</w:t>
      </w:r>
    </w:p>
    <w:p>
      <w:pPr>
        <w:spacing w:after="0" w:line="162" w:lineRule="exact"/>
        <w:rPr>
          <w:sz w:val="20"/>
          <w:szCs w:val="20"/>
          <w:color w:val="auto"/>
        </w:rPr>
      </w:pPr>
    </w:p>
    <w:p>
      <w:pPr>
        <w:ind w:left="540" w:right="1859" w:hanging="490"/>
        <w:spacing w:after="0" w:line="50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 formatted in iXBRL (Inline eXtensible Business Reporting Language). (INS) iXBRL Instance Document.</w:t>
      </w:r>
    </w:p>
    <w:p>
      <w:pPr>
        <w:spacing w:after="0" w:line="1"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 iXBRL Schema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(CAL) iXBRL Taxonomy Extension Calculation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(LAB) iXBRL Taxonomy Extension Label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(PRE)  iXBRL Taxonomy Extension Presentation Linkbase Document.</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(DEF) iXBRL Taxonomy Extension Definition Linkbase Document.</w:t>
      </w:r>
    </w:p>
    <w:p>
      <w:pPr>
        <w:spacing w:after="0" w:line="225" w:lineRule="exact"/>
        <w:rPr>
          <w:sz w:val="20"/>
          <w:szCs w:val="20"/>
          <w:color w:val="auto"/>
        </w:rPr>
      </w:pPr>
    </w:p>
    <w:p>
      <w:pPr>
        <w:ind w:left="540" w:hanging="490"/>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August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August 3, 2022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jc w:val="center"/>
        <w:ind w:right="2639"/>
        <w:spacing w:after="0"/>
        <w:rPr>
          <w:sz w:val="20"/>
          <w:szCs w:val="20"/>
          <w:color w:val="auto"/>
        </w:rPr>
      </w:pPr>
      <w:r>
        <w:rPr>
          <w:rFonts w:ascii="Times New Roman" w:cs="Times New Roman" w:eastAsia="Times New Roman" w:hAnsi="Times New Roman"/>
          <w:sz w:val="17"/>
          <w:szCs w:val="17"/>
          <w:b w:val="1"/>
          <w:bCs w:val="1"/>
          <w:color w:val="auto"/>
        </w:rPr>
        <w:t>UFP INDUSTRIES,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J. Missad,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and Principal Executive Officer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17145</wp:posOffset>
            </wp:positionV>
            <wp:extent cx="26657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R. Cole,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ectPr>
          <w:pgSz w:w="11900" w:h="16838" w:orient="portrait"/>
          <w:cols w:equalWidth="0" w:num="2">
            <w:col w:w="3700" w:space="720"/>
            <w:col w:w="4599"/>
          </w:cols>
          <w:pgMar w:left="1440" w:top="540" w:right="1440"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37" w:name="page38"/>
    <w:bookmarkEnd w:id="3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Matthew J. Missad, certify that:</w:t>
      </w:r>
    </w:p>
    <w:p>
      <w:pPr>
        <w:spacing w:after="0" w:line="225" w:lineRule="exact"/>
        <w:rPr>
          <w:sz w:val="20"/>
          <w:szCs w:val="20"/>
          <w:color w:val="auto"/>
        </w:rPr>
      </w:pPr>
    </w:p>
    <w:p>
      <w:pPr>
        <w:ind w:left="540" w:hanging="49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August 3,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Matthew J. Missad</w:t>
            </w:r>
          </w:p>
        </w:tc>
      </w:tr>
      <w:tr>
        <w:trPr>
          <w:trHeight w:val="21"/>
        </w:trPr>
        <w:tc>
          <w:tcPr>
            <w:tcW w:w="4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r>
        <w:trPr>
          <w:trHeight w:val="776"/>
        </w:trPr>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8" w:name="page39"/>
    <w:bookmarkEnd w:id="3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Michael R. Cole, certify that:</w:t>
      </w:r>
    </w:p>
    <w:p>
      <w:pPr>
        <w:spacing w:after="0" w:line="225" w:lineRule="exact"/>
        <w:rPr>
          <w:sz w:val="20"/>
          <w:szCs w:val="20"/>
          <w:color w:val="auto"/>
        </w:rPr>
      </w:pPr>
    </w:p>
    <w:p>
      <w:pPr>
        <w:ind w:left="540" w:hanging="490"/>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UFP Industries, Inc.;</w:t>
      </w:r>
    </w:p>
    <w:p>
      <w:pPr>
        <w:spacing w:after="0" w:line="22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1"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jc w:val="both"/>
        <w:ind w:left="540" w:right="7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860" w:right="79" w:hanging="324"/>
        <w:spacing w:after="0" w:line="266"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860" w:right="79" w:hanging="324"/>
        <w:spacing w:after="0" w:line="282" w:lineRule="auto"/>
        <w:tabs>
          <w:tab w:leader="none" w:pos="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Date: August 3,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 Michael R. Cole</w:t>
            </w:r>
          </w:p>
        </w:tc>
      </w:tr>
      <w:tr>
        <w:trPr>
          <w:trHeight w:val="21"/>
        </w:trPr>
        <w:tc>
          <w:tcPr>
            <w:tcW w:w="110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Accounting Officer</w:t>
            </w:r>
          </w:p>
        </w:tc>
      </w:tr>
      <w:tr>
        <w:trPr>
          <w:trHeight w:val="777"/>
        </w:trPr>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9" w:name="page40"/>
    <w:bookmarkEnd w:id="3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Matthew J. Missad, Chief Executive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25, 2022,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June 25, 2022,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Matthew J. Missad</w:t>
            </w: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Matthew J. Missad,</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UFP INDUSTRIES, INC.</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Pursuant to Section 906 of the Sarbanes-Oxley Act of 2002 (18 U.S.C. 1350):</w:t>
      </w:r>
    </w:p>
    <w:p>
      <w:pPr>
        <w:spacing w:after="0" w:line="225"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I, Michael R. Cole, Chief Financial Officer of UFP Industries, Inc., certify, to the best of my knowledge and belief, pursuant to Section 906 of the Sarbanes-Oxley Act of 2002 (18 U.S.C. 1350) that:</w:t>
      </w:r>
    </w:p>
    <w:p>
      <w:pPr>
        <w:spacing w:after="0" w:line="162" w:lineRule="exact"/>
        <w:rPr>
          <w:sz w:val="20"/>
          <w:szCs w:val="20"/>
          <w:color w:val="auto"/>
        </w:rPr>
      </w:pPr>
    </w:p>
    <w:p>
      <w:pPr>
        <w:jc w:val="both"/>
        <w:ind w:left="620" w:right="79" w:hanging="570"/>
        <w:spacing w:after="0" w:line="266"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quarterly period ended June 25, 2022, which this statement accompanies, fully complies with requirements of Section 13(a) or 15(d) of the Securities Exchange Act of 1934; and</w:t>
      </w:r>
    </w:p>
    <w:p>
      <w:pPr>
        <w:spacing w:after="0" w:line="175" w:lineRule="exact"/>
        <w:rPr>
          <w:rFonts w:ascii="Times New Roman" w:cs="Times New Roman" w:eastAsia="Times New Roman" w:hAnsi="Times New Roman"/>
          <w:sz w:val="18"/>
          <w:szCs w:val="18"/>
          <w:color w:val="auto"/>
        </w:rPr>
      </w:pPr>
    </w:p>
    <w:p>
      <w:pPr>
        <w:ind w:left="620" w:right="79" w:hanging="570"/>
        <w:spacing w:after="0" w:line="282" w:lineRule="auto"/>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quarterly report on Form 10-Q for the quarterly period ended June 25, 2022, fairly presents, in all material respects, the financial condition and results of operations of UFP Industries, Inc.</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UFP INDUSTRIES, INC.</w:t>
            </w:r>
          </w:p>
        </w:tc>
      </w:tr>
      <w:tr>
        <w:trPr>
          <w:trHeight w:val="392"/>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August 3, 2022</w:t>
            </w: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UFP Industries, Inc. and will be retained by UFP Industries,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631190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upperLetter"/>
      <w:start w:val="1"/>
    </w:lvl>
  </w:abstractNum>
  <w:abstractNum w:abstractNumId="3">
    <w:nsid w:val="62BBD95A"/>
    <w:multiLevelType w:val="hybridMultilevel"/>
    <w:lvl w:ilvl="0">
      <w:lvlJc w:val="left"/>
      <w:lvlText w:val="%1."/>
      <w:numFmt w:val="upperLetter"/>
      <w:start w:val="2"/>
    </w:lvl>
  </w:abstractNum>
  <w:abstractNum w:abstractNumId="4">
    <w:nsid w:val="436C6125"/>
    <w:multiLevelType w:val="hybridMultilevel"/>
    <w:lvl w:ilvl="0">
      <w:lvlJc w:val="left"/>
      <w:lvlText w:val="%1."/>
      <w:numFmt w:val="upperLetter"/>
      <w:start w:val="3"/>
    </w:lvl>
  </w:abstractNum>
  <w:abstractNum w:abstractNumId="5">
    <w:nsid w:val="628C895D"/>
    <w:multiLevelType w:val="hybridMultilevel"/>
    <w:lvl w:ilvl="0">
      <w:lvlJc w:val="left"/>
      <w:lvlText w:val="%1."/>
      <w:numFmt w:val="upperLetter"/>
      <w:start w:val="4"/>
    </w:lvl>
  </w:abstractNum>
  <w:abstractNum w:abstractNumId="6">
    <w:nsid w:val="333AB105"/>
    <w:multiLevelType w:val="hybridMultilevel"/>
    <w:lvl w:ilvl="0">
      <w:lvlJc w:val="left"/>
      <w:lvlText w:val="%1."/>
      <w:numFmt w:val="upperLetter"/>
      <w:start w:val="5"/>
    </w:lvl>
  </w:abstractNum>
  <w:abstractNum w:abstractNumId="7">
    <w:nsid w:val="721DA317"/>
    <w:multiLevelType w:val="hybridMultilevel"/>
    <w:lvl w:ilvl="0">
      <w:lvlJc w:val="left"/>
      <w:lvlText w:val="%1."/>
      <w:numFmt w:val="upperLetter"/>
      <w:start w:val="6"/>
    </w:lvl>
  </w:abstractNum>
  <w:abstractNum w:abstractNumId="8">
    <w:nsid w:val="2443A858"/>
    <w:multiLevelType w:val="hybridMultilevel"/>
    <w:lvl w:ilvl="0">
      <w:lvlJc w:val="left"/>
      <w:lvlText w:val="%1."/>
      <w:numFmt w:val="upperLetter"/>
      <w:start w:val="7"/>
    </w:lvl>
  </w:abstractNum>
  <w:abstractNum w:abstractNumId="9">
    <w:nsid w:val="2D1D5AE9"/>
    <w:multiLevelType w:val="hybridMultilevel"/>
    <w:lvl w:ilvl="0">
      <w:lvlJc w:val="left"/>
      <w:lvlText w:val="%1."/>
      <w:numFmt w:val="upperLetter"/>
      <w:start w:val="8"/>
    </w:lvl>
  </w:abstractNum>
  <w:abstractNum w:abstractNumId="10">
    <w:nsid w:val="6763845E"/>
    <w:multiLevelType w:val="hybridMultilevel"/>
    <w:lvl w:ilvl="0">
      <w:lvlJc w:val="left"/>
      <w:lvlText w:val="%1."/>
      <w:numFmt w:val="upperLetter"/>
      <w:start w:val="9"/>
    </w:lvl>
  </w:abstractNum>
  <w:abstractNum w:abstractNumId="11">
    <w:nsid w:val="75A2A8D4"/>
    <w:multiLevelType w:val="hybridMultilevel"/>
    <w:lvl w:ilvl="0">
      <w:lvlJc w:val="left"/>
      <w:lvlText w:val="%1."/>
      <w:numFmt w:val="upperLetter"/>
      <w:start w:val="10"/>
    </w:lvl>
  </w:abstractNum>
  <w:abstractNum w:abstractNumId="12">
    <w:nsid w:val="8EDBDAB"/>
    <w:multiLevelType w:val="hybridMultilevel"/>
    <w:lvl w:ilvl="0">
      <w:lvlJc w:val="left"/>
      <w:lvlText w:val="%1."/>
      <w:numFmt w:val="upperLetter"/>
      <w:start w:val="1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lvl w:ilvl="1">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decimal"/>
      <w:start w:val="31"/>
    </w:lvl>
    <w:lvl w:ilvl="1">
      <w:lvlJc w:val="left"/>
      <w:lvlText w:val="(%2)"/>
      <w:numFmt w:val="lowerLetter"/>
      <w:start w:val="1"/>
    </w:lvl>
  </w:abstractNum>
  <w:abstractNum w:abstractNumId="30">
    <w:nsid w:val="3006C83E"/>
    <w:multiLevelType w:val="hybridMultilevel"/>
    <w:lvl w:ilvl="0">
      <w:lvlJc w:val="left"/>
      <w:lvlText w:val="%1"/>
      <w:numFmt w:val="decimal"/>
      <w:start w:val="101"/>
    </w:lvl>
  </w:abstractNum>
  <w:abstractNum w:abstractNumId="31">
    <w:nsid w:val="614FD4A1"/>
    <w:multiLevelType w:val="hybridMultilevel"/>
    <w:lvl w:ilvl="0">
      <w:lvlJc w:val="left"/>
      <w:lvlText w:val="%1"/>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2022-08-03T13:43:08Z</dcterms:created>
  <dcterms:modified xsi:type="dcterms:W3CDTF">2022-08-03T13:43:08Z</dcterms:modified>
</cp:coreProperties>
</file>