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29, 2025</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UFP INDUSTRIES,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2" w:lineRule="exact"/>
        <w:rPr>
          <w:sz w:val="24"/>
          <w:szCs w:val="24"/>
          <w:color w:val="auto"/>
        </w:rPr>
      </w:pPr>
    </w:p>
    <w:tbl>
      <w:tblPr>
        <w:tblLayout w:type="fixed"/>
        <w:tblInd w:w="440" w:type="dxa"/>
        <w:tblCellMar>
          <w:top w:w="0" w:type="dxa"/>
          <w:left w:w="0" w:type="dxa"/>
          <w:bottom w:w="0" w:type="dxa"/>
          <w:right w:w="0" w:type="dxa"/>
        </w:tblCellMar>
      </w:tblPr>
      <w:tr>
        <w:trPr>
          <w:trHeight w:val="219"/>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1"/>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8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0-22684</w:t>
            </w:r>
          </w:p>
        </w:tc>
        <w:tc>
          <w:tcPr>
            <w:tcW w:w="28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38-1465835</w:t>
            </w:r>
          </w:p>
        </w:tc>
      </w:tr>
      <w:tr>
        <w:trPr>
          <w:trHeight w:val="270"/>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81"/>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2801 East Beltline, NE Grand Rapids, Michigan</w:t>
            </w:r>
          </w:p>
        </w:tc>
        <w:tc>
          <w:tcPr>
            <w:tcW w:w="286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49525</w:t>
            </w:r>
          </w:p>
        </w:tc>
      </w:tr>
      <w:tr>
        <w:trPr>
          <w:trHeight w:val="234"/>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364-6161</w:t>
      </w:r>
    </w:p>
    <w:p>
      <w:pPr>
        <w:spacing w:after="0" w:line="1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left="60" w:right="79"/>
        <w:spacing w:after="0" w:line="31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 w:right="359" w:hanging="10"/>
        <w:spacing w:after="0" w:line="378" w:lineRule="auto"/>
        <w:tabs>
          <w:tab w:leader="none" w:pos="5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2"/>
        </w:trPr>
        <w:tc>
          <w:tcPr>
            <w:tcW w:w="314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312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60" w:right="119"/>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582930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42545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76835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1" w:name="page2"/>
    <w:bookmarkEnd w:id="1"/>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On October 29, 2025, the Registrant issued a press release announcing its financial results for the quarter-ended September 27, 2025. A copy of the Registrant’s press release is attached as Exhibit 99(a) to this Current Report.</w:t>
      </w:r>
    </w:p>
    <w:p>
      <w:pPr>
        <w:spacing w:after="0" w:line="15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Pro Forma Financial Information, and Exhibits</w:t>
      </w:r>
    </w:p>
    <w:p>
      <w:pPr>
        <w:spacing w:after="0" w:line="324" w:lineRule="exact"/>
        <w:rPr>
          <w:sz w:val="20"/>
          <w:szCs w:val="20"/>
          <w:color w:val="auto"/>
        </w:rPr>
      </w:pPr>
    </w:p>
    <w:p>
      <w:pPr>
        <w:ind w:left="1280" w:hanging="582"/>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9" w:lineRule="exact"/>
        <w:rPr>
          <w:sz w:val="20"/>
          <w:szCs w:val="20"/>
          <w:color w:val="auto"/>
        </w:rPr>
      </w:pPr>
    </w:p>
    <w:p>
      <w:pPr>
        <w:ind w:left="700"/>
        <w:spacing w:after="0"/>
        <w:tabs>
          <w:tab w:leader="none" w:pos="1260" w:val="left"/>
        </w:tabs>
        <w:rPr>
          <w:sz w:val="20"/>
          <w:szCs w:val="20"/>
          <w:color w:val="auto"/>
        </w:rPr>
      </w:pPr>
      <w:r>
        <w:rPr>
          <w:rFonts w:ascii="Times New Roman" w:cs="Times New Roman" w:eastAsia="Times New Roman" w:hAnsi="Times New Roman"/>
          <w:sz w:val="18"/>
          <w:szCs w:val="18"/>
          <w:color w:val="auto"/>
        </w:rPr>
        <w:t>99(a)</w:t>
      </w:r>
      <w:r>
        <w:rPr>
          <w:sz w:val="20"/>
          <w:szCs w:val="20"/>
          <w:color w:val="auto"/>
        </w:rPr>
        <w:tab/>
      </w:r>
      <w:r>
        <w:rPr>
          <w:rFonts w:ascii="Times New Roman" w:cs="Times New Roman" w:eastAsia="Times New Roman" w:hAnsi="Times New Roman"/>
          <w:sz w:val="18"/>
          <w:szCs w:val="18"/>
          <w:u w:val="single" w:color="auto"/>
          <w:color w:val="0000EE"/>
        </w:rPr>
        <w:t>Press Release dated October 29, 2025</w:t>
      </w:r>
    </w:p>
    <w:p>
      <w:pPr>
        <w:spacing w:after="0" w:line="225" w:lineRule="exact"/>
        <w:rPr>
          <w:sz w:val="20"/>
          <w:szCs w:val="20"/>
          <w:color w:val="auto"/>
        </w:rPr>
      </w:pPr>
    </w:p>
    <w:p>
      <w:pPr>
        <w:ind w:left="1280" w:hanging="582"/>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01"/>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00" w:type="dxa"/>
            <w:vAlign w:val="bottom"/>
          </w:tcPr>
          <w:p>
            <w:pPr>
              <w:spacing w:after="0"/>
              <w:rPr>
                <w:sz w:val="24"/>
                <w:szCs w:val="24"/>
                <w:color w:val="auto"/>
              </w:rPr>
            </w:pP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1400" w:type="dxa"/>
            <w:vAlign w:val="bottom"/>
            <w:tcBorders>
              <w:top w:val="single" w:sz="8" w:color="auto"/>
              <w:bottom w:val="single" w:sz="8" w:color="auto"/>
            </w:tcBorders>
            <w:gridSpan w:val="2"/>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9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99(a)</w:t>
            </w:r>
          </w:p>
        </w:tc>
        <w:tc>
          <w:tcPr>
            <w:tcW w:w="28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October 29, 2025.</w:t>
            </w:r>
          </w:p>
        </w:tc>
        <w:tc>
          <w:tcPr>
            <w:tcW w:w="4280" w:type="dxa"/>
            <w:vAlign w:val="bottom"/>
            <w:gridSpan w:val="2"/>
          </w:tcPr>
          <w:p>
            <w:pPr>
              <w:spacing w:after="0"/>
              <w:rPr>
                <w:sz w:val="24"/>
                <w:szCs w:val="24"/>
                <w:color w:val="auto"/>
              </w:rPr>
            </w:pPr>
          </w:p>
        </w:tc>
      </w:tr>
      <w:tr>
        <w:trPr>
          <w:trHeight w:val="340"/>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w:t>
            </w:r>
          </w:p>
        </w:tc>
      </w:tr>
      <w:tr>
        <w:trPr>
          <w:trHeight w:val="234"/>
        </w:trPr>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0" w:lineRule="exact"/>
        <w:rPr>
          <w:sz w:val="20"/>
          <w:szCs w:val="20"/>
          <w:color w:val="auto"/>
        </w:rPr>
      </w:pPr>
    </w:p>
    <w:p>
      <w:pPr>
        <w:ind w:left="60" w:right="79"/>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47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256"/>
        </w:trPr>
        <w:tc>
          <w:tcPr>
            <w:tcW w:w="30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1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(Registrant)</w:t>
            </w:r>
          </w:p>
        </w:tc>
      </w:tr>
      <w:tr>
        <w:trPr>
          <w:trHeight w:val="51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29, 2025</w:t>
            </w:r>
          </w:p>
        </w:tc>
        <w:tc>
          <w:tcPr>
            <w:tcW w:w="47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40"/>
        </w:trPr>
        <w:tc>
          <w:tcPr>
            <w:tcW w:w="30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218"/>
        </w:trPr>
        <w:tc>
          <w:tcPr>
            <w:tcW w:w="3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3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30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57"/>
        </w:trPr>
        <w:tc>
          <w:tcPr>
            <w:tcW w:w="30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4" w:name="page5"/>
    <w:bookmarkEnd w:id="4"/>
    <w:p>
      <w:pPr>
        <w:ind w:left="8920"/>
        <w:spacing w:after="0"/>
        <w:rPr>
          <w:sz w:val="20"/>
          <w:szCs w:val="20"/>
          <w:color w:val="auto"/>
        </w:rPr>
      </w:pPr>
      <w:r>
        <w:rPr>
          <w:rFonts w:ascii="Times New Roman" w:cs="Times New Roman" w:eastAsia="Times New Roman" w:hAnsi="Times New Roman"/>
          <w:sz w:val="17"/>
          <w:szCs w:val="17"/>
          <w:b w:val="1"/>
          <w:bCs w:val="1"/>
          <w:color w:val="auto"/>
        </w:rPr>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164465</wp:posOffset>
            </wp:positionV>
            <wp:extent cx="629221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5143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361315</wp:posOffset>
            </wp:positionV>
            <wp:extent cx="1174115" cy="462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7411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UFP Industries Announces Third Quarter 2025 Results</w:t>
      </w:r>
    </w:p>
    <w:p>
      <w:pPr>
        <w:spacing w:after="0" w:line="2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GRAND RAPIDS, MI (October 29, 2025) - UFP Industries, Inc. (Nasdaq: UFPI) a leading manufacturer focused on delivering value-added products across its Retail, Packaging, and Construction segments reported results for the third quarter 2025.</w:t>
      </w:r>
    </w:p>
    <w:p>
      <w:pPr>
        <w:ind w:left="980" w:hanging="324"/>
        <w:spacing w:after="0" w:line="239" w:lineRule="auto"/>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Sales of $1.56 billion decreased by 5 percent due to a 1 percent decrease in price and a 4 percent decline in organic units.</w:t>
      </w:r>
    </w:p>
    <w:p>
      <w:pPr>
        <w:ind w:left="980" w:hanging="324"/>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Diluted earnings per share of $1.29 compared to $1.64 a year ago.</w:t>
      </w:r>
    </w:p>
    <w:p>
      <w:pPr>
        <w:ind w:left="980" w:hanging="324"/>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earnings attributable to controlling interests of $75 million compared to $100 million a year ago.</w:t>
      </w:r>
    </w:p>
    <w:p>
      <w:pPr>
        <w:spacing w:after="0" w:line="6" w:lineRule="exact"/>
        <w:rPr>
          <w:rFonts w:ascii="Times New Roman" w:cs="Times New Roman" w:eastAsia="Times New Roman" w:hAnsi="Times New Roman"/>
          <w:sz w:val="20"/>
          <w:szCs w:val="20"/>
          <w:color w:val="auto"/>
        </w:rPr>
      </w:pPr>
    </w:p>
    <w:p>
      <w:pPr>
        <w:ind w:left="980" w:hanging="324"/>
        <w:spacing w:after="0" w:line="198" w:lineRule="auto"/>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9"/>
          <w:szCs w:val="29"/>
          <w:u w:val="single" w:color="auto"/>
          <w:color w:val="0000EE"/>
          <w:vertAlign w:val="superscript"/>
        </w:rPr>
        <w:t>1</w:t>
      </w:r>
      <w:r>
        <w:rPr>
          <w:rFonts w:ascii="Times New Roman" w:cs="Times New Roman" w:eastAsia="Times New Roman" w:hAnsi="Times New Roman"/>
          <w:sz w:val="20"/>
          <w:szCs w:val="20"/>
          <w:color w:val="auto"/>
        </w:rPr>
        <w:t xml:space="preserve"> was $140.0 million in the quarter, or 9.0 percent of net sales compared to 10.0 percent a year ago.</w:t>
      </w:r>
    </w:p>
    <w:p>
      <w:pPr>
        <w:ind w:left="980" w:hanging="324"/>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product sales were 7.6 percent of total sales.</w:t>
      </w:r>
    </w:p>
    <w:p>
      <w:pPr>
        <w:ind w:left="980" w:hanging="324"/>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Repurchased approximately $350 million in company shares year to date in 2025.</w:t>
      </w:r>
    </w:p>
    <w:p>
      <w:pPr>
        <w:ind w:left="980" w:hanging="324"/>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Reaffirming volume outlook across each business segment for the remainder of 2025.</w:t>
      </w:r>
    </w:p>
    <w:p>
      <w:pPr>
        <w:spacing w:after="0" w:line="1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Will Schwartz, President and CEO of UFP Industries commented, “Our third quarter played out largely as anticipated and reflective of the competitive environment we are seeing across our end markets. Visibility remains limited, particularly in markets tied to residential construction; however, trends across the majority of our business units have shown signs of stabilizing, demonstrating the benefits of our balanced portfolio and the team we have in place. I’m proud of how our team has navigated these challenging market conditions with our adjusted EBITDA margin approximately 200 basis points higher than 2019 levels despite competitive pricing and weaker demand, startup costs associated with growth investments and substantial investments to build our Surestone brand. We plan to gain market share, strengthen return on capital, and achieve margin improvements. As part of this plan, we will have reduced structural costs by $60 million from 2024 levels by the end of 2026.”</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Schwartz continued, “Looking ahead, we are driving innovation across the product portfolio and making strategic investments to create shareholder value. Our long-term capital plans remain aggressive, with a bias toward driving growth through investment in our most attractive opportunities. M&amp;A remains a key component to our capital allocation strategy, and we have identified targets across each of our business units that complement our core strengths. Our robust financial position remains a competitive advantage enabling us to repurchase approximately $350 million of our shares through the end of October, while increasing our cash dividend year over year. Grounded in the strength of our team and business model, we remain focused on the strategies to grow our core, higher margin businesses, develop innovative new products and drive operational efficiencies across our network of plants. We are confident in our ability to continue executing as we move into next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2025 Highlights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UFP Consolidated</w:t>
      </w:r>
    </w:p>
    <w:p>
      <w:pPr>
        <w:spacing w:after="0" w:line="236" w:lineRule="exact"/>
        <w:rPr>
          <w:sz w:val="20"/>
          <w:szCs w:val="20"/>
          <w:color w:val="auto"/>
        </w:rPr>
      </w:pPr>
    </w:p>
    <w:tbl>
      <w:tblPr>
        <w:tblLayout w:type="fixed"/>
        <w:tblInd w:w="370" w:type="dxa"/>
        <w:tblCellMar>
          <w:top w:w="0" w:type="dxa"/>
          <w:left w:w="0" w:type="dxa"/>
          <w:bottom w:w="0" w:type="dxa"/>
          <w:right w:w="0" w:type="dxa"/>
        </w:tblCellMar>
      </w:tblPr>
      <w:tr>
        <w:trPr>
          <w:trHeight w:val="230"/>
        </w:trPr>
        <w:tc>
          <w:tcPr>
            <w:tcW w:w="31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20" w:type="dxa"/>
            <w:vAlign w:val="bottom"/>
            <w:tcBorders>
              <w:top w:val="single" w:sz="8" w:color="auto"/>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Quarter Period</w:t>
            </w:r>
          </w:p>
        </w:tc>
        <w:tc>
          <w:tcPr>
            <w:tcW w:w="840" w:type="dxa"/>
            <w:vAlign w:val="bottom"/>
            <w:tcBorders>
              <w:top w:val="single" w:sz="8" w:color="auto"/>
              <w:bottom w:val="single" w:sz="8" w:color="auto"/>
              <w:right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5"/>
              </w:rPr>
              <w:t>Year to Date</w:t>
            </w:r>
          </w:p>
        </w:tc>
        <w:tc>
          <w:tcPr>
            <w:tcW w:w="84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0" w:type="dxa"/>
            <w:vAlign w:val="bottom"/>
          </w:tcPr>
          <w:p>
            <w:pPr>
              <w:spacing w:after="0"/>
              <w:rPr>
                <w:sz w:val="1"/>
                <w:szCs w:val="1"/>
                <w:color w:val="auto"/>
              </w:rPr>
            </w:pPr>
          </w:p>
        </w:tc>
      </w:tr>
      <w:tr>
        <w:trPr>
          <w:trHeight w:val="191"/>
        </w:trPr>
        <w:tc>
          <w:tcPr>
            <w:tcW w:w="3100" w:type="dxa"/>
            <w:vAlign w:val="bottom"/>
            <w:tcBorders>
              <w:left w:val="single" w:sz="8" w:color="auto"/>
              <w:right w:val="single" w:sz="8" w:color="auto"/>
            </w:tcBorders>
            <w:vMerge w:val="continue"/>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  1,559,627</w:t>
            </w:r>
          </w:p>
        </w:tc>
        <w:tc>
          <w:tcPr>
            <w:tcW w:w="12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$ 1,649,383</w:t>
            </w:r>
          </w:p>
        </w:tc>
        <w:tc>
          <w:tcPr>
            <w:tcW w:w="140" w:type="dxa"/>
            <w:vAlign w:val="bottom"/>
          </w:tcPr>
          <w:p>
            <w:pPr>
              <w:spacing w:after="0"/>
              <w:rPr>
                <w:sz w:val="16"/>
                <w:szCs w:val="16"/>
                <w:color w:val="auto"/>
              </w:rPr>
            </w:pPr>
          </w:p>
        </w:tc>
        <w:tc>
          <w:tcPr>
            <w:tcW w:w="84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(5.4)</w:t>
            </w:r>
            <w:r>
              <w:rPr>
                <w:rFonts w:ascii="Times New Roman" w:cs="Times New Roman" w:eastAsia="Times New Roman" w:hAnsi="Times New Roman"/>
                <w:sz w:val="16"/>
                <w:szCs w:val="16"/>
                <w:color w:val="auto"/>
              </w:rPr>
              <w:t>%</w:t>
            </w:r>
          </w:p>
        </w:tc>
        <w:tc>
          <w:tcPr>
            <w:tcW w:w="18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4,990,520</w:t>
            </w: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8"/>
              </w:rPr>
              <w:t>$ 5,190,308</w:t>
            </w:r>
          </w:p>
        </w:tc>
        <w:tc>
          <w:tcPr>
            <w:tcW w:w="140" w:type="dxa"/>
            <w:vAlign w:val="bottom"/>
          </w:tcPr>
          <w:p>
            <w:pPr>
              <w:spacing w:after="0"/>
              <w:rPr>
                <w:sz w:val="16"/>
                <w:szCs w:val="16"/>
                <w:color w:val="auto"/>
              </w:rPr>
            </w:pPr>
          </w:p>
        </w:tc>
        <w:tc>
          <w:tcPr>
            <w:tcW w:w="84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(3.8)</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262,681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298,412</w:t>
            </w:r>
          </w:p>
        </w:tc>
        <w:tc>
          <w:tcPr>
            <w:tcW w:w="140" w:type="dxa"/>
            <w:vAlign w:val="bottom"/>
          </w:tcPr>
          <w:p>
            <w:pPr>
              <w:spacing w:after="0"/>
              <w:rPr>
                <w:sz w:val="18"/>
                <w:szCs w:val="18"/>
                <w:color w:val="auto"/>
              </w:rPr>
            </w:pPr>
          </w:p>
        </w:tc>
        <w:tc>
          <w:tcPr>
            <w:tcW w:w="84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843,611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987,233</w:t>
            </w:r>
          </w:p>
        </w:tc>
        <w:tc>
          <w:tcPr>
            <w:tcW w:w="140" w:type="dxa"/>
            <w:vAlign w:val="bottom"/>
          </w:tcPr>
          <w:p>
            <w:pPr>
              <w:spacing w:after="0"/>
              <w:rPr>
                <w:sz w:val="18"/>
                <w:szCs w:val="18"/>
                <w:color w:val="auto"/>
              </w:rPr>
            </w:pPr>
          </w:p>
        </w:tc>
        <w:tc>
          <w:tcPr>
            <w:tcW w:w="8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31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16.8 </w:t>
            </w: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16.9 </w:t>
            </w: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19.0 </w:t>
            </w: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 EARNINGS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75,542</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101,619</w:t>
            </w:r>
          </w:p>
        </w:tc>
        <w:tc>
          <w:tcPr>
            <w:tcW w:w="140" w:type="dxa"/>
            <w:vAlign w:val="bottom"/>
          </w:tcPr>
          <w:p>
            <w:pPr>
              <w:spacing w:after="0"/>
              <w:rPr>
                <w:sz w:val="18"/>
                <w:szCs w:val="18"/>
                <w:color w:val="auto"/>
              </w:rPr>
            </w:pPr>
          </w:p>
        </w:tc>
        <w:tc>
          <w:tcPr>
            <w:tcW w:w="84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255,836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348,950</w:t>
            </w:r>
          </w:p>
        </w:tc>
        <w:tc>
          <w:tcPr>
            <w:tcW w:w="140" w:type="dxa"/>
            <w:vAlign w:val="bottom"/>
          </w:tcPr>
          <w:p>
            <w:pPr>
              <w:spacing w:after="0"/>
              <w:rPr>
                <w:sz w:val="18"/>
                <w:szCs w:val="18"/>
                <w:color w:val="auto"/>
              </w:rPr>
            </w:pPr>
          </w:p>
        </w:tc>
        <w:tc>
          <w:tcPr>
            <w:tcW w:w="8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140,019</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164,915</w:t>
            </w:r>
          </w:p>
        </w:tc>
        <w:tc>
          <w:tcPr>
            <w:tcW w:w="140" w:type="dxa"/>
            <w:vAlign w:val="bottom"/>
          </w:tcPr>
          <w:p>
            <w:pPr>
              <w:spacing w:after="0"/>
              <w:rPr>
                <w:sz w:val="18"/>
                <w:szCs w:val="18"/>
                <w:color w:val="auto"/>
              </w:rPr>
            </w:pPr>
          </w:p>
        </w:tc>
        <w:tc>
          <w:tcPr>
            <w:tcW w:w="84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456,317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549,562</w:t>
            </w:r>
          </w:p>
        </w:tc>
        <w:tc>
          <w:tcPr>
            <w:tcW w:w="140" w:type="dxa"/>
            <w:vAlign w:val="bottom"/>
          </w:tcPr>
          <w:p>
            <w:pPr>
              <w:spacing w:after="0"/>
              <w:rPr>
                <w:sz w:val="18"/>
                <w:szCs w:val="18"/>
                <w:color w:val="auto"/>
              </w:rPr>
            </w:pPr>
          </w:p>
        </w:tc>
        <w:tc>
          <w:tcPr>
            <w:tcW w:w="8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4"/>
        </w:trPr>
        <w:tc>
          <w:tcPr>
            <w:tcW w:w="31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ADJUSTED EBITDA MARGIN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9.0 </w:t>
            </w: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10.0 </w:t>
            </w: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PERCENTAGE CHANGE IN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SALES: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ORGANIC UNITS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ACQUISITIONS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tcBorders>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SELLING PRICES</w:t>
            </w: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171450</wp:posOffset>
            </wp:positionV>
            <wp:extent cx="1568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64"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a non-GAAP measurement; see the reconciliation of non-GAAP financial measures and related explanations below.</w:t>
      </w:r>
    </w:p>
    <w:p>
      <w:pPr>
        <w:spacing w:after="0" w:line="2"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7"/>
          <w:szCs w:val="17"/>
          <w:b w:val="1"/>
          <w:bCs w:val="1"/>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97"/>
              </w:rPr>
              <w:t>Exhibit 99(a)</w:t>
            </w:r>
          </w:p>
        </w:tc>
        <w:tc>
          <w:tcPr>
            <w:tcW w:w="0" w:type="dxa"/>
            <w:vAlign w:val="bottom"/>
          </w:tcPr>
          <w:p>
            <w:pPr>
              <w:spacing w:after="0"/>
              <w:rPr>
                <w:sz w:val="1"/>
                <w:szCs w:val="1"/>
                <w:color w:val="auto"/>
              </w:rPr>
            </w:pPr>
          </w:p>
        </w:tc>
      </w:tr>
      <w:tr>
        <w:trPr>
          <w:trHeight w:val="257"/>
        </w:trPr>
        <w:tc>
          <w:tcPr>
            <w:tcW w:w="3220" w:type="dxa"/>
            <w:vAlign w:val="bottom"/>
            <w:gridSpan w:val="3"/>
          </w:tcPr>
          <w:p>
            <w:pPr>
              <w:jc w:val="right"/>
              <w:ind w:right="2280"/>
              <w:spacing w:after="0"/>
              <w:rPr>
                <w:sz w:val="20"/>
                <w:szCs w:val="20"/>
                <w:color w:val="auto"/>
              </w:rPr>
            </w:pPr>
            <w:r>
              <w:rPr>
                <w:rFonts w:ascii="Times New Roman" w:cs="Times New Roman" w:eastAsia="Times New Roman" w:hAnsi="Times New Roman"/>
                <w:sz w:val="20"/>
                <w:szCs w:val="20"/>
                <w:b w:val="1"/>
                <w:bCs w:val="1"/>
                <w:color w:val="auto"/>
                <w:w w:val="96"/>
              </w:rPr>
              <w:t>UFP Retail</w:t>
            </w: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gridSpan w:val="2"/>
          </w:tcPr>
          <w:p>
            <w:pPr>
              <w:jc w:val="right"/>
              <w:ind w:right="230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2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Quarter Period</w:t>
            </w:r>
          </w:p>
        </w:tc>
        <w:tc>
          <w:tcPr>
            <w:tcW w:w="86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Year to Date</w:t>
            </w:r>
          </w:p>
        </w:tc>
        <w:tc>
          <w:tcPr>
            <w:tcW w:w="840" w:type="dxa"/>
            <w:vAlign w:val="bottom"/>
            <w:tcBorders>
              <w:bottom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9"/>
                <w:szCs w:val="19"/>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0" w:type="dxa"/>
            <w:vAlign w:val="bottom"/>
            <w:tcBorders>
              <w:right w:val="single" w:sz="8" w:color="auto"/>
            </w:tcBorders>
          </w:tcPr>
          <w:p>
            <w:pPr>
              <w:spacing w:after="0"/>
              <w:rPr>
                <w:sz w:val="14"/>
                <w:szCs w:val="14"/>
                <w:color w:val="auto"/>
              </w:rPr>
            </w:pPr>
          </w:p>
        </w:tc>
        <w:tc>
          <w:tcPr>
            <w:tcW w:w="3180" w:type="dxa"/>
            <w:vAlign w:val="bottom"/>
            <w:tcBorders>
              <w:right w:val="single" w:sz="8" w:color="auto"/>
            </w:tcBorders>
            <w:gridSpan w:val="2"/>
            <w:vMerge w:val="continue"/>
          </w:tcPr>
          <w:p>
            <w:pPr>
              <w:spacing w:after="0"/>
              <w:rPr>
                <w:sz w:val="14"/>
                <w:szCs w:val="14"/>
                <w:color w:val="auto"/>
              </w:rPr>
            </w:pPr>
          </w:p>
        </w:tc>
        <w:tc>
          <w:tcPr>
            <w:tcW w:w="90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  593,985</w:t>
            </w:r>
          </w:p>
        </w:tc>
        <w:tc>
          <w:tcPr>
            <w:tcW w:w="16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w w:val="99"/>
              </w:rPr>
              <w:t>$ 635,571</w:t>
            </w:r>
          </w:p>
        </w:tc>
        <w:tc>
          <w:tcPr>
            <w:tcW w:w="160" w:type="dxa"/>
            <w:vAlign w:val="bottom"/>
          </w:tcPr>
          <w:p>
            <w:pPr>
              <w:spacing w:after="0"/>
              <w:rPr>
                <w:sz w:val="14"/>
                <w:szCs w:val="14"/>
                <w:color w:val="auto"/>
              </w:rPr>
            </w:pPr>
          </w:p>
        </w:tc>
        <w:tc>
          <w:tcPr>
            <w:tcW w:w="860" w:type="dxa"/>
            <w:vAlign w:val="bottom"/>
            <w:tcBorders>
              <w:right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(6.5)</w:t>
            </w:r>
            <w:r>
              <w:rPr>
                <w:rFonts w:ascii="Times New Roman" w:cs="Times New Roman" w:eastAsia="Times New Roman" w:hAnsi="Times New Roman"/>
                <w:sz w:val="16"/>
                <w:szCs w:val="16"/>
                <w:color w:val="auto"/>
              </w:rPr>
              <w:t>%</w:t>
            </w:r>
          </w:p>
        </w:tc>
        <w:tc>
          <w:tcPr>
            <w:tcW w:w="180" w:type="dxa"/>
            <w:vAlign w:val="bottom"/>
          </w:tcPr>
          <w:p>
            <w:pPr>
              <w:jc w:val="right"/>
              <w:ind w:right="16"/>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1,989,592</w:t>
            </w:r>
          </w:p>
        </w:tc>
        <w:tc>
          <w:tcPr>
            <w:tcW w:w="16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$ 2,073,403</w:t>
            </w:r>
          </w:p>
        </w:tc>
        <w:tc>
          <w:tcPr>
            <w:tcW w:w="180" w:type="dxa"/>
            <w:vAlign w:val="bottom"/>
          </w:tcPr>
          <w:p>
            <w:pPr>
              <w:spacing w:after="0"/>
              <w:rPr>
                <w:sz w:val="14"/>
                <w:szCs w:val="14"/>
                <w:color w:val="auto"/>
              </w:rPr>
            </w:pPr>
          </w:p>
        </w:tc>
        <w:tc>
          <w:tcPr>
            <w:tcW w:w="840" w:type="dxa"/>
            <w:vAlign w:val="bottom"/>
            <w:tcBorders>
              <w:right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(4.0)</w:t>
            </w: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93,055</w:t>
            </w:r>
          </w:p>
        </w:tc>
        <w:tc>
          <w:tcPr>
            <w:tcW w:w="160" w:type="dxa"/>
            <w:vAlign w:val="bottom"/>
          </w:tcPr>
          <w:p>
            <w:pPr>
              <w:spacing w:after="0"/>
              <w:rPr>
                <w:sz w:val="18"/>
                <w:szCs w:val="18"/>
                <w:color w:val="auto"/>
              </w:rPr>
            </w:pPr>
          </w:p>
        </w:tc>
        <w:tc>
          <w:tcPr>
            <w:tcW w:w="86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275,257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320,939</w:t>
            </w:r>
          </w:p>
        </w:tc>
        <w:tc>
          <w:tcPr>
            <w:tcW w:w="180" w:type="dxa"/>
            <w:vAlign w:val="bottom"/>
          </w:tcPr>
          <w:p>
            <w:pPr>
              <w:spacing w:after="0"/>
              <w:rPr>
                <w:sz w:val="18"/>
                <w:szCs w:val="18"/>
                <w:color w:val="auto"/>
              </w:rPr>
            </w:pPr>
          </w:p>
        </w:tc>
        <w:tc>
          <w:tcPr>
            <w:tcW w:w="8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GROSS MARGIN</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6"/>
                <w:szCs w:val="16"/>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6"/>
                <w:szCs w:val="16"/>
                <w:color w:val="auto"/>
              </w:rPr>
              <w:t>%</w:t>
            </w:r>
          </w:p>
        </w:tc>
        <w:tc>
          <w:tcPr>
            <w:tcW w:w="8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6"/>
                <w:szCs w:val="16"/>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EARNINGS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31,769</w:t>
            </w:r>
          </w:p>
        </w:tc>
        <w:tc>
          <w:tcPr>
            <w:tcW w:w="160" w:type="dxa"/>
            <w:vAlign w:val="bottom"/>
          </w:tcPr>
          <w:p>
            <w:pPr>
              <w:spacing w:after="0"/>
              <w:rPr>
                <w:sz w:val="18"/>
                <w:szCs w:val="18"/>
                <w:color w:val="auto"/>
              </w:rPr>
            </w:pPr>
          </w:p>
        </w:tc>
        <w:tc>
          <w:tcPr>
            <w:tcW w:w="86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114,768</w:t>
            </w:r>
          </w:p>
        </w:tc>
        <w:tc>
          <w:tcPr>
            <w:tcW w:w="180" w:type="dxa"/>
            <w:vAlign w:val="bottom"/>
          </w:tcPr>
          <w:p>
            <w:pPr>
              <w:spacing w:after="0"/>
              <w:rPr>
                <w:sz w:val="18"/>
                <w:szCs w:val="18"/>
                <w:color w:val="auto"/>
              </w:rPr>
            </w:pPr>
          </w:p>
        </w:tc>
        <w:tc>
          <w:tcPr>
            <w:tcW w:w="8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160" w:type="dxa"/>
            <w:vAlign w:val="bottom"/>
          </w:tcPr>
          <w:p>
            <w:pPr>
              <w:spacing w:after="0"/>
              <w:rPr>
                <w:sz w:val="18"/>
                <w:szCs w:val="18"/>
                <w:color w:val="auto"/>
              </w:rPr>
            </w:pPr>
          </w:p>
        </w:tc>
        <w:tc>
          <w:tcPr>
            <w:tcW w:w="86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176,701</w:t>
            </w:r>
          </w:p>
        </w:tc>
        <w:tc>
          <w:tcPr>
            <w:tcW w:w="180" w:type="dxa"/>
            <w:vAlign w:val="bottom"/>
          </w:tcPr>
          <w:p>
            <w:pPr>
              <w:spacing w:after="0"/>
              <w:rPr>
                <w:sz w:val="18"/>
                <w:szCs w:val="18"/>
                <w:color w:val="auto"/>
              </w:rPr>
            </w:pPr>
          </w:p>
        </w:tc>
        <w:tc>
          <w:tcPr>
            <w:tcW w:w="8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ADJUSTED EBITDA MARGIN</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6"/>
                <w:szCs w:val="16"/>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8.0 </w:t>
            </w:r>
            <w:r>
              <w:rPr>
                <w:rFonts w:ascii="Times New Roman" w:cs="Times New Roman" w:eastAsia="Times New Roman" w:hAnsi="Times New Roman"/>
                <w:sz w:val="16"/>
                <w:szCs w:val="16"/>
                <w:color w:val="auto"/>
              </w:rPr>
              <w:t>%</w:t>
            </w:r>
          </w:p>
        </w:tc>
        <w:tc>
          <w:tcPr>
            <w:tcW w:w="8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7.0 </w:t>
            </w:r>
            <w:r>
              <w:rPr>
                <w:rFonts w:ascii="Times New Roman" w:cs="Times New Roman" w:eastAsia="Times New Roman" w:hAnsi="Times New Roman"/>
                <w:sz w:val="16"/>
                <w:szCs w:val="16"/>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PERCENTAGE CHANGE IN SALES: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ORGANIC UNITS</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SELLING PRICES</w:t>
            </w:r>
          </w:p>
        </w:tc>
        <w:tc>
          <w:tcPr>
            <w:tcW w:w="10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40" w:hanging="324"/>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ProWood organic unit sales declined 5 percent in the quarter from year ago levels.</w:t>
      </w:r>
    </w:p>
    <w:p>
      <w:pPr>
        <w:spacing w:after="0" w:line="21" w:lineRule="exact"/>
        <w:rPr>
          <w:rFonts w:ascii="Times New Roman" w:cs="Times New Roman" w:eastAsia="Times New Roman" w:hAnsi="Times New Roman"/>
          <w:sz w:val="20"/>
          <w:szCs w:val="20"/>
          <w:color w:val="auto"/>
        </w:rPr>
      </w:pPr>
    </w:p>
    <w:p>
      <w:pPr>
        <w:ind w:left="640" w:hanging="324"/>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Deckorators organic unit sales grew 5 percent in the quarter from year ago levels.</w:t>
      </w:r>
    </w:p>
    <w:p>
      <w:pPr>
        <w:jc w:val="both"/>
        <w:ind w:left="640" w:hanging="324"/>
        <w:spacing w:after="0" w:line="241" w:lineRule="auto"/>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Retail gross profit and adjusted EBITDA fell 14 percent and 22 percent, respectively, from year ago levels. Falling lumber prices, temporary startup costs associated with the expansion of our Surestone product launch, inefficiencies from our Edge restructuring efforts, and higher marketing spend drove declines in the quarter. These were partially offset by a decrease in SG&amp;A expenses despite higher advertising investments to build the Surestone brand.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UFP Packaging</w:t>
      </w:r>
    </w:p>
    <w:p>
      <w:pPr>
        <w:spacing w:after="0" w:line="182" w:lineRule="exact"/>
        <w:rPr>
          <w:sz w:val="20"/>
          <w:szCs w:val="20"/>
          <w:color w:val="auto"/>
        </w:rPr>
      </w:pPr>
    </w:p>
    <w:tbl>
      <w:tblPr>
        <w:tblLayout w:type="fixed"/>
        <w:tblInd w:w="30" w:type="dxa"/>
        <w:tblCellMar>
          <w:top w:w="0" w:type="dxa"/>
          <w:left w:w="0" w:type="dxa"/>
          <w:bottom w:w="0" w:type="dxa"/>
          <w:right w:w="0" w:type="dxa"/>
        </w:tblCellMar>
      </w:tblPr>
      <w:tr>
        <w:trPr>
          <w:trHeight w:val="229"/>
        </w:trPr>
        <w:tc>
          <w:tcPr>
            <w:tcW w:w="32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Quarter Period</w:t>
            </w:r>
          </w:p>
        </w:tc>
        <w:tc>
          <w:tcPr>
            <w:tcW w:w="860" w:type="dxa"/>
            <w:vAlign w:val="bottom"/>
            <w:tcBorders>
              <w:top w:val="single" w:sz="8" w:color="auto"/>
              <w:bottom w:val="single" w:sz="8" w:color="auto"/>
              <w:right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Year to Date</w:t>
            </w:r>
          </w:p>
        </w:tc>
        <w:tc>
          <w:tcPr>
            <w:tcW w:w="84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0" w:type="dxa"/>
            <w:vAlign w:val="bottom"/>
          </w:tcPr>
          <w:p>
            <w:pPr>
              <w:spacing w:after="0"/>
              <w:rPr>
                <w:sz w:val="1"/>
                <w:szCs w:val="1"/>
                <w:color w:val="auto"/>
              </w:rPr>
            </w:pPr>
          </w:p>
        </w:tc>
      </w:tr>
      <w:tr>
        <w:trPr>
          <w:trHeight w:val="191"/>
        </w:trPr>
        <w:tc>
          <w:tcPr>
            <w:tcW w:w="3200" w:type="dxa"/>
            <w:vAlign w:val="bottom"/>
            <w:tcBorders>
              <w:left w:val="single" w:sz="8" w:color="auto"/>
              <w:right w:val="single" w:sz="8" w:color="auto"/>
            </w:tcBorders>
            <w:vMerge w:val="continue"/>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  394,949</w:t>
            </w:r>
          </w:p>
        </w:tc>
        <w:tc>
          <w:tcPr>
            <w:tcW w:w="16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$ 401,626</w:t>
            </w:r>
          </w:p>
        </w:tc>
        <w:tc>
          <w:tcPr>
            <w:tcW w:w="160" w:type="dxa"/>
            <w:vAlign w:val="bottom"/>
          </w:tcPr>
          <w:p>
            <w:pPr>
              <w:spacing w:after="0"/>
              <w:rPr>
                <w:sz w:val="16"/>
                <w:szCs w:val="16"/>
                <w:color w:val="auto"/>
              </w:rPr>
            </w:pPr>
          </w:p>
        </w:tc>
        <w:tc>
          <w:tcPr>
            <w:tcW w:w="86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16"/>
                <w:szCs w:val="16"/>
                <w:color w:val="auto"/>
              </w:rPr>
              <w:t>%</w:t>
            </w:r>
          </w:p>
        </w:tc>
        <w:tc>
          <w:tcPr>
            <w:tcW w:w="18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1,233,626</w:t>
            </w:r>
          </w:p>
        </w:tc>
        <w:tc>
          <w:tcPr>
            <w:tcW w:w="16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$ 1,261,248</w:t>
            </w:r>
          </w:p>
        </w:tc>
        <w:tc>
          <w:tcPr>
            <w:tcW w:w="180" w:type="dxa"/>
            <w:vAlign w:val="bottom"/>
          </w:tcPr>
          <w:p>
            <w:pPr>
              <w:spacing w:after="0"/>
              <w:rPr>
                <w:sz w:val="16"/>
                <w:szCs w:val="16"/>
                <w:color w:val="auto"/>
              </w:rPr>
            </w:pPr>
          </w:p>
        </w:tc>
        <w:tc>
          <w:tcPr>
            <w:tcW w:w="84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160" w:type="dxa"/>
            <w:vAlign w:val="bottom"/>
          </w:tcPr>
          <w:p>
            <w:pPr>
              <w:spacing w:after="0"/>
              <w:rPr>
                <w:sz w:val="18"/>
                <w:szCs w:val="18"/>
                <w:color w:val="auto"/>
              </w:rPr>
            </w:pPr>
          </w:p>
        </w:tc>
        <w:tc>
          <w:tcPr>
            <w:tcW w:w="86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207,577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240,371</w:t>
            </w:r>
          </w:p>
        </w:tc>
        <w:tc>
          <w:tcPr>
            <w:tcW w:w="180" w:type="dxa"/>
            <w:vAlign w:val="bottom"/>
          </w:tcPr>
          <w:p>
            <w:pPr>
              <w:spacing w:after="0"/>
              <w:rPr>
                <w:sz w:val="18"/>
                <w:szCs w:val="18"/>
                <w:color w:val="auto"/>
              </w:rPr>
            </w:pPr>
          </w:p>
        </w:tc>
        <w:tc>
          <w:tcPr>
            <w:tcW w:w="8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32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6"/>
                <w:szCs w:val="16"/>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17.7 </w:t>
            </w:r>
            <w:r>
              <w:rPr>
                <w:rFonts w:ascii="Times New Roman" w:cs="Times New Roman" w:eastAsia="Times New Roman" w:hAnsi="Times New Roman"/>
                <w:sz w:val="16"/>
                <w:szCs w:val="16"/>
                <w:color w:val="auto"/>
              </w:rPr>
              <w:t>%</w:t>
            </w:r>
          </w:p>
        </w:tc>
        <w:tc>
          <w:tcPr>
            <w:tcW w:w="8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16.8 </w:t>
            </w:r>
            <w:r>
              <w:rPr>
                <w:rFonts w:ascii="Times New Roman" w:cs="Times New Roman" w:eastAsia="Times New Roman" w:hAnsi="Times New Roman"/>
                <w:sz w:val="16"/>
                <w:szCs w:val="16"/>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 EARNINGS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16,507</w:t>
            </w:r>
          </w:p>
        </w:tc>
        <w:tc>
          <w:tcPr>
            <w:tcW w:w="160" w:type="dxa"/>
            <w:vAlign w:val="bottom"/>
          </w:tcPr>
          <w:p>
            <w:pPr>
              <w:spacing w:after="0"/>
              <w:rPr>
                <w:sz w:val="18"/>
                <w:szCs w:val="18"/>
                <w:color w:val="auto"/>
              </w:rPr>
            </w:pPr>
          </w:p>
        </w:tc>
        <w:tc>
          <w:tcPr>
            <w:tcW w:w="86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63,472</w:t>
            </w:r>
          </w:p>
        </w:tc>
        <w:tc>
          <w:tcPr>
            <w:tcW w:w="180" w:type="dxa"/>
            <w:vAlign w:val="bottom"/>
          </w:tcPr>
          <w:p>
            <w:pPr>
              <w:spacing w:after="0"/>
              <w:rPr>
                <w:sz w:val="18"/>
                <w:szCs w:val="18"/>
                <w:color w:val="auto"/>
              </w:rPr>
            </w:pPr>
          </w:p>
        </w:tc>
        <w:tc>
          <w:tcPr>
            <w:tcW w:w="8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3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34,348</w:t>
            </w:r>
          </w:p>
        </w:tc>
        <w:tc>
          <w:tcPr>
            <w:tcW w:w="160" w:type="dxa"/>
            <w:vAlign w:val="bottom"/>
          </w:tcPr>
          <w:p>
            <w:pPr>
              <w:spacing w:after="0"/>
              <w:rPr>
                <w:sz w:val="18"/>
                <w:szCs w:val="18"/>
                <w:color w:val="auto"/>
              </w:rPr>
            </w:pPr>
          </w:p>
        </w:tc>
        <w:tc>
          <w:tcPr>
            <w:tcW w:w="86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108,125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121,620</w:t>
            </w:r>
          </w:p>
        </w:tc>
        <w:tc>
          <w:tcPr>
            <w:tcW w:w="180" w:type="dxa"/>
            <w:vAlign w:val="bottom"/>
          </w:tcPr>
          <w:p>
            <w:pPr>
              <w:spacing w:after="0"/>
              <w:rPr>
                <w:sz w:val="18"/>
                <w:szCs w:val="18"/>
                <w:color w:val="auto"/>
              </w:rPr>
            </w:pPr>
          </w:p>
        </w:tc>
        <w:tc>
          <w:tcPr>
            <w:tcW w:w="8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4"/>
        </w:trPr>
        <w:tc>
          <w:tcPr>
            <w:tcW w:w="32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ADJUSTED EBITDA MARGIN</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6"/>
                <w:szCs w:val="16"/>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6"/>
                <w:szCs w:val="16"/>
                <w:color w:val="auto"/>
              </w:rPr>
              <w:t>%</w:t>
            </w:r>
          </w:p>
        </w:tc>
        <w:tc>
          <w:tcPr>
            <w:tcW w:w="8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6"/>
                <w:szCs w:val="16"/>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PERCENTAGE CHANGE IN SALES: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ORGANIC UNITS</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ACQUISITIONS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Borders>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SELLING PRICES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40" w:hanging="324"/>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Structural Packaging organic unit sales declined 5 percent in the quarter from year ago levels.</w:t>
      </w:r>
    </w:p>
    <w:p>
      <w:pPr>
        <w:spacing w:after="0" w:line="21" w:lineRule="exact"/>
        <w:rPr>
          <w:rFonts w:ascii="Times New Roman" w:cs="Times New Roman" w:eastAsia="Times New Roman" w:hAnsi="Times New Roman"/>
          <w:sz w:val="20"/>
          <w:szCs w:val="20"/>
          <w:color w:val="auto"/>
        </w:rPr>
      </w:pPr>
    </w:p>
    <w:p>
      <w:pPr>
        <w:ind w:left="640" w:hanging="324"/>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PalletOne organic unit sales declined 4 percent in the quarter from year ago levels.</w:t>
      </w:r>
    </w:p>
    <w:p>
      <w:pPr>
        <w:ind w:left="640" w:hanging="324"/>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Protective Packaging unit sales grew 15 percent in the quarter from a year ago.</w:t>
      </w:r>
    </w:p>
    <w:p>
      <w:pPr>
        <w:jc w:val="both"/>
        <w:ind w:left="640" w:hanging="324"/>
        <w:spacing w:after="0" w:line="241" w:lineRule="auto"/>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Packaging gross profit and adjusted EBITDA fell 5 percent and held flat, respectively, from year ago levels. Gross profit declines were primarily due to PalletOne because of price competition as we are executing our strategy to increase market share. Adjusted EBITDA was flat as the decline in gross profit was offset by a decrease in SG&amp;A.</w:t>
      </w:r>
    </w:p>
    <w:p>
      <w:pPr>
        <w:spacing w:after="0" w:line="202"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7"/>
          <w:szCs w:val="17"/>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370205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482" w:right="999" w:bottom="1440" w:gutter="0" w:footer="0" w:header="0"/>
        </w:sectPr>
      </w:pPr>
    </w:p>
    <w:bookmarkStart w:id="6" w:name="page7"/>
    <w:bookmarkEnd w:id="6"/>
    <w:tbl>
      <w:tblPr>
        <w:tblLayout w:type="fixed"/>
        <w:tblInd w:w="34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97"/>
              </w:rPr>
              <w:t>Exhibit 99(a)</w:t>
            </w:r>
          </w:p>
        </w:tc>
        <w:tc>
          <w:tcPr>
            <w:tcW w:w="0" w:type="dxa"/>
            <w:vAlign w:val="bottom"/>
          </w:tcPr>
          <w:p>
            <w:pPr>
              <w:spacing w:after="0"/>
              <w:rPr>
                <w:sz w:val="1"/>
                <w:szCs w:val="1"/>
                <w:color w:val="auto"/>
              </w:rPr>
            </w:pPr>
          </w:p>
        </w:tc>
      </w:tr>
      <w:tr>
        <w:trPr>
          <w:trHeight w:val="257"/>
        </w:trPr>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UFP Construction</w:t>
            </w: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Quarter Period</w:t>
            </w:r>
          </w:p>
        </w:tc>
        <w:tc>
          <w:tcPr>
            <w:tcW w:w="86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Year to Date</w:t>
            </w:r>
          </w:p>
        </w:tc>
        <w:tc>
          <w:tcPr>
            <w:tcW w:w="840" w:type="dxa"/>
            <w:vAlign w:val="bottom"/>
            <w:tcBorders>
              <w:bottom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3180" w:type="dxa"/>
            <w:vAlign w:val="bottom"/>
            <w:tcBorders>
              <w:right w:val="single" w:sz="8" w:color="auto"/>
            </w:tcBorders>
            <w:gridSpan w:val="2"/>
            <w:vMerge w:val="continue"/>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  496,465</w:t>
            </w:r>
          </w:p>
        </w:tc>
        <w:tc>
          <w:tcPr>
            <w:tcW w:w="16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$ 534,625</w:t>
            </w:r>
          </w:p>
        </w:tc>
        <w:tc>
          <w:tcPr>
            <w:tcW w:w="160" w:type="dxa"/>
            <w:vAlign w:val="bottom"/>
          </w:tcPr>
          <w:p>
            <w:pPr>
              <w:spacing w:after="0"/>
              <w:rPr>
                <w:sz w:val="16"/>
                <w:szCs w:val="16"/>
                <w:color w:val="auto"/>
              </w:rPr>
            </w:pPr>
          </w:p>
        </w:tc>
        <w:tc>
          <w:tcPr>
            <w:tcW w:w="86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(7.1)</w:t>
            </w:r>
            <w:r>
              <w:rPr>
                <w:rFonts w:ascii="Times New Roman" w:cs="Times New Roman" w:eastAsia="Times New Roman" w:hAnsi="Times New Roman"/>
                <w:sz w:val="16"/>
                <w:szCs w:val="16"/>
                <w:color w:val="auto"/>
              </w:rPr>
              <w:t>%</w:t>
            </w:r>
          </w:p>
        </w:tc>
        <w:tc>
          <w:tcPr>
            <w:tcW w:w="18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1,563,995</w:t>
            </w:r>
          </w:p>
        </w:tc>
        <w:tc>
          <w:tcPr>
            <w:tcW w:w="16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$ 1,627,068</w:t>
            </w:r>
          </w:p>
        </w:tc>
        <w:tc>
          <w:tcPr>
            <w:tcW w:w="180" w:type="dxa"/>
            <w:vAlign w:val="bottom"/>
          </w:tcPr>
          <w:p>
            <w:pPr>
              <w:spacing w:after="0"/>
              <w:rPr>
                <w:sz w:val="16"/>
                <w:szCs w:val="16"/>
                <w:color w:val="auto"/>
              </w:rPr>
            </w:pPr>
          </w:p>
        </w:tc>
        <w:tc>
          <w:tcPr>
            <w:tcW w:w="84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w:t>
            </w: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111,658</w:t>
            </w:r>
          </w:p>
        </w:tc>
        <w:tc>
          <w:tcPr>
            <w:tcW w:w="160" w:type="dxa"/>
            <w:vAlign w:val="bottom"/>
          </w:tcPr>
          <w:p>
            <w:pPr>
              <w:spacing w:after="0"/>
              <w:rPr>
                <w:sz w:val="18"/>
                <w:szCs w:val="18"/>
                <w:color w:val="auto"/>
              </w:rPr>
            </w:pPr>
          </w:p>
        </w:tc>
        <w:tc>
          <w:tcPr>
            <w:tcW w:w="86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282,192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351,548</w:t>
            </w:r>
          </w:p>
        </w:tc>
        <w:tc>
          <w:tcPr>
            <w:tcW w:w="180" w:type="dxa"/>
            <w:vAlign w:val="bottom"/>
          </w:tcPr>
          <w:p>
            <w:pPr>
              <w:spacing w:after="0"/>
              <w:rPr>
                <w:sz w:val="18"/>
                <w:szCs w:val="18"/>
                <w:color w:val="auto"/>
              </w:rPr>
            </w:pPr>
          </w:p>
        </w:tc>
        <w:tc>
          <w:tcPr>
            <w:tcW w:w="8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GROSS MARGIN</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6"/>
                <w:szCs w:val="16"/>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20.9 </w:t>
            </w:r>
            <w:r>
              <w:rPr>
                <w:rFonts w:ascii="Times New Roman" w:cs="Times New Roman" w:eastAsia="Times New Roman" w:hAnsi="Times New Roman"/>
                <w:sz w:val="16"/>
                <w:szCs w:val="16"/>
                <w:color w:val="auto"/>
              </w:rPr>
              <w:t>%</w:t>
            </w:r>
          </w:p>
        </w:tc>
        <w:tc>
          <w:tcPr>
            <w:tcW w:w="8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18.0 </w:t>
            </w:r>
            <w:r>
              <w:rPr>
                <w:rFonts w:ascii="Times New Roman" w:cs="Times New Roman" w:eastAsia="Times New Roman" w:hAnsi="Times New Roman"/>
                <w:sz w:val="16"/>
                <w:szCs w:val="16"/>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EARNINGS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32,127</w:t>
            </w:r>
          </w:p>
        </w:tc>
        <w:tc>
          <w:tcPr>
            <w:tcW w:w="160" w:type="dxa"/>
            <w:vAlign w:val="bottom"/>
          </w:tcPr>
          <w:p>
            <w:pPr>
              <w:spacing w:after="0"/>
              <w:rPr>
                <w:sz w:val="18"/>
                <w:szCs w:val="18"/>
                <w:color w:val="auto"/>
              </w:rPr>
            </w:pPr>
          </w:p>
        </w:tc>
        <w:tc>
          <w:tcPr>
            <w:tcW w:w="86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108,584</w:t>
            </w:r>
          </w:p>
        </w:tc>
        <w:tc>
          <w:tcPr>
            <w:tcW w:w="180" w:type="dxa"/>
            <w:vAlign w:val="bottom"/>
          </w:tcPr>
          <w:p>
            <w:pPr>
              <w:spacing w:after="0"/>
              <w:rPr>
                <w:sz w:val="18"/>
                <w:szCs w:val="18"/>
                <w:color w:val="auto"/>
              </w:rPr>
            </w:pPr>
          </w:p>
        </w:tc>
        <w:tc>
          <w:tcPr>
            <w:tcW w:w="8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(31.7)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50,888</w:t>
            </w:r>
          </w:p>
        </w:tc>
        <w:tc>
          <w:tcPr>
            <w:tcW w:w="160" w:type="dxa"/>
            <w:vAlign w:val="bottom"/>
          </w:tcPr>
          <w:p>
            <w:pPr>
              <w:spacing w:after="0"/>
              <w:rPr>
                <w:sz w:val="18"/>
                <w:szCs w:val="18"/>
                <w:color w:val="auto"/>
              </w:rPr>
            </w:pPr>
          </w:p>
        </w:tc>
        <w:tc>
          <w:tcPr>
            <w:tcW w:w="86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124,668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163,395</w:t>
            </w:r>
          </w:p>
        </w:tc>
        <w:tc>
          <w:tcPr>
            <w:tcW w:w="180" w:type="dxa"/>
            <w:vAlign w:val="bottom"/>
          </w:tcPr>
          <w:p>
            <w:pPr>
              <w:spacing w:after="0"/>
              <w:rPr>
                <w:sz w:val="18"/>
                <w:szCs w:val="18"/>
                <w:color w:val="auto"/>
              </w:rPr>
            </w:pPr>
          </w:p>
        </w:tc>
        <w:tc>
          <w:tcPr>
            <w:tcW w:w="8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ADJUSTED EBITDA MARGIN</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6"/>
                <w:szCs w:val="16"/>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6"/>
                <w:szCs w:val="16"/>
                <w:color w:val="auto"/>
              </w:rPr>
              <w:t>%</w:t>
            </w:r>
          </w:p>
        </w:tc>
        <w:tc>
          <w:tcPr>
            <w:tcW w:w="8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8.0 </w:t>
            </w:r>
            <w:r>
              <w:rPr>
                <w:rFonts w:ascii="Times New Roman" w:cs="Times New Roman" w:eastAsia="Times New Roman" w:hAnsi="Times New Roman"/>
                <w:sz w:val="16"/>
                <w:szCs w:val="16"/>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10.0 </w:t>
            </w:r>
            <w:r>
              <w:rPr>
                <w:rFonts w:ascii="Times New Roman" w:cs="Times New Roman" w:eastAsia="Times New Roman" w:hAnsi="Times New Roman"/>
                <w:sz w:val="16"/>
                <w:szCs w:val="16"/>
                <w:color w:val="auto"/>
              </w:rPr>
              <w:t>%</w:t>
            </w:r>
          </w:p>
        </w:tc>
        <w:tc>
          <w:tcPr>
            <w:tcW w:w="8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PERCENTAGE CHANGE IN SALES: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ORGANIC UNITS</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SELLING PRICES</w:t>
            </w:r>
          </w:p>
        </w:tc>
        <w:tc>
          <w:tcPr>
            <w:tcW w:w="10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Site Built organic unit sales declined 15 percent in the quarter from year ago levels.</w:t>
      </w:r>
    </w:p>
    <w:p>
      <w:pPr>
        <w:spacing w:after="0" w:line="21"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Factory Built organic unit sales grew 4 percent in the quarter from year ago levels.</w:t>
      </w:r>
    </w:p>
    <w:p>
      <w:pPr>
        <w:ind w:left="980" w:hanging="324"/>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Concrete Forming Solutions organic unit sales grew 12 percent in the quarter from year ago levels.</w:t>
      </w:r>
    </w:p>
    <w:p>
      <w:pPr>
        <w:ind w:left="980" w:hanging="324"/>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organic sales grew 13 percent in the quarter from year ago levels.</w:t>
      </w:r>
    </w:p>
    <w:p>
      <w:pPr>
        <w:jc w:val="both"/>
        <w:ind w:left="980" w:hanging="324"/>
        <w:spacing w:after="0" w:line="242" w:lineRule="auto"/>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Construction gross profit and adjusted EBITDA each fell 18 percent, respectively from year ago levels. Weaker volumes and competitive pricing in our Site Built business led the declines in the quarter as our other businesses reported profit growth in the quarter.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Capital Structure, Leverage and Liquidity Information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UFP Industries maintains a strong balance sheet and as of September 27, 2025, had liquidity of approximately $2.3 billion consisting of $1.0 billion of cash and $1.3 billion of remaining availability under its revolving credit facility and a shelf agreement with certain lenders. The company’s return-focused approach to capital allocation includes the following:</w:t>
      </w:r>
    </w:p>
    <w:p>
      <w:pPr>
        <w:spacing w:after="0" w:line="292" w:lineRule="exact"/>
        <w:rPr>
          <w:sz w:val="20"/>
          <w:szCs w:val="20"/>
          <w:color w:val="auto"/>
        </w:rPr>
      </w:pPr>
    </w:p>
    <w:p>
      <w:pPr>
        <w:jc w:val="both"/>
        <w:ind w:left="980" w:hanging="324"/>
        <w:spacing w:after="0" w:line="244" w:lineRule="auto"/>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Acquisitions and Organic Growth. </w:t>
      </w:r>
      <w:r>
        <w:rPr>
          <w:rFonts w:ascii="Times New Roman" w:cs="Times New Roman" w:eastAsia="Times New Roman" w:hAnsi="Times New Roman"/>
          <w:sz w:val="20"/>
          <w:szCs w:val="20"/>
          <w:color w:val="auto"/>
        </w:rPr>
        <w:t>The company seeks strategic acquisitions and invests in organic growth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opportunities when acquisition targets are not available at valuations that will allow us to meet or exceed targeted return rates. In 2024, the company announced up to $1 billion in capital investments through 2028 for automation, technology upgrades, geographic expansion, and increased capacity at existing facilities. The company expects to invest approximately $275 million to $300 million on capital projects in 2025.</w:t>
      </w:r>
    </w:p>
    <w:p>
      <w:pPr>
        <w:spacing w:after="0" w:line="4" w:lineRule="exact"/>
        <w:rPr>
          <w:rFonts w:ascii="Times New Roman" w:cs="Times New Roman" w:eastAsia="Times New Roman" w:hAnsi="Times New Roman"/>
          <w:sz w:val="20"/>
          <w:szCs w:val="20"/>
          <w:color w:val="auto"/>
        </w:rPr>
      </w:pPr>
    </w:p>
    <w:p>
      <w:pPr>
        <w:jc w:val="both"/>
        <w:ind w:left="980" w:hanging="324"/>
        <w:spacing w:after="0" w:line="239" w:lineRule="auto"/>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Dividend payments. </w:t>
      </w:r>
      <w:r>
        <w:rPr>
          <w:rFonts w:ascii="Times New Roman" w:cs="Times New Roman" w:eastAsia="Times New Roman" w:hAnsi="Times New Roman"/>
          <w:sz w:val="20"/>
          <w:szCs w:val="20"/>
          <w:color w:val="auto"/>
        </w:rPr>
        <w:t>On October 23, 2025, the UFP Industries Board of Directors approved a quarterly cash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dividend payment of $0.35 per share, which represents a 6 percent year over year increase. This dividend is payable on December 15, 2025, to shareholders of record on December 1, 2025. We continue to consider our payout ratio and yield when determining the appropriate dividend rate and have a long-term objective of increasing our dividend in line with our earnings growth.</w:t>
      </w:r>
    </w:p>
    <w:p>
      <w:pPr>
        <w:spacing w:after="0" w:line="2" w:lineRule="exact"/>
        <w:rPr>
          <w:rFonts w:ascii="Times New Roman" w:cs="Times New Roman" w:eastAsia="Times New Roman" w:hAnsi="Times New Roman"/>
          <w:sz w:val="20"/>
          <w:szCs w:val="20"/>
          <w:color w:val="auto"/>
        </w:rPr>
      </w:pPr>
    </w:p>
    <w:p>
      <w:pPr>
        <w:jc w:val="both"/>
        <w:ind w:left="980" w:hanging="324"/>
        <w:spacing w:after="0" w:line="242" w:lineRule="auto"/>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Share repurchases. </w:t>
      </w:r>
      <w:r>
        <w:rPr>
          <w:rFonts w:ascii="Times New Roman" w:cs="Times New Roman" w:eastAsia="Times New Roman" w:hAnsi="Times New Roman"/>
          <w:sz w:val="20"/>
          <w:szCs w:val="20"/>
          <w:color w:val="auto"/>
        </w:rPr>
        <w:t>As of September 27, 2025, we have repurchased 2.8 million shares for $291 million, at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average share price of $103.04 for the year. In October, we have repurchased an additional 615k shares for $56 million, at an average price of $91.03.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Full Year and Long-Term Outlook</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2025 outlook remains largely unchanged. We continue to anticipate the softer demand and competitive pricing environment will remain through the balance of 2025 and are planning for low single-digit unit declines in each of our segments. We anticipate a more significant decline in markets tied to new residential construction, but we continue to expect to see some level of stabilization in most of our other businesses units as an offset. We expect initial stocking orders and expanded manufacturing and distribution capabilities will support momentum in our Deckorators’s and Surestone business through the remainder of the year and into 2026.</w:t>
      </w:r>
    </w:p>
    <w:p>
      <w:pPr>
        <w:spacing w:after="0" w:line="1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company’s </w:t>
      </w:r>
      <w:r>
        <w:rPr>
          <w:rFonts w:ascii="Times New Roman" w:cs="Times New Roman" w:eastAsia="Times New Roman" w:hAnsi="Times New Roman"/>
          <w:sz w:val="20"/>
          <w:szCs w:val="20"/>
          <w:u w:val="single" w:color="auto"/>
          <w:color w:val="auto"/>
        </w:rPr>
        <w:t>long-term</w:t>
      </w:r>
      <w:r>
        <w:rPr>
          <w:rFonts w:ascii="Times New Roman" w:cs="Times New Roman" w:eastAsia="Times New Roman" w:hAnsi="Times New Roman"/>
          <w:sz w:val="20"/>
          <w:szCs w:val="20"/>
          <w:color w:val="auto"/>
        </w:rPr>
        <w:t xml:space="preserve"> goals remain unchanged and include: 1) achieving 7-10 percent unit sales growth annually (including bolt-on acquisitions) with at least 10 percent of all sales coming from new products; 2) achieving 12.5 percent adjusted EBITDA margins; 3) earning an incremental return on new investments over our hurdle rate; and 4) maintaining a conservative capital structure</w:t>
      </w:r>
    </w:p>
    <w:p>
      <w:pPr>
        <w:sectPr>
          <w:pgSz w:w="11900" w:h="16838" w:orient="portrait"/>
          <w:cols w:equalWidth="0" w:num="1">
            <w:col w:w="9920"/>
          </w:cols>
          <w:pgMar w:left="980" w:top="482" w:right="999" w:bottom="1440" w:gutter="0" w:footer="0" w:header="0"/>
        </w:sectPr>
      </w:pPr>
    </w:p>
    <w:p>
      <w:pPr>
        <w:spacing w:after="0" w:line="194"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7"/>
          <w:szCs w:val="17"/>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370205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UFP Industries will host a conference call on Thursday, October 30, 2025, to discuss these results and outlook. The conference call will begin at 10:00 a.m. Eastern Time and will be hosted by CEO Will Schwartz and CFO Michael Cole. Interested investors can access the webcast directly with this link (here). A replay of the call will be available through the UFP Investor Relations website at www.ufpinvestor.com for at least 90 days following the call.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UFP Industries, Inc.</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UFP Industries, Inc. is a holding company whose operating subsidiaries – UFP Packaging, UFP Construction and UFP Retail – manufacture, distribute and sell a wide variety of value-added products used in residential and commercial construction, packaging and other industrial applications worldwide. Founded in 1955, the company is headquartered in Grand Rapids, Mich., with affiliates in North America, Europe, Asia and Australia. For more about UFP Industries, go to www.ufpi.com.</w:t>
      </w:r>
    </w:p>
    <w:p>
      <w:pPr>
        <w:spacing w:after="0" w:line="200" w:lineRule="exact"/>
        <w:rPr>
          <w:sz w:val="20"/>
          <w:szCs w:val="20"/>
          <w:color w:val="auto"/>
        </w:rPr>
      </w:pPr>
    </w:p>
    <w:p>
      <w:pPr>
        <w:spacing w:after="0" w:line="33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4"/>
          <w:szCs w:val="14"/>
          <w:i w:val="1"/>
          <w:iCs w:val="1"/>
          <w:color w:val="auto"/>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or unusual weather conditions; adverse economic conditions in the markets we serve; changes in tariffs, import/export regulations, and other trade policies; concentration of sales to customers; the success of vertical integration strategies; excess capacity or supply chain challenges; inbound and outbound transportation costs; alternatives to replace treated wood products; government regulations, particularly involving environmental and safety regulations; our ability to make successful business acquisitions; cybersecurity breaches; and potential pandemics. Certain of these risk factors as well as other risk factors and additional information are included in the Company's reports on Form 10-K and 10-Q on file with the Securities and Exchange Commission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Non-GAAP Financial Information</w:t>
      </w:r>
    </w:p>
    <w:p>
      <w:pPr>
        <w:spacing w:after="0" w:line="9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i w:val="1"/>
          <w:iCs w:val="1"/>
          <w:color w:val="auto"/>
        </w:rPr>
        <w:t>This release includes certain financial information not prepared in accordance with U.S. GAAP. Because not all companies calculate non-GAAP financial information identically (or at all), the presentations herein may not be comparable to other similarly titled measures used by other companies. Management uses Adjusted EBITDA, a non-GAAP financial measure, in order to evaluate historical and ongoing operations. Management believes that this non-GAAP financial measure is useful in order to enable investors to perform meaningful comparisons of historical and current performance. Adjusted EBITDA is intended to supplement and should be read together with the financial results. Adjusted EBITDA should not be considered an alternative or substitute for, and should not be considered superior to, the reported financial results. Accordingly, users of this financial information should not place undue reliance on the non-GAAP financial measure. See the table below for a reconciliation of Adjusted EBITDA to net earnings.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earnings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earnings refers to net earnings attributable to controlling interest unless specifically noted.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THE COMPANY---------------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Stanley Elliott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(804) 337-8217</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7"/>
          <w:szCs w:val="17"/>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370205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82" w:right="999" w:bottom="1440" w:gutter="0" w:footer="0" w:header="0"/>
        </w:sectPr>
      </w:pPr>
    </w:p>
    <w:bookmarkStart w:id="8" w:name="page9"/>
    <w:bookmarkEnd w:id="8"/>
    <w:p>
      <w:pPr>
        <w:ind w:left="8920"/>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31" w:lineRule="exact"/>
        <w:rPr>
          <w:sz w:val="20"/>
          <w:szCs w:val="20"/>
          <w:color w:val="auto"/>
        </w:rPr>
      </w:pPr>
    </w:p>
    <w:p>
      <w:pPr>
        <w:jc w:val="cente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 FOR THE THREE AND NINE MONTHS ENDED SEPTEMBER 2025/2024</w:t>
      </w: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70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Quarter Period</w:t>
            </w:r>
          </w:p>
        </w:tc>
        <w:tc>
          <w:tcPr>
            <w:tcW w:w="620" w:type="dxa"/>
            <w:vAlign w:val="bottom"/>
            <w:tcBorders>
              <w:top w:val="single" w:sz="8" w:color="auto"/>
              <w:bottom w:val="single" w:sz="8" w:color="auto"/>
              <w:right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Year to Date</w:t>
            </w:r>
          </w:p>
        </w:tc>
        <w:tc>
          <w:tcPr>
            <w:tcW w:w="62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1,559,627</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1,649,383</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4,990,520</w:t>
            </w: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5,190,308</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GOODS SOLD</w:t>
            </w: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1,296,946</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1,350,971</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4,146,909</w:t>
            </w: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4,203,075</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81.0</w:t>
            </w:r>
          </w:p>
        </w:tc>
        <w:tc>
          <w:tcPr>
            <w:tcW w:w="0" w:type="dxa"/>
            <w:vAlign w:val="bottom"/>
          </w:tcPr>
          <w:p>
            <w:pPr>
              <w:spacing w:after="0"/>
              <w:rPr>
                <w:sz w:val="1"/>
                <w:szCs w:val="1"/>
                <w:color w:val="auto"/>
              </w:rPr>
            </w:pPr>
          </w:p>
        </w:tc>
      </w:tr>
      <w:tr>
        <w:trPr>
          <w:trHeight w:val="196"/>
        </w:trPr>
        <w:tc>
          <w:tcPr>
            <w:tcW w:w="37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262,681</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298,412</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843,611</w:t>
            </w: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987,233</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SELLING, GENERAL AND ADMINISTRATIVE</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170,030</w:t>
            </w:r>
          </w:p>
        </w:tc>
        <w:tc>
          <w:tcPr>
            <w:tcW w:w="12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183,341</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531,279</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578,555</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187"/>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(GAIN) ON DISPOSITION AND</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IMPAIRMENT OF ASSETS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120" w:type="dxa"/>
            <w:vAlign w:val="bottom"/>
          </w:tcPr>
          <w:p>
            <w:pPr>
              <w:spacing w:after="0"/>
              <w:rPr>
                <w:sz w:val="18"/>
                <w:szCs w:val="18"/>
                <w:color w:val="auto"/>
              </w:rPr>
            </w:pPr>
          </w:p>
        </w:tc>
        <w:tc>
          <w:tcPr>
            <w:tcW w:w="6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8"/>
                <w:szCs w:val="18"/>
                <w:color w:val="auto"/>
              </w:rPr>
            </w:pPr>
          </w:p>
        </w:tc>
        <w:tc>
          <w:tcPr>
            <w:tcW w:w="620" w:type="dxa"/>
            <w:vAlign w:val="bottom"/>
            <w:tcBorders>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6,212</w:t>
            </w:r>
          </w:p>
        </w:tc>
        <w:tc>
          <w:tcPr>
            <w:tcW w:w="100" w:type="dxa"/>
            <w:vAlign w:val="bottom"/>
          </w:tcPr>
          <w:p>
            <w:pPr>
              <w:spacing w:after="0"/>
              <w:rPr>
                <w:sz w:val="18"/>
                <w:szCs w:val="18"/>
                <w:color w:val="auto"/>
              </w:rPr>
            </w:pPr>
          </w:p>
        </w:tc>
        <w:tc>
          <w:tcPr>
            <w:tcW w:w="64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100" w:type="dxa"/>
            <w:vAlign w:val="bottom"/>
          </w:tcPr>
          <w:p>
            <w:pPr>
              <w:spacing w:after="0"/>
              <w:rPr>
                <w:sz w:val="18"/>
                <w:szCs w:val="18"/>
                <w:color w:val="auto"/>
              </w:rPr>
            </w:pPr>
          </w:p>
        </w:tc>
        <w:tc>
          <w:tcPr>
            <w:tcW w:w="62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LOSSES (GAINS), NET</w:t>
            </w: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(5,643)</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96"/>
        </w:trPr>
        <w:tc>
          <w:tcPr>
            <w:tcW w:w="37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FROM OPERATIONS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89,471</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119,926</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304,814</w:t>
            </w: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412,783</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AND OTHER</w:t>
            </w: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(9,663)</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(14,184)</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(26,946)</w:t>
            </w: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(36,353)</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196"/>
        </w:trPr>
        <w:tc>
          <w:tcPr>
            <w:tcW w:w="37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BEFORE INCOME TAXES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99,134</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134,110</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331,760</w:t>
            </w: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449,136</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23,592</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32,491</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75,924</w:t>
            </w: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100,186</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6"/>
        </w:trPr>
        <w:tc>
          <w:tcPr>
            <w:tcW w:w="37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75,542</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101,619</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255,836</w:t>
            </w: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348,950</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LESS NET EARNINGS ATTRIBUTABLE TO</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 INTEREST</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37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ATTRIBUTABLE TO</w:t>
            </w:r>
          </w:p>
        </w:tc>
        <w:tc>
          <w:tcPr>
            <w:tcW w:w="8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75,346</w:t>
            </w:r>
          </w:p>
        </w:tc>
        <w:tc>
          <w:tcPr>
            <w:tcW w:w="12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99,800</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254,833</w:t>
            </w: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346,521</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0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CONTROLLING INTEREST</w:t>
            </w: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right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
        </w:trPr>
        <w:tc>
          <w:tcPr>
            <w:tcW w:w="3700" w:type="dxa"/>
            <w:vAlign w:val="bottom"/>
            <w:tcBorders>
              <w:lef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00" w:type="dxa"/>
            <w:vAlign w:val="bottom"/>
            <w:tcBorders>
              <w:left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 BASIC</w:t>
            </w:r>
          </w:p>
        </w:tc>
        <w:tc>
          <w:tcPr>
            <w:tcW w:w="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 DILUTED</w:t>
            </w:r>
          </w:p>
        </w:tc>
        <w:tc>
          <w:tcPr>
            <w:tcW w:w="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76,049</w:t>
            </w: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102,411</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271,262</w:t>
            </w: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340,632</w:t>
            </w: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LESS COMPREHENSIVE (INCOME) LOSS</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ATTRIBUTABLE TO NONCONTROLLING</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ATTRIBUTABLE</w:t>
            </w:r>
          </w:p>
        </w:tc>
        <w:tc>
          <w:tcPr>
            <w:tcW w:w="8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75,562</w:t>
            </w:r>
          </w:p>
        </w:tc>
        <w:tc>
          <w:tcPr>
            <w:tcW w:w="12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101,379</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268,384</w:t>
            </w: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341,029</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0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 CONTROLLING INTEREST</w:t>
            </w: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Borders>
              <w:lef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00" w:type="dxa"/>
            <w:vAlign w:val="bottom"/>
            <w:tcBorders>
              <w:left w:val="single" w:sz="8" w:color="auto"/>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9" w:name="page10"/>
    <w:bookmarkEnd w:id="9"/>
    <w:p>
      <w:pPr>
        <w:ind w:left="8920"/>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31" w:lineRule="exact"/>
        <w:rPr>
          <w:sz w:val="20"/>
          <w:szCs w:val="20"/>
          <w:color w:val="auto"/>
        </w:rPr>
      </w:pPr>
    </w:p>
    <w:p>
      <w:pPr>
        <w:jc w:val="cente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CONDENSED CONSOLIDATED STATEMENTS OF EARNINGS BY SEGMENT (UNAUDITED) FOR THE THREE MONTHS ENDED SEPTEMBER 2025/2024</w:t>
      </w:r>
    </w:p>
    <w:p>
      <w:pPr>
        <w:spacing w:after="0" w:line="63"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76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760" w:type="dxa"/>
            <w:vAlign w:val="bottom"/>
            <w:tcBorders>
              <w:top w:val="single" w:sz="8" w:color="auto"/>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Quarter Period 2025</w:t>
            </w: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right w:val="single" w:sz="8" w:color="auto"/>
            </w:tcBorders>
          </w:tcPr>
          <w:p>
            <w:pPr>
              <w:spacing w:after="0"/>
              <w:rPr>
                <w:sz w:val="14"/>
                <w:szCs w:val="14"/>
                <w:color w:val="auto"/>
              </w:rPr>
            </w:pPr>
          </w:p>
        </w:tc>
      </w:tr>
      <w:tr>
        <w:trPr>
          <w:trHeight w:val="167"/>
        </w:trPr>
        <w:tc>
          <w:tcPr>
            <w:tcW w:w="376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3760" w:type="dxa"/>
            <w:vAlign w:val="bottom"/>
            <w:tcBorders>
              <w:top w:val="single" w:sz="8" w:color="CCEEFF"/>
              <w:left w:val="single" w:sz="8" w:color="auto"/>
              <w:right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593,985</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394,949</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496,465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72,482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1,746</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1,559,627</w:t>
            </w:r>
          </w:p>
        </w:tc>
      </w:tr>
      <w:tr>
        <w:trPr>
          <w:trHeight w:val="216"/>
        </w:trPr>
        <w:tc>
          <w:tcPr>
            <w:tcW w:w="376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513,763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327,528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405,262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1,296,946</w:t>
            </w:r>
          </w:p>
        </w:tc>
      </w:tr>
      <w:tr>
        <w:trPr>
          <w:trHeight w:val="210"/>
        </w:trPr>
        <w:tc>
          <w:tcPr>
            <w:tcW w:w="3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262,681</w:t>
            </w:r>
          </w:p>
        </w:tc>
      </w:tr>
      <w:tr>
        <w:trPr>
          <w:trHeight w:val="194"/>
        </w:trPr>
        <w:tc>
          <w:tcPr>
            <w:tcW w:w="3760" w:type="dxa"/>
            <w:vAlign w:val="bottom"/>
            <w:tcBorders>
              <w:left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SELLING, GENERAL AND</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38"/>
        </w:trPr>
        <w:tc>
          <w:tcPr>
            <w:tcW w:w="3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ADMINISTRATIVE EXPENSES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170,030</w:t>
            </w:r>
          </w:p>
        </w:tc>
      </w:tr>
      <w:tr>
        <w:trPr>
          <w:trHeight w:val="194"/>
        </w:trPr>
        <w:tc>
          <w:tcPr>
            <w:tcW w:w="3760" w:type="dxa"/>
            <w:vAlign w:val="bottom"/>
            <w:tcBorders>
              <w:left w:val="single" w:sz="8" w:color="auto"/>
              <w:right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LOSS (GAIN) ON DISPOSITION AND</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spacing w:after="0"/>
              <w:rPr>
                <w:sz w:val="16"/>
                <w:szCs w:val="16"/>
                <w:color w:val="auto"/>
              </w:rPr>
            </w:pPr>
          </w:p>
        </w:tc>
      </w:tr>
      <w:tr>
        <w:trPr>
          <w:trHeight w:val="238"/>
        </w:trPr>
        <w:tc>
          <w:tcPr>
            <w:tcW w:w="3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 OF ASSETS</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r>
      <w:tr>
        <w:trPr>
          <w:trHeight w:val="216"/>
        </w:trPr>
        <w:tc>
          <w:tcPr>
            <w:tcW w:w="376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LOSSES (GAINS), NET</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09"/>
        </w:trPr>
        <w:tc>
          <w:tcPr>
            <w:tcW w:w="3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OPERATIONS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89,471</w:t>
            </w:r>
          </w:p>
        </w:tc>
      </w:tr>
      <w:tr>
        <w:trPr>
          <w:trHeight w:val="216"/>
        </w:trPr>
        <w:tc>
          <w:tcPr>
            <w:tcW w:w="376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AND OTHER</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(9,663)</w:t>
            </w:r>
          </w:p>
        </w:tc>
      </w:tr>
      <w:tr>
        <w:trPr>
          <w:trHeight w:val="210"/>
        </w:trPr>
        <w:tc>
          <w:tcPr>
            <w:tcW w:w="3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99,134</w:t>
            </w:r>
          </w:p>
        </w:tc>
      </w:tr>
      <w:tr>
        <w:trPr>
          <w:trHeight w:val="216"/>
        </w:trPr>
        <w:tc>
          <w:tcPr>
            <w:tcW w:w="376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23,592</w:t>
            </w:r>
          </w:p>
        </w:tc>
      </w:tr>
      <w:tr>
        <w:trPr>
          <w:trHeight w:val="209"/>
        </w:trPr>
        <w:tc>
          <w:tcPr>
            <w:tcW w:w="37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21,358</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75,542</w:t>
            </w:r>
          </w:p>
        </w:tc>
      </w:tr>
      <w:tr>
        <w:trPr>
          <w:trHeight w:val="250"/>
        </w:trPr>
        <w:tc>
          <w:tcPr>
            <w:tcW w:w="37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r>
      <w:tr>
        <w:trPr>
          <w:trHeight w:val="142"/>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4"/>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Quarter Period 2024</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r>
      <w:tr>
        <w:trPr>
          <w:trHeight w:val="167"/>
        </w:trPr>
        <w:tc>
          <w:tcPr>
            <w:tcW w:w="376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3760" w:type="dxa"/>
            <w:vAlign w:val="bottom"/>
            <w:tcBorders>
              <w:top w:val="single" w:sz="8" w:color="CCEEFF"/>
              <w:left w:val="single" w:sz="8" w:color="auto"/>
              <w:right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635,571</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401,626</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534,625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75,802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1,759</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1,649,383</w:t>
            </w:r>
          </w:p>
        </w:tc>
      </w:tr>
      <w:tr>
        <w:trPr>
          <w:trHeight w:val="216"/>
        </w:trPr>
        <w:tc>
          <w:tcPr>
            <w:tcW w:w="376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542,516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330,381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422,967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1,350,971</w:t>
            </w:r>
          </w:p>
        </w:tc>
      </w:tr>
      <w:tr>
        <w:trPr>
          <w:trHeight w:val="210"/>
        </w:trPr>
        <w:tc>
          <w:tcPr>
            <w:tcW w:w="3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298,412</w:t>
            </w:r>
          </w:p>
        </w:tc>
      </w:tr>
      <w:tr>
        <w:trPr>
          <w:trHeight w:val="194"/>
        </w:trPr>
        <w:tc>
          <w:tcPr>
            <w:tcW w:w="3760" w:type="dxa"/>
            <w:vAlign w:val="bottom"/>
            <w:tcBorders>
              <w:left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SELLING, GENERAL AND</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38"/>
        </w:trPr>
        <w:tc>
          <w:tcPr>
            <w:tcW w:w="3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ADMINISTRATIVE EXPENSES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183,341</w:t>
            </w:r>
          </w:p>
        </w:tc>
      </w:tr>
      <w:tr>
        <w:trPr>
          <w:trHeight w:val="194"/>
        </w:trPr>
        <w:tc>
          <w:tcPr>
            <w:tcW w:w="3760" w:type="dxa"/>
            <w:vAlign w:val="bottom"/>
            <w:tcBorders>
              <w:left w:val="single" w:sz="8" w:color="auto"/>
              <w:right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(GAIN) LOSS ON DISPOSITION AND</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spacing w:after="0"/>
              <w:rPr>
                <w:sz w:val="16"/>
                <w:szCs w:val="16"/>
                <w:color w:val="auto"/>
              </w:rPr>
            </w:pPr>
          </w:p>
        </w:tc>
      </w:tr>
      <w:tr>
        <w:trPr>
          <w:trHeight w:val="238"/>
        </w:trPr>
        <w:tc>
          <w:tcPr>
            <w:tcW w:w="3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 OF ASSETS</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376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(GAINS) LOSSES, NET</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w:t>
            </w:r>
          </w:p>
        </w:tc>
      </w:tr>
      <w:tr>
        <w:trPr>
          <w:trHeight w:val="209"/>
        </w:trPr>
        <w:tc>
          <w:tcPr>
            <w:tcW w:w="3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OPERATIONS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119,926</w:t>
            </w:r>
          </w:p>
        </w:tc>
      </w:tr>
      <w:tr>
        <w:trPr>
          <w:trHeight w:val="216"/>
        </w:trPr>
        <w:tc>
          <w:tcPr>
            <w:tcW w:w="376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AND OTHER</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w:t>
            </w:r>
          </w:p>
        </w:tc>
      </w:tr>
      <w:tr>
        <w:trPr>
          <w:trHeight w:val="209"/>
        </w:trPr>
        <w:tc>
          <w:tcPr>
            <w:tcW w:w="3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134,110</w:t>
            </w:r>
          </w:p>
        </w:tc>
      </w:tr>
      <w:tr>
        <w:trPr>
          <w:trHeight w:val="216"/>
        </w:trPr>
        <w:tc>
          <w:tcPr>
            <w:tcW w:w="376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32,491</w:t>
            </w:r>
          </w:p>
        </w:tc>
      </w:tr>
      <w:tr>
        <w:trPr>
          <w:trHeight w:val="210"/>
        </w:trPr>
        <w:tc>
          <w:tcPr>
            <w:tcW w:w="37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31,769</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16,507</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32,127</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101,619</w:t>
            </w:r>
          </w:p>
        </w:tc>
      </w:tr>
    </w:tbl>
    <w:p>
      <w:pPr>
        <w:spacing w:after="0" w:line="315"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10" w:name="page11"/>
    <w:bookmarkEnd w:id="10"/>
    <w:p>
      <w:pPr>
        <w:ind w:left="8920"/>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EARNINGS BY SEGMENT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2025/2024</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6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800" w:type="dxa"/>
            <w:vAlign w:val="bottom"/>
            <w:tcBorders>
              <w:top w:val="single" w:sz="8" w:color="auto"/>
              <w:bottom w:val="single" w:sz="8" w:color="auto"/>
            </w:tcBorders>
            <w:gridSpan w:val="8"/>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to Date 2025</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right w:val="single" w:sz="8" w:color="auto"/>
            </w:tcBorders>
          </w:tcPr>
          <w:p>
            <w:pPr>
              <w:spacing w:after="0"/>
              <w:rPr>
                <w:sz w:val="14"/>
                <w:szCs w:val="14"/>
                <w:color w:val="auto"/>
              </w:rPr>
            </w:pPr>
          </w:p>
        </w:tc>
      </w:tr>
      <w:tr>
        <w:trPr>
          <w:trHeight w:val="162"/>
        </w:trPr>
        <w:tc>
          <w:tcPr>
            <w:tcW w:w="3680" w:type="dxa"/>
            <w:vAlign w:val="bottom"/>
            <w:tcBorders>
              <w:left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9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right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3680" w:type="dxa"/>
            <w:vAlign w:val="bottom"/>
            <w:tcBorders>
              <w:top w:val="single" w:sz="8" w:color="auto"/>
              <w:left w:val="single" w:sz="8" w:color="auto"/>
              <w:right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90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8"/>
              </w:rPr>
              <w:t>$ 1,989,592</w:t>
            </w: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8"/>
              </w:rPr>
              <w:t>$ 1,233,626</w:t>
            </w: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$ 1,563,995</w:t>
            </w: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197,806</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5,501</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4,990,520</w:t>
            </w:r>
          </w:p>
        </w:tc>
      </w:tr>
      <w:tr>
        <w:trPr>
          <w:trHeight w:val="216"/>
        </w:trPr>
        <w:tc>
          <w:tcPr>
            <w:tcW w:w="368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1,714,335</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1,026,049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1,281,803</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160,706</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(35,984)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4,146,909</w:t>
            </w:r>
          </w:p>
        </w:tc>
      </w:tr>
      <w:tr>
        <w:trPr>
          <w:trHeight w:val="209"/>
        </w:trPr>
        <w:tc>
          <w:tcPr>
            <w:tcW w:w="36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275,257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207,577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282,192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37,100</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843,611</w:t>
            </w:r>
          </w:p>
        </w:tc>
      </w:tr>
      <w:tr>
        <w:trPr>
          <w:trHeight w:val="194"/>
        </w:trPr>
        <w:tc>
          <w:tcPr>
            <w:tcW w:w="3680" w:type="dxa"/>
            <w:vAlign w:val="bottom"/>
            <w:tcBorders>
              <w:left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SELLING, GENERAL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38"/>
        </w:trPr>
        <w:tc>
          <w:tcPr>
            <w:tcW w:w="36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ADMINISTRATIVE EXPENSES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163,029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136,748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185,454</w:t>
            </w:r>
          </w:p>
        </w:tc>
        <w:tc>
          <w:tcPr>
            <w:tcW w:w="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28,086</w:t>
            </w:r>
          </w:p>
        </w:tc>
        <w:tc>
          <w:tcPr>
            <w:tcW w:w="40" w:type="dxa"/>
            <w:vAlign w:val="bottom"/>
          </w:tcPr>
          <w:p>
            <w:pPr>
              <w:spacing w:after="0"/>
              <w:rPr>
                <w:sz w:val="20"/>
                <w:szCs w:val="20"/>
                <w:color w:val="auto"/>
              </w:rPr>
            </w:pPr>
          </w:p>
        </w:tc>
        <w:tc>
          <w:tcPr>
            <w:tcW w:w="340" w:type="dxa"/>
            <w:vAlign w:val="bottom"/>
            <w:gridSpan w:val="4"/>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531,279</w:t>
            </w:r>
          </w:p>
        </w:tc>
      </w:tr>
      <w:tr>
        <w:trPr>
          <w:trHeight w:val="194"/>
        </w:trPr>
        <w:tc>
          <w:tcPr>
            <w:tcW w:w="3680" w:type="dxa"/>
            <w:vAlign w:val="bottom"/>
            <w:tcBorders>
              <w:left w:val="single" w:sz="8" w:color="auto"/>
              <w:right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LOSS (GAIN) ON DISPOSITION AND</w:t>
            </w: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r>
      <w:tr>
        <w:trPr>
          <w:trHeight w:val="238"/>
        </w:trPr>
        <w:tc>
          <w:tcPr>
            <w:tcW w:w="36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 OF ASSETS</w:t>
            </w: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40" w:type="dxa"/>
            <w:vAlign w:val="bottom"/>
            <w:shd w:val="clear" w:color="auto" w:fill="CCEEFF"/>
          </w:tcPr>
          <w:p>
            <w:pPr>
              <w:spacing w:after="0"/>
              <w:rPr>
                <w:sz w:val="20"/>
                <w:szCs w:val="20"/>
                <w:color w:val="auto"/>
              </w:rPr>
            </w:pPr>
          </w:p>
        </w:tc>
        <w:tc>
          <w:tcPr>
            <w:tcW w:w="340" w:type="dxa"/>
            <w:vAlign w:val="bottom"/>
            <w:gridSpan w:val="4"/>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r>
      <w:tr>
        <w:trPr>
          <w:trHeight w:val="216"/>
        </w:trPr>
        <w:tc>
          <w:tcPr>
            <w:tcW w:w="36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LOSSES (GAINS),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6"/>
          </w:tcPr>
          <w:p>
            <w:pPr>
              <w:jc w:val="right"/>
              <w:ind w:right="76"/>
              <w:spacing w:after="0"/>
              <w:rPr>
                <w:sz w:val="20"/>
                <w:szCs w:val="20"/>
                <w:color w:val="auto"/>
              </w:rPr>
            </w:pPr>
            <w:r>
              <w:rPr>
                <w:rFonts w:ascii="Times New Roman" w:cs="Times New Roman" w:eastAsia="Times New Roman" w:hAnsi="Times New Roman"/>
                <w:sz w:val="18"/>
                <w:szCs w:val="18"/>
                <w:color w:val="auto"/>
              </w:rPr>
              <w:t>451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09"/>
        </w:trPr>
        <w:tc>
          <w:tcPr>
            <w:tcW w:w="3680" w:type="dxa"/>
            <w:vAlign w:val="bottom"/>
            <w:tcBorders>
              <w:top w:val="single" w:sz="8" w:color="CCEEFF"/>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OPERATIONS</w:t>
            </w: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100,358</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96,198</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26,832</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304,814</w:t>
            </w:r>
          </w:p>
        </w:tc>
      </w:tr>
      <w:tr>
        <w:trPr>
          <w:trHeight w:val="216"/>
        </w:trPr>
        <w:tc>
          <w:tcPr>
            <w:tcW w:w="36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AND 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6"/>
          </w:tcPr>
          <w:p>
            <w:pPr>
              <w:jc w:val="right"/>
              <w:ind w:right="76"/>
              <w:spacing w:after="0"/>
              <w:rPr>
                <w:sz w:val="20"/>
                <w:szCs w:val="20"/>
                <w:color w:val="auto"/>
              </w:rPr>
            </w:pPr>
            <w:r>
              <w:rPr>
                <w:rFonts w:ascii="Times New Roman" w:cs="Times New Roman" w:eastAsia="Times New Roman" w:hAnsi="Times New Roman"/>
                <w:sz w:val="18"/>
                <w:szCs w:val="18"/>
                <w:color w:val="auto"/>
              </w:rPr>
              <w:t>(6,304)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(26,946)</w:t>
            </w:r>
          </w:p>
        </w:tc>
      </w:tr>
      <w:tr>
        <w:trPr>
          <w:trHeight w:val="209"/>
        </w:trPr>
        <w:tc>
          <w:tcPr>
            <w:tcW w:w="3680" w:type="dxa"/>
            <w:vAlign w:val="bottom"/>
            <w:tcBorders>
              <w:top w:val="single" w:sz="8" w:color="CCEEFF"/>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100,542</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96,206</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46,434</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331,760</w:t>
            </w:r>
          </w:p>
        </w:tc>
      </w:tr>
      <w:tr>
        <w:trPr>
          <w:trHeight w:val="216"/>
        </w:trPr>
        <w:tc>
          <w:tcPr>
            <w:tcW w:w="36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40" w:type="dxa"/>
            <w:vAlign w:val="bottom"/>
          </w:tcPr>
          <w:p>
            <w:pPr>
              <w:spacing w:after="0"/>
              <w:rPr>
                <w:sz w:val="18"/>
                <w:szCs w:val="18"/>
                <w:color w:val="auto"/>
              </w:rPr>
            </w:pPr>
          </w:p>
        </w:tc>
        <w:tc>
          <w:tcPr>
            <w:tcW w:w="340" w:type="dxa"/>
            <w:vAlign w:val="bottom"/>
            <w:gridSpan w:val="4"/>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75,924</w:t>
            </w:r>
          </w:p>
        </w:tc>
      </w:tr>
      <w:tr>
        <w:trPr>
          <w:trHeight w:val="210"/>
        </w:trPr>
        <w:tc>
          <w:tcPr>
            <w:tcW w:w="3680" w:type="dxa"/>
            <w:vAlign w:val="bottom"/>
            <w:tcBorders>
              <w:top w:val="single" w:sz="8" w:color="CCEEFF"/>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00" w:type="dxa"/>
            <w:vAlign w:val="bottom"/>
            <w:tcBorders>
              <w:top w:val="single" w:sz="8" w:color="auto"/>
              <w:bottom w:val="single" w:sz="8" w:color="auto"/>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77,532</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58,908</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40" w:type="dxa"/>
            <w:vAlign w:val="bottom"/>
            <w:tcBorders>
              <w:top w:val="single" w:sz="8" w:color="CCEEFF"/>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255,836</w:t>
            </w:r>
          </w:p>
        </w:tc>
      </w:tr>
      <w:tr>
        <w:trPr>
          <w:trHeight w:val="250"/>
        </w:trPr>
        <w:tc>
          <w:tcPr>
            <w:tcW w:w="36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8"/>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142"/>
        </w:trPr>
        <w:tc>
          <w:tcPr>
            <w:tcW w:w="3680" w:type="dxa"/>
            <w:vAlign w:val="bottom"/>
            <w:tcBorders>
              <w:left w:val="single" w:sz="8" w:color="auto"/>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8"/>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Year to Date 2024</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r>
      <w:tr>
        <w:trPr>
          <w:trHeight w:val="162"/>
        </w:trPr>
        <w:tc>
          <w:tcPr>
            <w:tcW w:w="3680" w:type="dxa"/>
            <w:vAlign w:val="bottom"/>
            <w:tcBorders>
              <w:lef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right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3680" w:type="dxa"/>
            <w:vAlign w:val="bottom"/>
            <w:tcBorders>
              <w:top w:val="single" w:sz="8" w:color="auto"/>
              <w:left w:val="single" w:sz="8" w:color="auto"/>
              <w:right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80" w:type="dxa"/>
            <w:vAlign w:val="bottom"/>
            <w:tcBorders>
              <w:top w:val="single" w:sz="8" w:color="auto"/>
              <w:right w:val="single" w:sz="8" w:color="auto"/>
            </w:tcBorders>
            <w:shd w:val="clear" w:color="auto" w:fill="CCEEFF"/>
          </w:tcPr>
          <w:p>
            <w:pPr>
              <w:spacing w:after="0"/>
              <w:rPr>
                <w:sz w:val="16"/>
                <w:szCs w:val="16"/>
                <w:color w:val="auto"/>
              </w:rPr>
            </w:pPr>
          </w:p>
        </w:tc>
        <w:tc>
          <w:tcPr>
            <w:tcW w:w="900" w:type="dxa"/>
            <w:vAlign w:val="bottom"/>
            <w:tcBorders>
              <w:top w:val="single" w:sz="8" w:color="auto"/>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$ 2,073,403</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1,261,248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1,627,068</w:t>
            </w:r>
          </w:p>
        </w:tc>
        <w:tc>
          <w:tcPr>
            <w:tcW w:w="12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224,219</w:t>
            </w: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4,370</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5,190,308</w:t>
            </w:r>
          </w:p>
        </w:tc>
      </w:tr>
      <w:tr>
        <w:trPr>
          <w:trHeight w:val="216"/>
        </w:trPr>
        <w:tc>
          <w:tcPr>
            <w:tcW w:w="3680" w:type="dxa"/>
            <w:vAlign w:val="bottom"/>
            <w:tcBorders>
              <w:left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8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1,752,464</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1,020,877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1,275,520</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171,916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4,203,075</w:t>
            </w:r>
          </w:p>
        </w:tc>
      </w:tr>
      <w:tr>
        <w:trPr>
          <w:trHeight w:val="209"/>
        </w:trPr>
        <w:tc>
          <w:tcPr>
            <w:tcW w:w="3680" w:type="dxa"/>
            <w:vAlign w:val="bottom"/>
            <w:tcBorders>
              <w:left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320,939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351,548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987,233</w:t>
            </w:r>
          </w:p>
        </w:tc>
      </w:tr>
      <w:tr>
        <w:trPr>
          <w:trHeight w:val="194"/>
        </w:trPr>
        <w:tc>
          <w:tcPr>
            <w:tcW w:w="3680" w:type="dxa"/>
            <w:vAlign w:val="bottom"/>
            <w:tcBorders>
              <w:lef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SELLING, GENERAL AND</w:t>
            </w:r>
          </w:p>
        </w:tc>
        <w:tc>
          <w:tcPr>
            <w:tcW w:w="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38"/>
        </w:trPr>
        <w:tc>
          <w:tcPr>
            <w:tcW w:w="36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ADMINISTRATIVE EXPENSES</w:t>
            </w:r>
          </w:p>
        </w:tc>
        <w:tc>
          <w:tcPr>
            <w:tcW w:w="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175,014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156,289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211,503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41,663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578,555</w:t>
            </w:r>
          </w:p>
        </w:tc>
      </w:tr>
      <w:tr>
        <w:trPr>
          <w:trHeight w:val="194"/>
        </w:trPr>
        <w:tc>
          <w:tcPr>
            <w:tcW w:w="3680" w:type="dxa"/>
            <w:vAlign w:val="bottom"/>
            <w:tcBorders>
              <w:left w:val="single" w:sz="8" w:color="auto"/>
              <w:right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LOSS (GAIN) ON DISPOSITION AND</w:t>
            </w:r>
          </w:p>
        </w:tc>
        <w:tc>
          <w:tcPr>
            <w:tcW w:w="8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r>
      <w:tr>
        <w:trPr>
          <w:trHeight w:val="238"/>
        </w:trPr>
        <w:tc>
          <w:tcPr>
            <w:tcW w:w="3680" w:type="dxa"/>
            <w:vAlign w:val="bottom"/>
            <w:tcBorders>
              <w:left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 OF ASSETS</w:t>
            </w:r>
          </w:p>
        </w:tc>
        <w:tc>
          <w:tcPr>
            <w:tcW w:w="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16"/>
        </w:trPr>
        <w:tc>
          <w:tcPr>
            <w:tcW w:w="3680" w:type="dxa"/>
            <w:vAlign w:val="bottom"/>
            <w:tcBorders>
              <w:left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(GAINS) LOSSES, NET</w:t>
            </w:r>
          </w:p>
        </w:tc>
        <w:tc>
          <w:tcPr>
            <w:tcW w:w="8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w:t>
            </w:r>
          </w:p>
        </w:tc>
      </w:tr>
      <w:tr>
        <w:trPr>
          <w:trHeight w:val="210"/>
        </w:trPr>
        <w:tc>
          <w:tcPr>
            <w:tcW w:w="3680" w:type="dxa"/>
            <w:vAlign w:val="bottom"/>
            <w:tcBorders>
              <w:left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OPERATIONS</w:t>
            </w:r>
          </w:p>
        </w:tc>
        <w:tc>
          <w:tcPr>
            <w:tcW w:w="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147,575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412,783</w:t>
            </w:r>
          </w:p>
        </w:tc>
      </w:tr>
      <w:tr>
        <w:trPr>
          <w:trHeight w:val="216"/>
        </w:trPr>
        <w:tc>
          <w:tcPr>
            <w:tcW w:w="3680" w:type="dxa"/>
            <w:vAlign w:val="bottom"/>
            <w:tcBorders>
              <w:left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AND OTHER</w:t>
            </w:r>
          </w:p>
        </w:tc>
        <w:tc>
          <w:tcPr>
            <w:tcW w:w="8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(36,353)</w:t>
            </w:r>
          </w:p>
        </w:tc>
      </w:tr>
      <w:tr>
        <w:trPr>
          <w:trHeight w:val="210"/>
        </w:trPr>
        <w:tc>
          <w:tcPr>
            <w:tcW w:w="3680" w:type="dxa"/>
            <w:vAlign w:val="bottom"/>
            <w:tcBorders>
              <w:left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147,961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139,778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449,136</w:t>
            </w:r>
          </w:p>
        </w:tc>
      </w:tr>
      <w:tr>
        <w:trPr>
          <w:trHeight w:val="216"/>
        </w:trPr>
        <w:tc>
          <w:tcPr>
            <w:tcW w:w="3680" w:type="dxa"/>
            <w:vAlign w:val="bottom"/>
            <w:tcBorders>
              <w:left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8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33,193</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31,194</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100,186</w:t>
            </w:r>
          </w:p>
        </w:tc>
      </w:tr>
      <w:tr>
        <w:trPr>
          <w:trHeight w:val="210"/>
        </w:trPr>
        <w:tc>
          <w:tcPr>
            <w:tcW w:w="3680" w:type="dxa"/>
            <w:vAlign w:val="bottom"/>
            <w:tcBorders>
              <w:left w:val="single" w:sz="8" w:color="auto"/>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8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114,768</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63,472</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108,584</w:t>
            </w:r>
          </w:p>
        </w:tc>
        <w:tc>
          <w:tcPr>
            <w:tcW w:w="120" w:type="dxa"/>
            <w:vAlign w:val="bottom"/>
            <w:tcBorders>
              <w:bottom w:val="single" w:sz="8" w:color="auto"/>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348,950</w:t>
            </w:r>
          </w:p>
        </w:tc>
      </w:tr>
    </w:tbl>
    <w:p>
      <w:pPr>
        <w:spacing w:after="0" w:line="99"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11" w:name="page12"/>
    <w:bookmarkEnd w:id="11"/>
    <w:p>
      <w:pPr>
        <w:ind w:left="8920"/>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131"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RECONCILIATION OF NET EARNINGS TO ADJUSTED EBITDA BY SEGMENT (UNAUDITED) FOR THE THREE MONTHS ENDED SEPTEMBER 2025/2024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Borders>
              <w:right w:val="single" w:sz="8" w:color="auto"/>
            </w:tcBorders>
          </w:tcPr>
          <w:p>
            <w:pPr>
              <w:spacing w:after="0"/>
              <w:rPr>
                <w:sz w:val="14"/>
                <w:szCs w:val="14"/>
                <w:color w:val="auto"/>
              </w:rPr>
            </w:pPr>
          </w:p>
        </w:tc>
        <w:tc>
          <w:tcPr>
            <w:tcW w:w="3720" w:type="dxa"/>
            <w:vAlign w:val="bottom"/>
            <w:tcBorders>
              <w:top w:val="single" w:sz="8" w:color="auto"/>
              <w:bottom w:val="single" w:sz="8" w:color="auto"/>
              <w:right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Quarter Period 2025</w:t>
            </w:r>
          </w:p>
        </w:tc>
        <w:tc>
          <w:tcPr>
            <w:tcW w:w="1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right w:val="single" w:sz="8" w:color="auto"/>
            </w:tcBorders>
          </w:tcPr>
          <w:p>
            <w:pPr>
              <w:spacing w:after="0"/>
              <w:rPr>
                <w:sz w:val="14"/>
                <w:szCs w:val="14"/>
                <w:color w:val="auto"/>
              </w:rPr>
            </w:pPr>
          </w:p>
        </w:tc>
      </w:tr>
      <w:tr>
        <w:trPr>
          <w:trHeight w:val="142"/>
        </w:trPr>
        <w:tc>
          <w:tcPr>
            <w:tcW w:w="40" w:type="dxa"/>
            <w:vAlign w:val="bottom"/>
            <w:tcBorders>
              <w:right w:val="single" w:sz="8" w:color="auto"/>
            </w:tcBorders>
          </w:tcPr>
          <w:p>
            <w:pPr>
              <w:spacing w:after="0"/>
              <w:rPr>
                <w:sz w:val="12"/>
                <w:szCs w:val="12"/>
                <w:color w:val="auto"/>
              </w:rPr>
            </w:pPr>
          </w:p>
        </w:tc>
        <w:tc>
          <w:tcPr>
            <w:tcW w:w="372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75,542</w:t>
            </w: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INTEREST AND OTHER</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(9,663)</w:t>
            </w: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23,592</w:t>
            </w:r>
          </w:p>
        </w:tc>
      </w:tr>
      <w:tr>
        <w:trPr>
          <w:trHeight w:val="198"/>
        </w:trPr>
        <w:tc>
          <w:tcPr>
            <w:tcW w:w="4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EXPENSES ASSOCIATED WITH SHARE-</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BASED COMPENSATION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ARRANGEMENTS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w:t>
            </w:r>
          </w:p>
        </w:tc>
      </w:tr>
      <w:tr>
        <w:trPr>
          <w:trHeight w:val="198"/>
        </w:trPr>
        <w:tc>
          <w:tcPr>
            <w:tcW w:w="4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IMPAIRMENT OF ASSETS</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IMPAIRMENT OF INTANGIBLES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34,633</w:t>
            </w: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bottom w:val="single" w:sz="8" w:color="CCEEFF"/>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5,921</w:t>
            </w:r>
          </w:p>
        </w:tc>
      </w:tr>
      <w:tr>
        <w:trPr>
          <w:trHeight w:val="209"/>
        </w:trPr>
        <w:tc>
          <w:tcPr>
            <w:tcW w:w="40" w:type="dxa"/>
            <w:vAlign w:val="bottom"/>
            <w:tcBorders>
              <w:right w:val="single" w:sz="8" w:color="auto"/>
            </w:tcBorders>
          </w:tcPr>
          <w:p>
            <w:pPr>
              <w:spacing w:after="0"/>
              <w:rPr>
                <w:sz w:val="18"/>
                <w:szCs w:val="18"/>
                <w:color w:val="auto"/>
              </w:rPr>
            </w:pPr>
          </w:p>
        </w:tc>
        <w:tc>
          <w:tcPr>
            <w:tcW w:w="372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39,985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34,284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41,878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17,171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140,019</w:t>
            </w: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37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3720" w:type="dxa"/>
            <w:vAlign w:val="bottom"/>
            <w:tcBorders>
              <w:right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 AS A PERCENTAGE OF</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r>
      <w:tr>
        <w:trPr>
          <w:trHeight w:val="238"/>
        </w:trPr>
        <w:tc>
          <w:tcPr>
            <w:tcW w:w="4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122"/>
        </w:trPr>
        <w:tc>
          <w:tcPr>
            <w:tcW w:w="40" w:type="dxa"/>
            <w:vAlign w:val="bottom"/>
            <w:tcBorders>
              <w:right w:val="single" w:sz="8" w:color="auto"/>
            </w:tcBorders>
          </w:tcPr>
          <w:p>
            <w:pPr>
              <w:spacing w:after="0"/>
              <w:rPr>
                <w:sz w:val="10"/>
                <w:szCs w:val="10"/>
                <w:color w:val="auto"/>
              </w:rPr>
            </w:pPr>
          </w:p>
        </w:tc>
        <w:tc>
          <w:tcPr>
            <w:tcW w:w="37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3720" w:type="dxa"/>
            <w:vAlign w:val="bottom"/>
            <w:tcBorders>
              <w:right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 AS A PERCENTAGE</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r>
      <w:tr>
        <w:trPr>
          <w:trHeight w:val="238"/>
        </w:trPr>
        <w:tc>
          <w:tcPr>
            <w:tcW w:w="40" w:type="dxa"/>
            <w:vAlign w:val="bottom"/>
            <w:tcBorders>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 NET SALES</w:t>
            </w: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182"/>
        </w:trPr>
        <w:tc>
          <w:tcPr>
            <w:tcW w:w="4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 Not meaningful</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3"/>
        </w:trPr>
        <w:tc>
          <w:tcPr>
            <w:tcW w:w="40" w:type="dxa"/>
            <w:vAlign w:val="bottom"/>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42"/>
        </w:trPr>
        <w:tc>
          <w:tcPr>
            <w:tcW w:w="40" w:type="dxa"/>
            <w:vAlign w:val="bottom"/>
            <w:tcBorders>
              <w:right w:val="single" w:sz="8" w:color="auto"/>
            </w:tcBorders>
          </w:tcPr>
          <w:p>
            <w:pPr>
              <w:spacing w:after="0"/>
              <w:rPr>
                <w:sz w:val="12"/>
                <w:szCs w:val="12"/>
                <w:color w:val="auto"/>
              </w:rPr>
            </w:pPr>
          </w:p>
        </w:tc>
        <w:tc>
          <w:tcPr>
            <w:tcW w:w="37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4"/>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Quarter Period 2024</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67"/>
        </w:trPr>
        <w:tc>
          <w:tcPr>
            <w:tcW w:w="40" w:type="dxa"/>
            <w:vAlign w:val="bottom"/>
            <w:tcBorders>
              <w:right w:val="single" w:sz="8" w:color="auto"/>
            </w:tcBorders>
          </w:tcPr>
          <w:p>
            <w:pPr>
              <w:spacing w:after="0"/>
              <w:rPr>
                <w:sz w:val="14"/>
                <w:szCs w:val="14"/>
                <w:color w:val="auto"/>
              </w:rPr>
            </w:pPr>
          </w:p>
        </w:tc>
        <w:tc>
          <w:tcPr>
            <w:tcW w:w="372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40" w:type="dxa"/>
            <w:vAlign w:val="bottom"/>
            <w:tcBorders>
              <w:right w:val="single" w:sz="8" w:color="auto"/>
            </w:tcBorders>
          </w:tcPr>
          <w:p>
            <w:pPr>
              <w:spacing w:after="0"/>
              <w:rPr>
                <w:sz w:val="16"/>
                <w:szCs w:val="16"/>
                <w:color w:val="auto"/>
              </w:rPr>
            </w:pPr>
          </w:p>
        </w:tc>
        <w:tc>
          <w:tcPr>
            <w:tcW w:w="3720" w:type="dxa"/>
            <w:vAlign w:val="bottom"/>
            <w:tcBorders>
              <w:top w:val="single" w:sz="8" w:color="CCEEFF"/>
              <w:right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NET EARNINGS</w:t>
            </w:r>
          </w:p>
        </w:tc>
        <w:tc>
          <w:tcPr>
            <w:tcW w:w="18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31,769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16,507</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32,127</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4,986</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16,230</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101,619</w:t>
            </w: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INTEREST AND OTHER</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w:t>
            </w: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32,491</w:t>
            </w:r>
          </w:p>
        </w:tc>
      </w:tr>
      <w:tr>
        <w:trPr>
          <w:trHeight w:val="198"/>
        </w:trPr>
        <w:tc>
          <w:tcPr>
            <w:tcW w:w="4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EXPENSES ASSOCIATED WITH SHARE-</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BASED COMPENSATION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ARRANGEMENTS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8,069</w:t>
            </w:r>
          </w:p>
        </w:tc>
      </w:tr>
      <w:tr>
        <w:trPr>
          <w:trHeight w:val="198"/>
        </w:trPr>
        <w:tc>
          <w:tcPr>
            <w:tcW w:w="4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NET (GAIN) LOSS ON DISPOSITION AND</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IMPAIRMENT OF ASSETS</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198"/>
        </w:trPr>
        <w:tc>
          <w:tcPr>
            <w:tcW w:w="4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GAIN FROM REDUCTION OF ESTIMATED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EARNOUT LIABILITY</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31,487</w:t>
            </w: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bottom w:val="single" w:sz="8" w:color="CCEEFF"/>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5,886</w:t>
            </w:r>
          </w:p>
        </w:tc>
      </w:tr>
      <w:tr>
        <w:trPr>
          <w:trHeight w:val="210"/>
        </w:trPr>
        <w:tc>
          <w:tcPr>
            <w:tcW w:w="40" w:type="dxa"/>
            <w:vAlign w:val="bottom"/>
            <w:tcBorders>
              <w:right w:val="single" w:sz="8" w:color="auto"/>
            </w:tcBorders>
          </w:tcPr>
          <w:p>
            <w:pPr>
              <w:spacing w:after="0"/>
              <w:rPr>
                <w:sz w:val="18"/>
                <w:szCs w:val="18"/>
                <w:color w:val="auto"/>
              </w:rPr>
            </w:pPr>
          </w:p>
        </w:tc>
        <w:tc>
          <w:tcPr>
            <w:tcW w:w="372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51,155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34,348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50,888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23,473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164,915</w:t>
            </w: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37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3720" w:type="dxa"/>
            <w:vAlign w:val="bottom"/>
            <w:tcBorders>
              <w:right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 AS A PERCENTAGE OF</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r>
      <w:tr>
        <w:trPr>
          <w:trHeight w:val="238"/>
        </w:trPr>
        <w:tc>
          <w:tcPr>
            <w:tcW w:w="4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122"/>
        </w:trPr>
        <w:tc>
          <w:tcPr>
            <w:tcW w:w="40" w:type="dxa"/>
            <w:vAlign w:val="bottom"/>
            <w:tcBorders>
              <w:right w:val="single" w:sz="8" w:color="auto"/>
            </w:tcBorders>
          </w:tcPr>
          <w:p>
            <w:pPr>
              <w:spacing w:after="0"/>
              <w:rPr>
                <w:sz w:val="10"/>
                <w:szCs w:val="10"/>
                <w:color w:val="auto"/>
              </w:rPr>
            </w:pPr>
          </w:p>
        </w:tc>
        <w:tc>
          <w:tcPr>
            <w:tcW w:w="37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3720" w:type="dxa"/>
            <w:vAlign w:val="bottom"/>
            <w:tcBorders>
              <w:right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 AS A PERCENTAGE</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r>
      <w:tr>
        <w:trPr>
          <w:trHeight w:val="238"/>
        </w:trPr>
        <w:tc>
          <w:tcPr>
            <w:tcW w:w="40" w:type="dxa"/>
            <w:vAlign w:val="bottom"/>
            <w:tcBorders>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 NET SALES</w:t>
            </w: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rPr>
          <w:sz w:val="20"/>
          <w:szCs w:val="20"/>
          <w:color w:val="auto"/>
        </w:rPr>
      </w:pPr>
      <w:r>
        <w:rPr>
          <w:rFonts w:ascii="Times New Roman" w:cs="Times New Roman" w:eastAsia="Times New Roman" w:hAnsi="Times New Roman"/>
          <w:sz w:val="14"/>
          <w:szCs w:val="14"/>
          <w:color w:val="auto"/>
        </w:rPr>
        <w:t>* Not meaningful</w:t>
      </w:r>
    </w:p>
    <w:p>
      <w:pPr>
        <w:spacing w:after="0" w:line="200" w:lineRule="exact"/>
        <w:rPr>
          <w:sz w:val="20"/>
          <w:szCs w:val="20"/>
          <w:color w:val="auto"/>
        </w:rPr>
      </w:pPr>
    </w:p>
    <w:p>
      <w:pPr>
        <w:spacing w:after="0" w:line="211"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b w:val="1"/>
          <w:b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12" w:name="page13"/>
    <w:bookmarkEnd w:id="12"/>
    <w:p>
      <w:pPr>
        <w:ind w:left="8920"/>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NET EARNINGS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ADJUSTED EBITDA BY SEGMENT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2025/2024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Borders>
              <w:right w:val="single" w:sz="8" w:color="auto"/>
            </w:tcBorders>
          </w:tcPr>
          <w:p>
            <w:pPr>
              <w:spacing w:after="0"/>
              <w:rPr>
                <w:sz w:val="14"/>
                <w:szCs w:val="14"/>
                <w:color w:val="auto"/>
              </w:rPr>
            </w:pPr>
          </w:p>
        </w:tc>
        <w:tc>
          <w:tcPr>
            <w:tcW w:w="3720" w:type="dxa"/>
            <w:vAlign w:val="bottom"/>
            <w:tcBorders>
              <w:top w:val="single" w:sz="8" w:color="auto"/>
              <w:bottom w:val="single" w:sz="8" w:color="auto"/>
              <w:right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780" w:type="dxa"/>
            <w:vAlign w:val="bottom"/>
            <w:tcBorders>
              <w:top w:val="single" w:sz="8" w:color="auto"/>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Year to Date 2025</w:t>
            </w:r>
          </w:p>
        </w:tc>
        <w:tc>
          <w:tcPr>
            <w:tcW w:w="1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right w:val="single" w:sz="8" w:color="auto"/>
            </w:tcBorders>
          </w:tcPr>
          <w:p>
            <w:pPr>
              <w:spacing w:after="0"/>
              <w:rPr>
                <w:sz w:val="14"/>
                <w:szCs w:val="14"/>
                <w:color w:val="auto"/>
              </w:rPr>
            </w:pPr>
          </w:p>
        </w:tc>
      </w:tr>
      <w:tr>
        <w:trPr>
          <w:trHeight w:val="142"/>
        </w:trPr>
        <w:tc>
          <w:tcPr>
            <w:tcW w:w="40" w:type="dxa"/>
            <w:vAlign w:val="bottom"/>
            <w:tcBorders>
              <w:right w:val="single" w:sz="8" w:color="auto"/>
            </w:tcBorders>
          </w:tcPr>
          <w:p>
            <w:pPr>
              <w:spacing w:after="0"/>
              <w:rPr>
                <w:sz w:val="12"/>
                <w:szCs w:val="12"/>
                <w:color w:val="auto"/>
              </w:rPr>
            </w:pPr>
          </w:p>
        </w:tc>
        <w:tc>
          <w:tcPr>
            <w:tcW w:w="372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255,836</w:t>
            </w: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INTEREST AND OTHER</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(26,946)</w:t>
            </w: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75,924</w:t>
            </w:r>
          </w:p>
        </w:tc>
      </w:tr>
      <w:tr>
        <w:trPr>
          <w:trHeight w:val="198"/>
        </w:trPr>
        <w:tc>
          <w:tcPr>
            <w:tcW w:w="4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EXPENSES ASSOCIATED WITH SHARE-</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BASED COMPENSATION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ARRANGEMENTS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27,906</w:t>
            </w:r>
          </w:p>
        </w:tc>
      </w:tr>
      <w:tr>
        <w:trPr>
          <w:trHeight w:val="198"/>
        </w:trPr>
        <w:tc>
          <w:tcPr>
            <w:tcW w:w="4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IMPAIRMENT OF ASSETS</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IMPAIRMENT OF INTANGIBLES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198"/>
        </w:trPr>
        <w:tc>
          <w:tcPr>
            <w:tcW w:w="4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GAIN FROM REDUCTION OF ESTIMATED</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EARNOUT LIABILITY</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101,574</w:t>
            </w: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17,666</w:t>
            </w:r>
          </w:p>
        </w:tc>
      </w:tr>
      <w:tr>
        <w:trPr>
          <w:trHeight w:val="250"/>
        </w:trPr>
        <w:tc>
          <w:tcPr>
            <w:tcW w:w="40" w:type="dxa"/>
            <w:vAlign w:val="bottom"/>
            <w:tcBorders>
              <w:right w:val="single" w:sz="8" w:color="auto"/>
            </w:tcBorders>
          </w:tcPr>
          <w:p>
            <w:pPr>
              <w:spacing w:after="0"/>
              <w:rPr>
                <w:sz w:val="21"/>
                <w:szCs w:val="21"/>
                <w:color w:val="auto"/>
              </w:rPr>
            </w:pPr>
          </w:p>
        </w:tc>
        <w:tc>
          <w:tcPr>
            <w:tcW w:w="3720" w:type="dxa"/>
            <w:vAlign w:val="bottom"/>
            <w:tcBorders>
              <w:bottom w:val="single" w:sz="8" w:color="CCEEFF"/>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139,812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108,125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124,668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17,225</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66,487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456,317</w:t>
            </w:r>
          </w:p>
        </w:tc>
      </w:tr>
      <w:tr>
        <w:trPr>
          <w:trHeight w:val="102"/>
        </w:trPr>
        <w:tc>
          <w:tcPr>
            <w:tcW w:w="40" w:type="dxa"/>
            <w:vAlign w:val="bottom"/>
            <w:tcBorders>
              <w:right w:val="single" w:sz="8" w:color="auto"/>
            </w:tcBorders>
          </w:tcPr>
          <w:p>
            <w:pPr>
              <w:spacing w:after="0"/>
              <w:rPr>
                <w:sz w:val="8"/>
                <w:szCs w:val="8"/>
                <w:color w:val="auto"/>
              </w:rPr>
            </w:pPr>
          </w:p>
        </w:tc>
        <w:tc>
          <w:tcPr>
            <w:tcW w:w="3720" w:type="dxa"/>
            <w:vAlign w:val="bottom"/>
            <w:tcBorders>
              <w:right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tcBorders>
              <w:right w:val="single" w:sz="8" w:color="auto"/>
            </w:tcBorders>
            <w:shd w:val="clear" w:color="auto" w:fill="CCEEFF"/>
          </w:tcPr>
          <w:p>
            <w:pPr>
              <w:spacing w:after="0"/>
              <w:rPr>
                <w:sz w:val="8"/>
                <w:szCs w:val="8"/>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372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 AS A PERCENTAGE OF</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r>
      <w:tr>
        <w:trPr>
          <w:trHeight w:val="238"/>
        </w:trPr>
        <w:tc>
          <w:tcPr>
            <w:tcW w:w="4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122"/>
        </w:trPr>
        <w:tc>
          <w:tcPr>
            <w:tcW w:w="40" w:type="dxa"/>
            <w:vAlign w:val="bottom"/>
            <w:tcBorders>
              <w:right w:val="single" w:sz="8" w:color="auto"/>
            </w:tcBorders>
          </w:tcPr>
          <w:p>
            <w:pPr>
              <w:spacing w:after="0"/>
              <w:rPr>
                <w:sz w:val="10"/>
                <w:szCs w:val="10"/>
                <w:color w:val="auto"/>
              </w:rPr>
            </w:pPr>
          </w:p>
        </w:tc>
        <w:tc>
          <w:tcPr>
            <w:tcW w:w="3720" w:type="dxa"/>
            <w:vAlign w:val="bottom"/>
            <w:tcBorders>
              <w:right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372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 AS A PERCENTAGE</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r>
      <w:tr>
        <w:trPr>
          <w:trHeight w:val="238"/>
        </w:trPr>
        <w:tc>
          <w:tcPr>
            <w:tcW w:w="40" w:type="dxa"/>
            <w:vAlign w:val="bottom"/>
            <w:tcBorders>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OF NET SALES</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182"/>
        </w:trPr>
        <w:tc>
          <w:tcPr>
            <w:tcW w:w="4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 Not meaningful</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3"/>
        </w:trPr>
        <w:tc>
          <w:tcPr>
            <w:tcW w:w="40" w:type="dxa"/>
            <w:vAlign w:val="bottom"/>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42"/>
        </w:trPr>
        <w:tc>
          <w:tcPr>
            <w:tcW w:w="40" w:type="dxa"/>
            <w:vAlign w:val="bottom"/>
            <w:tcBorders>
              <w:right w:val="single" w:sz="8" w:color="auto"/>
            </w:tcBorders>
          </w:tcPr>
          <w:p>
            <w:pPr>
              <w:spacing w:after="0"/>
              <w:rPr>
                <w:sz w:val="12"/>
                <w:szCs w:val="12"/>
                <w:color w:val="auto"/>
              </w:rPr>
            </w:pPr>
          </w:p>
        </w:tc>
        <w:tc>
          <w:tcPr>
            <w:tcW w:w="37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Year to Date 2024</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67"/>
        </w:trPr>
        <w:tc>
          <w:tcPr>
            <w:tcW w:w="40" w:type="dxa"/>
            <w:vAlign w:val="bottom"/>
            <w:tcBorders>
              <w:right w:val="single" w:sz="8" w:color="auto"/>
            </w:tcBorders>
          </w:tcPr>
          <w:p>
            <w:pPr>
              <w:spacing w:after="0"/>
              <w:rPr>
                <w:sz w:val="14"/>
                <w:szCs w:val="14"/>
                <w:color w:val="auto"/>
              </w:rPr>
            </w:pPr>
          </w:p>
        </w:tc>
        <w:tc>
          <w:tcPr>
            <w:tcW w:w="372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40" w:type="dxa"/>
            <w:vAlign w:val="bottom"/>
            <w:tcBorders>
              <w:right w:val="single" w:sz="8" w:color="auto"/>
            </w:tcBorders>
          </w:tcPr>
          <w:p>
            <w:pPr>
              <w:spacing w:after="0"/>
              <w:rPr>
                <w:sz w:val="16"/>
                <w:szCs w:val="16"/>
                <w:color w:val="auto"/>
              </w:rPr>
            </w:pPr>
          </w:p>
        </w:tc>
        <w:tc>
          <w:tcPr>
            <w:tcW w:w="3720" w:type="dxa"/>
            <w:vAlign w:val="bottom"/>
            <w:tcBorders>
              <w:top w:val="single" w:sz="8" w:color="CCEEFF"/>
              <w:right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NET EARNINGS</w:t>
            </w:r>
          </w:p>
        </w:tc>
        <w:tc>
          <w:tcPr>
            <w:tcW w:w="18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114,768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63,472</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108,584</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17,670</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44,456</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348,950</w:t>
            </w: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INTEREST AND OTHER</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(36,353)</w:t>
            </w: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100,186</w:t>
            </w:r>
          </w:p>
        </w:tc>
      </w:tr>
      <w:tr>
        <w:trPr>
          <w:trHeight w:val="198"/>
        </w:trPr>
        <w:tc>
          <w:tcPr>
            <w:tcW w:w="4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EXPENSES ASSOCIATED WITH SHARE-</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BASED COMPENSATION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ARRANGEMENTS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27,345</w:t>
            </w:r>
          </w:p>
        </w:tc>
      </w:tr>
      <w:tr>
        <w:trPr>
          <w:trHeight w:val="198"/>
        </w:trPr>
        <w:tc>
          <w:tcPr>
            <w:tcW w:w="4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IMPAIRMENT OF ASSETS</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198"/>
        </w:trPr>
        <w:tc>
          <w:tcPr>
            <w:tcW w:w="4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GAIN FROM REDUCTION OF ESTIMATED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EARNOUT LIABILITY</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92,130</w:t>
            </w:r>
          </w:p>
        </w:tc>
      </w:tr>
      <w:tr>
        <w:trPr>
          <w:trHeight w:val="216"/>
        </w:trPr>
        <w:tc>
          <w:tcPr>
            <w:tcW w:w="40" w:type="dxa"/>
            <w:vAlign w:val="bottom"/>
            <w:tcBorders>
              <w:right w:val="single" w:sz="8" w:color="auto"/>
            </w:tcBorders>
          </w:tcPr>
          <w:p>
            <w:pPr>
              <w:spacing w:after="0"/>
              <w:rPr>
                <w:sz w:val="18"/>
                <w:szCs w:val="18"/>
                <w:color w:val="auto"/>
              </w:rPr>
            </w:pPr>
          </w:p>
        </w:tc>
        <w:tc>
          <w:tcPr>
            <w:tcW w:w="3720" w:type="dxa"/>
            <w:vAlign w:val="bottom"/>
            <w:tcBorders>
              <w:bottom w:val="single" w:sz="8" w:color="CCEEFF"/>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17,621</w:t>
            </w:r>
          </w:p>
        </w:tc>
      </w:tr>
      <w:tr>
        <w:trPr>
          <w:trHeight w:val="210"/>
        </w:trPr>
        <w:tc>
          <w:tcPr>
            <w:tcW w:w="40" w:type="dxa"/>
            <w:vAlign w:val="bottom"/>
            <w:tcBorders>
              <w:right w:val="single" w:sz="8" w:color="auto"/>
            </w:tcBorders>
          </w:tcPr>
          <w:p>
            <w:pPr>
              <w:spacing w:after="0"/>
              <w:rPr>
                <w:sz w:val="18"/>
                <w:szCs w:val="18"/>
                <w:color w:val="auto"/>
              </w:rPr>
            </w:pPr>
          </w:p>
        </w:tc>
        <w:tc>
          <w:tcPr>
            <w:tcW w:w="372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176,701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121,620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163,395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21,557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66,289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549,562</w:t>
            </w: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37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3720" w:type="dxa"/>
            <w:vAlign w:val="bottom"/>
            <w:tcBorders>
              <w:right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 AS A PERCENTAGE OF</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r>
      <w:tr>
        <w:trPr>
          <w:trHeight w:val="238"/>
        </w:trPr>
        <w:tc>
          <w:tcPr>
            <w:tcW w:w="4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122"/>
        </w:trPr>
        <w:tc>
          <w:tcPr>
            <w:tcW w:w="40" w:type="dxa"/>
            <w:vAlign w:val="bottom"/>
            <w:tcBorders>
              <w:right w:val="single" w:sz="8" w:color="auto"/>
            </w:tcBorders>
          </w:tcPr>
          <w:p>
            <w:pPr>
              <w:spacing w:after="0"/>
              <w:rPr>
                <w:sz w:val="10"/>
                <w:szCs w:val="10"/>
                <w:color w:val="auto"/>
              </w:rPr>
            </w:pPr>
          </w:p>
        </w:tc>
        <w:tc>
          <w:tcPr>
            <w:tcW w:w="37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3720" w:type="dxa"/>
            <w:vAlign w:val="bottom"/>
            <w:tcBorders>
              <w:right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 AS A PERCENTAGE</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r>
      <w:tr>
        <w:trPr>
          <w:trHeight w:val="238"/>
        </w:trPr>
        <w:tc>
          <w:tcPr>
            <w:tcW w:w="40" w:type="dxa"/>
            <w:vAlign w:val="bottom"/>
            <w:tcBorders>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 NET SALES</w:t>
            </w: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182"/>
        </w:trPr>
        <w:tc>
          <w:tcPr>
            <w:tcW w:w="4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 Not meaningful</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608"/>
        </w:trPr>
        <w:tc>
          <w:tcPr>
            <w:tcW w:w="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 9</w:t>
            </w:r>
          </w:p>
        </w:tc>
      </w:tr>
      <w:tr>
        <w:trPr>
          <w:trHeight w:val="560"/>
        </w:trPr>
        <w:tc>
          <w:tcPr>
            <w:tcW w:w="4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82" w:right="97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574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10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5740" w:type="dxa"/>
            <w:vAlign w:val="bottom"/>
            <w:gridSpan w:val="8"/>
            <w:vMerge w:val="continue"/>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40" w:type="dxa"/>
            <w:vAlign w:val="bottom"/>
            <w:gridSpan w:val="3"/>
          </w:tcPr>
          <w:p>
            <w:pPr>
              <w:jc w:val="center"/>
              <w:ind w:right="1659"/>
              <w:spacing w:after="0"/>
              <w:rPr>
                <w:sz w:val="20"/>
                <w:szCs w:val="20"/>
                <w:color w:val="auto"/>
              </w:rPr>
            </w:pPr>
            <w:r>
              <w:rPr>
                <w:rFonts w:ascii="Times New Roman" w:cs="Times New Roman" w:eastAsia="Times New Roman" w:hAnsi="Times New Roman"/>
                <w:sz w:val="18"/>
                <w:szCs w:val="18"/>
                <w:b w:val="1"/>
                <w:bCs w:val="1"/>
                <w:color w:val="auto"/>
                <w:w w:val="99"/>
              </w:rPr>
              <w:t>SEPTEMBER 2025/2024</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98"/>
        </w:trPr>
        <w:tc>
          <w:tcPr>
            <w:tcW w:w="21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5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140" w:type="dxa"/>
            <w:vAlign w:val="bottom"/>
            <w:tcBorders>
              <w:lef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1,008,632</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1,190,807</w:t>
            </w:r>
          </w:p>
        </w:tc>
        <w:tc>
          <w:tcPr>
            <w:tcW w:w="180" w:type="dxa"/>
            <w:vAlign w:val="bottom"/>
            <w:tcBorders>
              <w:right w:val="single" w:sz="8" w:color="auto"/>
            </w:tcBorders>
            <w:shd w:val="clear" w:color="auto" w:fill="CCEEFF"/>
          </w:tcPr>
          <w:p>
            <w:pPr>
              <w:spacing w:after="0"/>
              <w:rPr>
                <w:sz w:val="17"/>
                <w:szCs w:val="17"/>
                <w:color w:val="auto"/>
              </w:rPr>
            </w:pPr>
          </w:p>
        </w:tc>
        <w:tc>
          <w:tcPr>
            <w:tcW w:w="268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231,905</w:t>
            </w:r>
          </w:p>
        </w:tc>
        <w:tc>
          <w:tcPr>
            <w:tcW w:w="1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239,897</w:t>
            </w:r>
          </w:p>
        </w:tc>
        <w:tc>
          <w:tcPr>
            <w:tcW w:w="0" w:type="dxa"/>
            <w:vAlign w:val="bottom"/>
          </w:tcPr>
          <w:p>
            <w:pPr>
              <w:spacing w:after="0"/>
              <w:rPr>
                <w:sz w:val="1"/>
                <w:szCs w:val="1"/>
                <w:color w:val="auto"/>
              </w:rPr>
            </w:pPr>
          </w:p>
        </w:tc>
      </w:tr>
      <w:tr>
        <w:trPr>
          <w:trHeight w:val="203"/>
        </w:trPr>
        <w:tc>
          <w:tcPr>
            <w:tcW w:w="21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5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3,062</w:t>
            </w:r>
          </w:p>
        </w:tc>
        <w:tc>
          <w:tcPr>
            <w:tcW w:w="100" w:type="dxa"/>
            <w:vAlign w:val="bottom"/>
          </w:tcPr>
          <w:p>
            <w:pPr>
              <w:spacing w:after="0"/>
              <w:rPr>
                <w:sz w:val="17"/>
                <w:szCs w:val="17"/>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80" w:type="dxa"/>
            <w:vAlign w:val="bottom"/>
            <w:tcBorders>
              <w:right w:val="single" w:sz="8" w:color="auto"/>
            </w:tcBorders>
          </w:tcPr>
          <w:p>
            <w:pPr>
              <w:spacing w:after="0"/>
              <w:rPr>
                <w:sz w:val="17"/>
                <w:szCs w:val="17"/>
                <w:color w:val="auto"/>
              </w:rPr>
            </w:pPr>
          </w:p>
        </w:tc>
        <w:tc>
          <w:tcPr>
            <w:tcW w:w="26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180" w:type="dxa"/>
            <w:vAlign w:val="bottom"/>
          </w:tcPr>
          <w:p>
            <w:pPr>
              <w:spacing w:after="0"/>
              <w:rPr>
                <w:sz w:val="17"/>
                <w:szCs w:val="17"/>
                <w:color w:val="auto"/>
              </w:rPr>
            </w:pPr>
          </w:p>
        </w:tc>
        <w:tc>
          <w:tcPr>
            <w:tcW w:w="100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294,923</w:t>
            </w:r>
          </w:p>
        </w:tc>
        <w:tc>
          <w:tcPr>
            <w:tcW w:w="16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322,031</w:t>
            </w:r>
          </w:p>
        </w:tc>
        <w:tc>
          <w:tcPr>
            <w:tcW w:w="0" w:type="dxa"/>
            <w:vAlign w:val="bottom"/>
          </w:tcPr>
          <w:p>
            <w:pPr>
              <w:spacing w:after="0"/>
              <w:rPr>
                <w:sz w:val="1"/>
                <w:szCs w:val="1"/>
                <w:color w:val="auto"/>
              </w:rPr>
            </w:pPr>
          </w:p>
        </w:tc>
      </w:tr>
      <w:tr>
        <w:trPr>
          <w:trHeight w:val="203"/>
        </w:trPr>
        <w:tc>
          <w:tcPr>
            <w:tcW w:w="2140" w:type="dxa"/>
            <w:vAlign w:val="bottom"/>
            <w:tcBorders>
              <w:lef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Investments</w:t>
            </w:r>
          </w:p>
        </w:tc>
        <w:tc>
          <w:tcPr>
            <w:tcW w:w="5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33,926</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38,935</w:t>
            </w:r>
          </w:p>
        </w:tc>
        <w:tc>
          <w:tcPr>
            <w:tcW w:w="180" w:type="dxa"/>
            <w:vAlign w:val="bottom"/>
            <w:tcBorders>
              <w:right w:val="single" w:sz="8" w:color="auto"/>
            </w:tcBorders>
            <w:shd w:val="clear" w:color="auto" w:fill="CCEEFF"/>
          </w:tcPr>
          <w:p>
            <w:pPr>
              <w:spacing w:after="0"/>
              <w:rPr>
                <w:sz w:val="17"/>
                <w:szCs w:val="17"/>
                <w:color w:val="auto"/>
              </w:rPr>
            </w:pPr>
          </w:p>
        </w:tc>
        <w:tc>
          <w:tcPr>
            <w:tcW w:w="268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debt</w:t>
            </w: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5,386</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44,103</w:t>
            </w:r>
          </w:p>
        </w:tc>
        <w:tc>
          <w:tcPr>
            <w:tcW w:w="0" w:type="dxa"/>
            <w:vAlign w:val="bottom"/>
          </w:tcPr>
          <w:p>
            <w:pPr>
              <w:spacing w:after="0"/>
              <w:rPr>
                <w:sz w:val="1"/>
                <w:szCs w:val="1"/>
                <w:color w:val="auto"/>
              </w:rPr>
            </w:pPr>
          </w:p>
        </w:tc>
      </w:tr>
      <w:tr>
        <w:trPr>
          <w:trHeight w:val="193"/>
        </w:trPr>
        <w:tc>
          <w:tcPr>
            <w:tcW w:w="21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5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607,537</w:t>
            </w:r>
          </w:p>
        </w:tc>
        <w:tc>
          <w:tcPr>
            <w:tcW w:w="100" w:type="dxa"/>
            <w:vAlign w:val="bottom"/>
          </w:tcPr>
          <w:p>
            <w:pPr>
              <w:spacing w:after="0"/>
              <w:rPr>
                <w:sz w:val="16"/>
                <w:szCs w:val="16"/>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650,869</w:t>
            </w:r>
          </w:p>
        </w:tc>
        <w:tc>
          <w:tcPr>
            <w:tcW w:w="180" w:type="dxa"/>
            <w:vAlign w:val="bottom"/>
            <w:tcBorders>
              <w:right w:val="single" w:sz="8" w:color="auto"/>
            </w:tcBorders>
          </w:tcPr>
          <w:p>
            <w:pPr>
              <w:spacing w:after="0"/>
              <w:rPr>
                <w:sz w:val="16"/>
                <w:szCs w:val="16"/>
                <w:color w:val="auto"/>
              </w:rPr>
            </w:pPr>
          </w:p>
        </w:tc>
        <w:tc>
          <w:tcPr>
            <w:tcW w:w="26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40" w:type="dxa"/>
            <w:vAlign w:val="bottom"/>
            <w:tcBorders>
              <w:lef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5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667,418</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645,429</w:t>
            </w:r>
          </w:p>
        </w:tc>
        <w:tc>
          <w:tcPr>
            <w:tcW w:w="180" w:type="dxa"/>
            <w:vAlign w:val="bottom"/>
            <w:tcBorders>
              <w:right w:val="single" w:sz="8" w:color="auto"/>
            </w:tcBorders>
            <w:shd w:val="clear" w:color="auto" w:fill="CCEEFF"/>
          </w:tcPr>
          <w:p>
            <w:pPr>
              <w:spacing w:after="0"/>
              <w:rPr>
                <w:sz w:val="17"/>
                <w:szCs w:val="17"/>
                <w:color w:val="auto"/>
              </w:rPr>
            </w:pPr>
          </w:p>
        </w:tc>
        <w:tc>
          <w:tcPr>
            <w:tcW w:w="26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Borders>
              <w:left w:val="single" w:sz="8" w:color="auto"/>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56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66,509</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86,724</w:t>
            </w:r>
          </w:p>
        </w:tc>
        <w:tc>
          <w:tcPr>
            <w:tcW w:w="180" w:type="dxa"/>
            <w:vAlign w:val="bottom"/>
            <w:tcBorders>
              <w:bottom w:val="single" w:sz="8" w:color="CCEEFF"/>
              <w:right w:val="single" w:sz="8" w:color="auto"/>
            </w:tcBorders>
          </w:tcPr>
          <w:p>
            <w:pPr>
              <w:spacing w:after="0"/>
              <w:rPr>
                <w:sz w:val="17"/>
                <w:szCs w:val="17"/>
                <w:color w:val="auto"/>
              </w:rPr>
            </w:pPr>
          </w:p>
        </w:tc>
        <w:tc>
          <w:tcPr>
            <w:tcW w:w="268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right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40" w:type="dxa"/>
            <w:vAlign w:val="bottom"/>
            <w:tcBorders>
              <w:left w:val="single" w:sz="8" w:color="auto"/>
            </w:tcBorders>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6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5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2,387,084</w:t>
            </w:r>
          </w:p>
        </w:tc>
        <w:tc>
          <w:tcPr>
            <w:tcW w:w="100" w:type="dxa"/>
            <w:vAlign w:val="bottom"/>
          </w:tcPr>
          <w:p>
            <w:pPr>
              <w:spacing w:after="0"/>
              <w:rPr>
                <w:sz w:val="17"/>
                <w:szCs w:val="17"/>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2,613,525</w:t>
            </w:r>
          </w:p>
        </w:tc>
        <w:tc>
          <w:tcPr>
            <w:tcW w:w="180" w:type="dxa"/>
            <w:vAlign w:val="bottom"/>
            <w:tcBorders>
              <w:right w:val="single" w:sz="8" w:color="auto"/>
            </w:tcBorders>
          </w:tcPr>
          <w:p>
            <w:pPr>
              <w:spacing w:after="0"/>
              <w:rPr>
                <w:sz w:val="17"/>
                <w:szCs w:val="17"/>
                <w:color w:val="auto"/>
              </w:rPr>
            </w:pPr>
          </w:p>
        </w:tc>
        <w:tc>
          <w:tcPr>
            <w:tcW w:w="2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tcPr>
          <w:p>
            <w:pPr>
              <w:spacing w:after="0"/>
              <w:rPr>
                <w:sz w:val="17"/>
                <w:szCs w:val="17"/>
                <w:color w:val="auto"/>
              </w:rPr>
            </w:pPr>
          </w:p>
        </w:tc>
        <w:tc>
          <w:tcPr>
            <w:tcW w:w="100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532,214</w:t>
            </w:r>
          </w:p>
        </w:tc>
        <w:tc>
          <w:tcPr>
            <w:tcW w:w="16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606,031</w:t>
            </w:r>
          </w:p>
        </w:tc>
        <w:tc>
          <w:tcPr>
            <w:tcW w:w="0" w:type="dxa"/>
            <w:vAlign w:val="bottom"/>
          </w:tcPr>
          <w:p>
            <w:pPr>
              <w:spacing w:after="0"/>
              <w:rPr>
                <w:sz w:val="1"/>
                <w:szCs w:val="1"/>
                <w:color w:val="auto"/>
              </w:rPr>
            </w:pPr>
          </w:p>
        </w:tc>
      </w:tr>
      <w:tr>
        <w:trPr>
          <w:trHeight w:val="203"/>
        </w:trPr>
        <w:tc>
          <w:tcPr>
            <w:tcW w:w="2140" w:type="dxa"/>
            <w:vAlign w:val="bottom"/>
            <w:tcBorders>
              <w:left w:val="single" w:sz="8" w:color="auto"/>
            </w:tcBorders>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6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140" w:type="dxa"/>
            <w:vAlign w:val="bottom"/>
            <w:tcBorders>
              <w:lef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LONG-TERM DEBT AND</w:t>
            </w:r>
          </w:p>
        </w:tc>
        <w:tc>
          <w:tcPr>
            <w:tcW w:w="18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140" w:type="dxa"/>
            <w:vAlign w:val="bottom"/>
            <w:tcBorders>
              <w:lef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18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5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283,796</w:t>
            </w:r>
          </w:p>
        </w:tc>
        <w:tc>
          <w:tcPr>
            <w:tcW w:w="10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259,637</w:t>
            </w:r>
          </w:p>
        </w:tc>
        <w:tc>
          <w:tcPr>
            <w:tcW w:w="18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180" w:type="dxa"/>
            <w:vAlign w:val="bottom"/>
          </w:tcPr>
          <w:p>
            <w:pPr>
              <w:spacing w:after="0"/>
              <w:rPr>
                <w:sz w:val="18"/>
                <w:szCs w:val="18"/>
                <w:color w:val="auto"/>
              </w:rPr>
            </w:pPr>
          </w:p>
        </w:tc>
        <w:tc>
          <w:tcPr>
            <w:tcW w:w="100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229,007</w:t>
            </w:r>
          </w:p>
        </w:tc>
        <w:tc>
          <w:tcPr>
            <w:tcW w:w="160" w:type="dxa"/>
            <w:vAlign w:val="bottom"/>
          </w:tcPr>
          <w:p>
            <w:pPr>
              <w:spacing w:after="0"/>
              <w:rPr>
                <w:sz w:val="18"/>
                <w:szCs w:val="18"/>
                <w:color w:val="auto"/>
              </w:rPr>
            </w:pPr>
          </w:p>
        </w:tc>
        <w:tc>
          <w:tcPr>
            <w:tcW w:w="90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232,043</w:t>
            </w:r>
          </w:p>
        </w:tc>
        <w:tc>
          <w:tcPr>
            <w:tcW w:w="0" w:type="dxa"/>
            <w:vAlign w:val="bottom"/>
          </w:tcPr>
          <w:p>
            <w:pPr>
              <w:spacing w:after="0"/>
              <w:rPr>
                <w:sz w:val="1"/>
                <w:szCs w:val="1"/>
                <w:color w:val="auto"/>
              </w:rPr>
            </w:pPr>
          </w:p>
        </w:tc>
      </w:tr>
      <w:tr>
        <w:trPr>
          <w:trHeight w:val="206"/>
        </w:trPr>
        <w:tc>
          <w:tcPr>
            <w:tcW w:w="21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c>
          <w:tcPr>
            <w:tcW w:w="5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488,774</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501,641</w:t>
            </w:r>
          </w:p>
        </w:tc>
        <w:tc>
          <w:tcPr>
            <w:tcW w:w="180" w:type="dxa"/>
            <w:vAlign w:val="bottom"/>
            <w:tcBorders>
              <w:right w:val="single" w:sz="8" w:color="auto"/>
            </w:tcBorders>
            <w:shd w:val="clear" w:color="auto" w:fill="CCEEFF"/>
          </w:tcPr>
          <w:p>
            <w:pPr>
              <w:spacing w:after="0"/>
              <w:rPr>
                <w:sz w:val="17"/>
                <w:szCs w:val="17"/>
                <w:color w:val="auto"/>
              </w:rPr>
            </w:pPr>
          </w:p>
        </w:tc>
        <w:tc>
          <w:tcPr>
            <w:tcW w:w="26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18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166,057</w:t>
            </w:r>
          </w:p>
        </w:tc>
        <w:tc>
          <w:tcPr>
            <w:tcW w:w="1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180,465</w:t>
            </w:r>
          </w:p>
        </w:tc>
        <w:tc>
          <w:tcPr>
            <w:tcW w:w="0" w:type="dxa"/>
            <w:vAlign w:val="bottom"/>
          </w:tcPr>
          <w:p>
            <w:pPr>
              <w:spacing w:after="0"/>
              <w:rPr>
                <w:sz w:val="1"/>
                <w:szCs w:val="1"/>
                <w:color w:val="auto"/>
              </w:rPr>
            </w:pPr>
          </w:p>
        </w:tc>
      </w:tr>
      <w:tr>
        <w:trPr>
          <w:trHeight w:val="203"/>
        </w:trPr>
        <w:tc>
          <w:tcPr>
            <w:tcW w:w="2140" w:type="dxa"/>
            <w:vAlign w:val="bottom"/>
            <w:tcBorders>
              <w:lef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Borders>
              <w:left w:val="single" w:sz="8" w:color="auto"/>
            </w:tcBorders>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6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TEMPORARY EQUITY</w:t>
            </w:r>
          </w:p>
        </w:tc>
        <w:tc>
          <w:tcPr>
            <w:tcW w:w="18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5,018</w:t>
            </w:r>
          </w:p>
        </w:tc>
        <w:tc>
          <w:tcPr>
            <w:tcW w:w="1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5,527</w:t>
            </w:r>
          </w:p>
        </w:tc>
        <w:tc>
          <w:tcPr>
            <w:tcW w:w="0" w:type="dxa"/>
            <w:vAlign w:val="bottom"/>
          </w:tcPr>
          <w:p>
            <w:pPr>
              <w:spacing w:after="0"/>
              <w:rPr>
                <w:sz w:val="1"/>
                <w:szCs w:val="1"/>
                <w:color w:val="auto"/>
              </w:rPr>
            </w:pPr>
          </w:p>
        </w:tc>
      </w:tr>
      <w:tr>
        <w:trPr>
          <w:trHeight w:val="203"/>
        </w:trPr>
        <w:tc>
          <w:tcPr>
            <w:tcW w:w="2140" w:type="dxa"/>
            <w:vAlign w:val="bottom"/>
            <w:tcBorders>
              <w:lef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1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w:t>
            </w:r>
          </w:p>
        </w:tc>
        <w:tc>
          <w:tcPr>
            <w:tcW w:w="56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68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EQUIPMENT, NET</w:t>
            </w:r>
          </w:p>
        </w:tc>
        <w:tc>
          <w:tcPr>
            <w:tcW w:w="560" w:type="dxa"/>
            <w:vAlign w:val="bottom"/>
            <w:tcBorders>
              <w:right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975,897</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843,082</w:t>
            </w:r>
          </w:p>
        </w:tc>
        <w:tc>
          <w:tcPr>
            <w:tcW w:w="180" w:type="dxa"/>
            <w:vAlign w:val="bottom"/>
            <w:tcBorders>
              <w:right w:val="single" w:sz="8" w:color="auto"/>
            </w:tcBorders>
            <w:shd w:val="clear" w:color="auto" w:fill="CCEEFF"/>
          </w:tcPr>
          <w:p>
            <w:pPr>
              <w:spacing w:after="0"/>
              <w:rPr>
                <w:sz w:val="18"/>
                <w:szCs w:val="18"/>
                <w:color w:val="auto"/>
              </w:rPr>
            </w:pPr>
          </w:p>
        </w:tc>
        <w:tc>
          <w:tcPr>
            <w:tcW w:w="26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3,203,255</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3,193,819</w:t>
            </w:r>
          </w:p>
        </w:tc>
        <w:tc>
          <w:tcPr>
            <w:tcW w:w="0" w:type="dxa"/>
            <w:vAlign w:val="bottom"/>
          </w:tcPr>
          <w:p>
            <w:pPr>
              <w:spacing w:after="0"/>
              <w:rPr>
                <w:sz w:val="1"/>
                <w:szCs w:val="1"/>
                <w:color w:val="auto"/>
              </w:rPr>
            </w:pPr>
          </w:p>
        </w:tc>
      </w:tr>
      <w:tr>
        <w:trPr>
          <w:trHeight w:val="199"/>
        </w:trPr>
        <w:tc>
          <w:tcPr>
            <w:tcW w:w="2140" w:type="dxa"/>
            <w:vAlign w:val="bottom"/>
            <w:tcBorders>
              <w:lef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Borders>
              <w:left w:val="single" w:sz="8" w:color="auto"/>
            </w:tcBorders>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6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140" w:type="dxa"/>
            <w:vAlign w:val="bottom"/>
            <w:tcBorders>
              <w:lef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4,135,551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4,217,885</w:t>
            </w:r>
          </w:p>
        </w:tc>
        <w:tc>
          <w:tcPr>
            <w:tcW w:w="180" w:type="dxa"/>
            <w:vAlign w:val="bottom"/>
            <w:tcBorders>
              <w:right w:val="single" w:sz="8" w:color="auto"/>
            </w:tcBorders>
          </w:tcPr>
          <w:p>
            <w:pPr>
              <w:spacing w:after="0"/>
              <w:rPr>
                <w:sz w:val="16"/>
                <w:szCs w:val="16"/>
                <w:color w:val="auto"/>
              </w:rPr>
            </w:pPr>
          </w:p>
        </w:tc>
        <w:tc>
          <w:tcPr>
            <w:tcW w:w="2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 AND</w:t>
            </w: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4,135,551</w:t>
            </w:r>
          </w:p>
        </w:tc>
        <w:tc>
          <w:tcPr>
            <w:tcW w:w="160" w:type="dxa"/>
            <w:vAlign w:val="bottom"/>
            <w:vMerge w:val="restart"/>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4,217,885</w:t>
            </w:r>
          </w:p>
        </w:tc>
        <w:tc>
          <w:tcPr>
            <w:tcW w:w="0" w:type="dxa"/>
            <w:vAlign w:val="bottom"/>
          </w:tcPr>
          <w:p>
            <w:pPr>
              <w:spacing w:after="0"/>
              <w:rPr>
                <w:sz w:val="1"/>
                <w:szCs w:val="1"/>
                <w:color w:val="auto"/>
              </w:rPr>
            </w:pPr>
          </w:p>
        </w:tc>
      </w:tr>
      <w:tr>
        <w:trPr>
          <w:trHeight w:val="245"/>
        </w:trPr>
        <w:tc>
          <w:tcPr>
            <w:tcW w:w="21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6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right w:val="single" w:sz="8" w:color="auto"/>
            </w:tcBorders>
            <w:vMerge w:val="continue"/>
          </w:tcPr>
          <w:p>
            <w:pPr>
              <w:spacing w:after="0"/>
              <w:rPr>
                <w:sz w:val="21"/>
                <w:szCs w:val="21"/>
                <w:color w:val="auto"/>
              </w:rPr>
            </w:pPr>
          </w:p>
        </w:tc>
        <w:tc>
          <w:tcPr>
            <w:tcW w:w="10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right w:val="single" w:sz="8" w:color="auto"/>
            </w:tcBorders>
            <w:vMerge w:val="continue"/>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8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right w:val="single" w:sz="8" w:color="auto"/>
            </w:tcBorders>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b w:val="1"/>
          <w:bCs w:val="1"/>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482" w:right="97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38"/>
        </w:trPr>
        <w:tc>
          <w:tcPr>
            <w:tcW w:w="8680" w:type="dxa"/>
            <w:vAlign w:val="bottom"/>
            <w:gridSpan w:val="3"/>
            <w:vMerge w:val="restart"/>
          </w:tcPr>
          <w:p>
            <w:pPr>
              <w:jc w:val="center"/>
              <w:ind w:left="1179"/>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tc>
        <w:tc>
          <w:tcPr>
            <w:tcW w:w="0" w:type="dxa"/>
            <w:vAlign w:val="bottom"/>
          </w:tcPr>
          <w:p>
            <w:pPr>
              <w:spacing w:after="0"/>
              <w:rPr>
                <w:sz w:val="1"/>
                <w:szCs w:val="1"/>
                <w:color w:val="auto"/>
              </w:rPr>
            </w:pPr>
          </w:p>
        </w:tc>
      </w:tr>
      <w:tr>
        <w:trPr>
          <w:trHeight w:val="194"/>
        </w:trPr>
        <w:tc>
          <w:tcPr>
            <w:tcW w:w="8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0" w:type="dxa"/>
            <w:vAlign w:val="bottom"/>
          </w:tcPr>
          <w:p>
            <w:pPr>
              <w:jc w:val="center"/>
              <w:ind w:left="2659"/>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00" w:type="dxa"/>
            <w:vAlign w:val="bottom"/>
          </w:tcPr>
          <w:p>
            <w:pPr>
              <w:jc w:val="center"/>
              <w:ind w:left="2639"/>
              <w:spacing w:after="0"/>
              <w:rPr>
                <w:sz w:val="20"/>
                <w:szCs w:val="20"/>
                <w:color w:val="auto"/>
              </w:rPr>
            </w:pPr>
            <w:r>
              <w:rPr>
                <w:rFonts w:ascii="Times New Roman" w:cs="Times New Roman" w:eastAsia="Times New Roman" w:hAnsi="Times New Roman"/>
                <w:sz w:val="18"/>
                <w:szCs w:val="18"/>
                <w:b w:val="1"/>
                <w:bCs w:val="1"/>
                <w:color w:val="auto"/>
                <w:w w:val="99"/>
              </w:rPr>
              <w:t>SEPTEMBER 2025/2024</w:t>
            </w:r>
          </w:p>
        </w:tc>
        <w:tc>
          <w:tcPr>
            <w:tcW w:w="260" w:type="dxa"/>
            <w:vAlign w:val="bottom"/>
          </w:tcPr>
          <w:p>
            <w:pPr>
              <w:spacing w:after="0"/>
              <w:rPr>
                <w:sz w:val="20"/>
                <w:szCs w:val="20"/>
                <w:color w:val="auto"/>
              </w:rPr>
            </w:pPr>
          </w:p>
        </w:tc>
        <w:tc>
          <w:tcPr>
            <w:tcW w:w="1220" w:type="dxa"/>
            <w:vAlign w:val="bottom"/>
            <w:vMerge w:val="restart"/>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20"/>
                <w:szCs w:val="20"/>
                <w:color w:val="auto"/>
              </w:rPr>
            </w:pPr>
          </w:p>
        </w:tc>
        <w:tc>
          <w:tcPr>
            <w:tcW w:w="110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right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255,836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348,950</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from operating activities:</w:t>
            </w:r>
          </w:p>
        </w:tc>
        <w:tc>
          <w:tcPr>
            <w:tcW w:w="2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7"/>
                <w:szCs w:val="17"/>
                <w:color w:val="auto"/>
              </w:rPr>
            </w:pPr>
          </w:p>
        </w:tc>
        <w:tc>
          <w:tcPr>
            <w:tcW w:w="1220" w:type="dxa"/>
            <w:vAlign w:val="bottom"/>
            <w:tcBorders>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101,574</w:t>
            </w:r>
          </w:p>
        </w:tc>
        <w:tc>
          <w:tcPr>
            <w:tcW w:w="160" w:type="dxa"/>
            <w:vAlign w:val="bottom"/>
          </w:tcPr>
          <w:p>
            <w:pPr>
              <w:spacing w:after="0"/>
              <w:rPr>
                <w:sz w:val="17"/>
                <w:szCs w:val="17"/>
                <w:color w:val="auto"/>
              </w:rPr>
            </w:pPr>
          </w:p>
        </w:tc>
        <w:tc>
          <w:tcPr>
            <w:tcW w:w="11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92,130</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17,666</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17,621</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Expense associated with share-based and grant compensation arrangements</w:t>
            </w:r>
          </w:p>
        </w:tc>
        <w:tc>
          <w:tcPr>
            <w:tcW w:w="260" w:type="dxa"/>
            <w:vAlign w:val="bottom"/>
          </w:tcPr>
          <w:p>
            <w:pPr>
              <w:spacing w:after="0"/>
              <w:rPr>
                <w:sz w:val="17"/>
                <w:szCs w:val="17"/>
                <w:color w:val="auto"/>
              </w:rPr>
            </w:pPr>
          </w:p>
        </w:tc>
        <w:tc>
          <w:tcPr>
            <w:tcW w:w="1220" w:type="dxa"/>
            <w:vAlign w:val="bottom"/>
            <w:tcBorders>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27,906</w:t>
            </w:r>
          </w:p>
        </w:tc>
        <w:tc>
          <w:tcPr>
            <w:tcW w:w="160" w:type="dxa"/>
            <w:vAlign w:val="bottom"/>
          </w:tcPr>
          <w:p>
            <w:pPr>
              <w:spacing w:after="0"/>
              <w:rPr>
                <w:sz w:val="17"/>
                <w:szCs w:val="17"/>
                <w:color w:val="auto"/>
              </w:rPr>
            </w:pPr>
          </w:p>
        </w:tc>
        <w:tc>
          <w:tcPr>
            <w:tcW w:w="11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27,345</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(393)</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(674)</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Unrealized gain on investment and other</w:t>
            </w:r>
          </w:p>
        </w:tc>
        <w:tc>
          <w:tcPr>
            <w:tcW w:w="260" w:type="dxa"/>
            <w:vAlign w:val="bottom"/>
          </w:tcPr>
          <w:p>
            <w:pPr>
              <w:spacing w:after="0"/>
              <w:rPr>
                <w:sz w:val="17"/>
                <w:szCs w:val="17"/>
                <w:color w:val="auto"/>
              </w:rPr>
            </w:pPr>
          </w:p>
        </w:tc>
        <w:tc>
          <w:tcPr>
            <w:tcW w:w="1220" w:type="dxa"/>
            <w:vAlign w:val="bottom"/>
            <w:tcBorders>
              <w:right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(2,195)</w:t>
            </w:r>
          </w:p>
        </w:tc>
        <w:tc>
          <w:tcPr>
            <w:tcW w:w="160" w:type="dxa"/>
            <w:vAlign w:val="bottom"/>
          </w:tcPr>
          <w:p>
            <w:pPr>
              <w:spacing w:after="0"/>
              <w:rPr>
                <w:sz w:val="17"/>
                <w:szCs w:val="17"/>
                <w:color w:val="auto"/>
              </w:rPr>
            </w:pPr>
          </w:p>
        </w:tc>
        <w:tc>
          <w:tcPr>
            <w:tcW w:w="110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(3,201)</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Equity in (earnings) loss of investee</w:t>
            </w: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(1,072)</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1,313</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Net loss on sale, disposition and impairment of assets</w:t>
            </w:r>
          </w:p>
        </w:tc>
        <w:tc>
          <w:tcPr>
            <w:tcW w:w="260" w:type="dxa"/>
            <w:vAlign w:val="bottom"/>
          </w:tcPr>
          <w:p>
            <w:pPr>
              <w:spacing w:after="0"/>
              <w:rPr>
                <w:sz w:val="17"/>
                <w:szCs w:val="17"/>
                <w:color w:val="auto"/>
              </w:rPr>
            </w:pPr>
          </w:p>
        </w:tc>
        <w:tc>
          <w:tcPr>
            <w:tcW w:w="1220" w:type="dxa"/>
            <w:vAlign w:val="bottom"/>
            <w:tcBorders>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3,812</w:t>
            </w:r>
          </w:p>
        </w:tc>
        <w:tc>
          <w:tcPr>
            <w:tcW w:w="160" w:type="dxa"/>
            <w:vAlign w:val="bottom"/>
          </w:tcPr>
          <w:p>
            <w:pPr>
              <w:spacing w:after="0"/>
              <w:rPr>
                <w:sz w:val="17"/>
                <w:szCs w:val="17"/>
                <w:color w:val="auto"/>
              </w:rPr>
            </w:pPr>
          </w:p>
        </w:tc>
        <w:tc>
          <w:tcPr>
            <w:tcW w:w="11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1,538</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 of intangibles</w:t>
            </w: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2,400</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Gain from reduction of estimated earnout liability</w:t>
            </w:r>
          </w:p>
        </w:tc>
        <w:tc>
          <w:tcPr>
            <w:tcW w:w="260" w:type="dxa"/>
            <w:vAlign w:val="bottom"/>
          </w:tcPr>
          <w:p>
            <w:pPr>
              <w:spacing w:after="0"/>
              <w:rPr>
                <w:sz w:val="17"/>
                <w:szCs w:val="17"/>
                <w:color w:val="auto"/>
              </w:rPr>
            </w:pPr>
          </w:p>
        </w:tc>
        <w:tc>
          <w:tcPr>
            <w:tcW w:w="1220" w:type="dxa"/>
            <w:vAlign w:val="bottom"/>
            <w:tcBorders>
              <w:right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(1,855)</w:t>
            </w:r>
          </w:p>
        </w:tc>
        <w:tc>
          <w:tcPr>
            <w:tcW w:w="160" w:type="dxa"/>
            <w:vAlign w:val="bottom"/>
          </w:tcPr>
          <w:p>
            <w:pPr>
              <w:spacing w:after="0"/>
              <w:rPr>
                <w:sz w:val="17"/>
                <w:szCs w:val="17"/>
                <w:color w:val="auto"/>
              </w:rPr>
            </w:pPr>
          </w:p>
        </w:tc>
        <w:tc>
          <w:tcPr>
            <w:tcW w:w="110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(1,855)</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w:t>
            </w: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7"/>
                <w:szCs w:val="17"/>
                <w:color w:val="auto"/>
              </w:rPr>
            </w:pPr>
          </w:p>
        </w:tc>
        <w:tc>
          <w:tcPr>
            <w:tcW w:w="1220" w:type="dxa"/>
            <w:vAlign w:val="bottom"/>
            <w:tcBorders>
              <w:right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(104,813)</w:t>
            </w:r>
          </w:p>
        </w:tc>
        <w:tc>
          <w:tcPr>
            <w:tcW w:w="160" w:type="dxa"/>
            <w:vAlign w:val="bottom"/>
          </w:tcPr>
          <w:p>
            <w:pPr>
              <w:spacing w:after="0"/>
              <w:rPr>
                <w:sz w:val="17"/>
                <w:szCs w:val="17"/>
                <w:color w:val="auto"/>
              </w:rPr>
            </w:pPr>
          </w:p>
        </w:tc>
        <w:tc>
          <w:tcPr>
            <w:tcW w:w="110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color w:val="auto"/>
              </w:rPr>
              <w:t>(102,355)</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61,025</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81,238</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7"/>
                <w:szCs w:val="17"/>
                <w:color w:val="auto"/>
              </w:rPr>
            </w:pPr>
          </w:p>
        </w:tc>
        <w:tc>
          <w:tcPr>
            <w:tcW w:w="1220" w:type="dxa"/>
            <w:vAlign w:val="bottom"/>
            <w:tcBorders>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6,243</w:t>
            </w:r>
          </w:p>
        </w:tc>
        <w:tc>
          <w:tcPr>
            <w:tcW w:w="160" w:type="dxa"/>
            <w:vAlign w:val="bottom"/>
          </w:tcPr>
          <w:p>
            <w:pPr>
              <w:spacing w:after="0"/>
              <w:rPr>
                <w:sz w:val="17"/>
                <w:szCs w:val="17"/>
                <w:color w:val="auto"/>
              </w:rPr>
            </w:pPr>
          </w:p>
        </w:tc>
        <w:tc>
          <w:tcPr>
            <w:tcW w:w="11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color w:val="auto"/>
              </w:rPr>
              <w:t>37,391</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right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32,988</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(1,779)</w:t>
            </w:r>
          </w:p>
        </w:tc>
        <w:tc>
          <w:tcPr>
            <w:tcW w:w="0" w:type="dxa"/>
            <w:vAlign w:val="bottom"/>
          </w:tcPr>
          <w:p>
            <w:pPr>
              <w:spacing w:after="0"/>
              <w:rPr>
                <w:sz w:val="1"/>
                <w:szCs w:val="1"/>
                <w:color w:val="auto"/>
              </w:rPr>
            </w:pPr>
          </w:p>
        </w:tc>
      </w:tr>
      <w:tr>
        <w:trPr>
          <w:trHeight w:val="196"/>
        </w:trPr>
        <w:tc>
          <w:tcPr>
            <w:tcW w:w="7200" w:type="dxa"/>
            <w:vAlign w:val="bottom"/>
            <w:tcBorders>
              <w:left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NET CASH FROM OPERATING ACTIVITIES</w:t>
            </w:r>
          </w:p>
        </w:tc>
        <w:tc>
          <w:tcPr>
            <w:tcW w:w="260" w:type="dxa"/>
            <w:vAlign w:val="bottom"/>
          </w:tcPr>
          <w:p>
            <w:pPr>
              <w:spacing w:after="0"/>
              <w:rPr>
                <w:sz w:val="17"/>
                <w:szCs w:val="17"/>
                <w:color w:val="auto"/>
              </w:rPr>
            </w:pPr>
          </w:p>
        </w:tc>
        <w:tc>
          <w:tcPr>
            <w:tcW w:w="1220" w:type="dxa"/>
            <w:vAlign w:val="bottom"/>
            <w:tcBorders>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399,122</w:t>
            </w:r>
          </w:p>
        </w:tc>
        <w:tc>
          <w:tcPr>
            <w:tcW w:w="160" w:type="dxa"/>
            <w:vAlign w:val="bottom"/>
          </w:tcPr>
          <w:p>
            <w:pPr>
              <w:spacing w:after="0"/>
              <w:rPr>
                <w:sz w:val="17"/>
                <w:szCs w:val="17"/>
                <w:color w:val="auto"/>
              </w:rPr>
            </w:pPr>
          </w:p>
        </w:tc>
        <w:tc>
          <w:tcPr>
            <w:tcW w:w="11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497,662</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INVESTING ACTIVITIES:</w:t>
            </w:r>
          </w:p>
        </w:tc>
        <w:tc>
          <w:tcPr>
            <w:tcW w:w="2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(205,504)</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(165,493)</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260" w:type="dxa"/>
            <w:vAlign w:val="bottom"/>
          </w:tcPr>
          <w:p>
            <w:pPr>
              <w:spacing w:after="0"/>
              <w:rPr>
                <w:sz w:val="17"/>
                <w:szCs w:val="17"/>
                <w:color w:val="auto"/>
              </w:rPr>
            </w:pPr>
          </w:p>
        </w:tc>
        <w:tc>
          <w:tcPr>
            <w:tcW w:w="1220" w:type="dxa"/>
            <w:vAlign w:val="bottom"/>
            <w:tcBorders>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17,308</w:t>
            </w:r>
          </w:p>
        </w:tc>
        <w:tc>
          <w:tcPr>
            <w:tcW w:w="160" w:type="dxa"/>
            <w:vAlign w:val="bottom"/>
          </w:tcPr>
          <w:p>
            <w:pPr>
              <w:spacing w:after="0"/>
              <w:rPr>
                <w:sz w:val="17"/>
                <w:szCs w:val="17"/>
                <w:color w:val="auto"/>
              </w:rPr>
            </w:pPr>
          </w:p>
        </w:tc>
        <w:tc>
          <w:tcPr>
            <w:tcW w:w="11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3,795</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and purchases of non-controlling interest, net of cash received</w:t>
            </w: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(17,626)</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72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260" w:type="dxa"/>
            <w:vAlign w:val="bottom"/>
          </w:tcPr>
          <w:p>
            <w:pPr>
              <w:spacing w:after="0"/>
              <w:rPr>
                <w:sz w:val="17"/>
                <w:szCs w:val="17"/>
                <w:color w:val="auto"/>
              </w:rPr>
            </w:pPr>
          </w:p>
        </w:tc>
        <w:tc>
          <w:tcPr>
            <w:tcW w:w="1220" w:type="dxa"/>
            <w:vAlign w:val="bottom"/>
            <w:tcBorders>
              <w:right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(27,388)</w:t>
            </w:r>
          </w:p>
        </w:tc>
        <w:tc>
          <w:tcPr>
            <w:tcW w:w="160" w:type="dxa"/>
            <w:vAlign w:val="bottom"/>
          </w:tcPr>
          <w:p>
            <w:pPr>
              <w:spacing w:after="0"/>
              <w:rPr>
                <w:sz w:val="17"/>
                <w:szCs w:val="17"/>
                <w:color w:val="auto"/>
              </w:rPr>
            </w:pPr>
          </w:p>
        </w:tc>
        <w:tc>
          <w:tcPr>
            <w:tcW w:w="110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(34,284)</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14,464</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13,782</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1,535</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4,712</w:t>
            </w:r>
          </w:p>
        </w:tc>
        <w:tc>
          <w:tcPr>
            <w:tcW w:w="0" w:type="dxa"/>
            <w:vAlign w:val="bottom"/>
          </w:tcPr>
          <w:p>
            <w:pPr>
              <w:spacing w:after="0"/>
              <w:rPr>
                <w:sz w:val="1"/>
                <w:szCs w:val="1"/>
                <w:color w:val="auto"/>
              </w:rPr>
            </w:pPr>
          </w:p>
        </w:tc>
      </w:tr>
      <w:tr>
        <w:trPr>
          <w:trHeight w:val="196"/>
        </w:trPr>
        <w:tc>
          <w:tcPr>
            <w:tcW w:w="7200" w:type="dxa"/>
            <w:vAlign w:val="bottom"/>
            <w:tcBorders>
              <w:left w:val="single" w:sz="8" w:color="auto"/>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(217,211)</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(177,488)</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FINANCING ACTIVITIES:</w:t>
            </w: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Borrowings under revolving credit facilities</w:t>
            </w:r>
          </w:p>
        </w:tc>
        <w:tc>
          <w:tcPr>
            <w:tcW w:w="260" w:type="dxa"/>
            <w:vAlign w:val="bottom"/>
          </w:tcPr>
          <w:p>
            <w:pPr>
              <w:spacing w:after="0"/>
              <w:rPr>
                <w:sz w:val="17"/>
                <w:szCs w:val="17"/>
                <w:color w:val="auto"/>
              </w:rPr>
            </w:pPr>
          </w:p>
        </w:tc>
        <w:tc>
          <w:tcPr>
            <w:tcW w:w="1220" w:type="dxa"/>
            <w:vAlign w:val="bottom"/>
            <w:tcBorders>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23,299</w:t>
            </w:r>
          </w:p>
        </w:tc>
        <w:tc>
          <w:tcPr>
            <w:tcW w:w="160" w:type="dxa"/>
            <w:vAlign w:val="bottom"/>
          </w:tcPr>
          <w:p>
            <w:pPr>
              <w:spacing w:after="0"/>
              <w:rPr>
                <w:sz w:val="17"/>
                <w:szCs w:val="17"/>
                <w:color w:val="auto"/>
              </w:rPr>
            </w:pPr>
          </w:p>
        </w:tc>
        <w:tc>
          <w:tcPr>
            <w:tcW w:w="11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20,130</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under revolving credit facilities</w:t>
            </w: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(22,469)</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(20,477)</w:t>
            </w:r>
          </w:p>
        </w:tc>
        <w:tc>
          <w:tcPr>
            <w:tcW w:w="0" w:type="dxa"/>
            <w:vAlign w:val="bottom"/>
          </w:tcPr>
          <w:p>
            <w:pPr>
              <w:spacing w:after="0"/>
              <w:rPr>
                <w:sz w:val="1"/>
                <w:szCs w:val="1"/>
                <w:color w:val="auto"/>
              </w:rPr>
            </w:pPr>
          </w:p>
        </w:tc>
      </w:tr>
      <w:tr>
        <w:trPr>
          <w:trHeight w:val="202"/>
        </w:trPr>
        <w:tc>
          <w:tcPr>
            <w:tcW w:w="72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Repayment of debt on behalf of investee</w:t>
            </w:r>
          </w:p>
        </w:tc>
        <w:tc>
          <w:tcPr>
            <w:tcW w:w="260" w:type="dxa"/>
            <w:vAlign w:val="bottom"/>
          </w:tcPr>
          <w:p>
            <w:pPr>
              <w:spacing w:after="0"/>
              <w:rPr>
                <w:sz w:val="17"/>
                <w:szCs w:val="17"/>
                <w:color w:val="auto"/>
              </w:rPr>
            </w:pPr>
          </w:p>
        </w:tc>
        <w:tc>
          <w:tcPr>
            <w:tcW w:w="1220" w:type="dxa"/>
            <w:vAlign w:val="bottom"/>
            <w:tcBorders>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0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(6,303)</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payments and other</w:t>
            </w: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(221)</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(4,779)</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60" w:type="dxa"/>
            <w:vAlign w:val="bottom"/>
          </w:tcPr>
          <w:p>
            <w:pPr>
              <w:spacing w:after="0"/>
              <w:rPr>
                <w:sz w:val="17"/>
                <w:szCs w:val="17"/>
                <w:color w:val="auto"/>
              </w:rPr>
            </w:pPr>
          </w:p>
        </w:tc>
        <w:tc>
          <w:tcPr>
            <w:tcW w:w="1220" w:type="dxa"/>
            <w:vAlign w:val="bottom"/>
            <w:tcBorders>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1,867</w:t>
            </w:r>
          </w:p>
        </w:tc>
        <w:tc>
          <w:tcPr>
            <w:tcW w:w="160" w:type="dxa"/>
            <w:vAlign w:val="bottom"/>
          </w:tcPr>
          <w:p>
            <w:pPr>
              <w:spacing w:after="0"/>
              <w:rPr>
                <w:sz w:val="17"/>
                <w:szCs w:val="17"/>
                <w:color w:val="auto"/>
              </w:rPr>
            </w:pPr>
          </w:p>
        </w:tc>
        <w:tc>
          <w:tcPr>
            <w:tcW w:w="11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2,122</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to shareholders</w:t>
            </w: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(62,490)</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(60,721)</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260" w:type="dxa"/>
            <w:vAlign w:val="bottom"/>
          </w:tcPr>
          <w:p>
            <w:pPr>
              <w:spacing w:after="0"/>
              <w:rPr>
                <w:sz w:val="17"/>
                <w:szCs w:val="17"/>
                <w:color w:val="auto"/>
              </w:rPr>
            </w:pPr>
          </w:p>
        </w:tc>
        <w:tc>
          <w:tcPr>
            <w:tcW w:w="1220" w:type="dxa"/>
            <w:vAlign w:val="bottom"/>
            <w:tcBorders>
              <w:right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(1,280)</w:t>
            </w:r>
          </w:p>
        </w:tc>
        <w:tc>
          <w:tcPr>
            <w:tcW w:w="160" w:type="dxa"/>
            <w:vAlign w:val="bottom"/>
          </w:tcPr>
          <w:p>
            <w:pPr>
              <w:spacing w:after="0"/>
              <w:rPr>
                <w:sz w:val="17"/>
                <w:szCs w:val="17"/>
                <w:color w:val="auto"/>
              </w:rPr>
            </w:pPr>
          </w:p>
        </w:tc>
        <w:tc>
          <w:tcPr>
            <w:tcW w:w="110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(11,848)</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remaining noncontrolling interest of subsidiary</w:t>
            </w: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(4,902)</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Payments to taxing authorities in connection with shares directly withheld from employees</w:t>
            </w:r>
          </w:p>
        </w:tc>
        <w:tc>
          <w:tcPr>
            <w:tcW w:w="260" w:type="dxa"/>
            <w:vAlign w:val="bottom"/>
          </w:tcPr>
          <w:p>
            <w:pPr>
              <w:spacing w:after="0"/>
              <w:rPr>
                <w:sz w:val="17"/>
                <w:szCs w:val="17"/>
                <w:color w:val="auto"/>
              </w:rPr>
            </w:pPr>
          </w:p>
        </w:tc>
        <w:tc>
          <w:tcPr>
            <w:tcW w:w="1220" w:type="dxa"/>
            <w:vAlign w:val="bottom"/>
            <w:tcBorders>
              <w:right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(9,582)</w:t>
            </w:r>
          </w:p>
        </w:tc>
        <w:tc>
          <w:tcPr>
            <w:tcW w:w="160" w:type="dxa"/>
            <w:vAlign w:val="bottom"/>
          </w:tcPr>
          <w:p>
            <w:pPr>
              <w:spacing w:after="0"/>
              <w:rPr>
                <w:sz w:val="17"/>
                <w:szCs w:val="17"/>
                <w:color w:val="auto"/>
              </w:rPr>
            </w:pPr>
          </w:p>
        </w:tc>
        <w:tc>
          <w:tcPr>
            <w:tcW w:w="110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(17,838)</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(280,987)</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(141,122)</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(182)</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96"/>
        </w:trPr>
        <w:tc>
          <w:tcPr>
            <w:tcW w:w="7200" w:type="dxa"/>
            <w:vAlign w:val="bottom"/>
            <w:tcBorders>
              <w:left w:val="single" w:sz="8" w:color="auto"/>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(352,045)</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(245,683)</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right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2,234</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(5,179)</w:t>
            </w:r>
          </w:p>
        </w:tc>
        <w:tc>
          <w:tcPr>
            <w:tcW w:w="0" w:type="dxa"/>
            <w:vAlign w:val="bottom"/>
          </w:tcPr>
          <w:p>
            <w:pPr>
              <w:spacing w:after="0"/>
              <w:rPr>
                <w:sz w:val="1"/>
                <w:szCs w:val="1"/>
                <w:color w:val="auto"/>
              </w:rPr>
            </w:pPr>
          </w:p>
        </w:tc>
      </w:tr>
      <w:tr>
        <w:trPr>
          <w:trHeight w:val="196"/>
        </w:trPr>
        <w:tc>
          <w:tcPr>
            <w:tcW w:w="72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260" w:type="dxa"/>
            <w:vAlign w:val="bottom"/>
          </w:tcPr>
          <w:p>
            <w:pPr>
              <w:spacing w:after="0"/>
              <w:rPr>
                <w:sz w:val="17"/>
                <w:szCs w:val="17"/>
                <w:color w:val="auto"/>
              </w:rPr>
            </w:pPr>
          </w:p>
        </w:tc>
        <w:tc>
          <w:tcPr>
            <w:tcW w:w="1220" w:type="dxa"/>
            <w:vAlign w:val="bottom"/>
            <w:tcBorders>
              <w:right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(167,900)</w:t>
            </w:r>
          </w:p>
        </w:tc>
        <w:tc>
          <w:tcPr>
            <w:tcW w:w="160" w:type="dxa"/>
            <w:vAlign w:val="bottom"/>
          </w:tcPr>
          <w:p>
            <w:pPr>
              <w:spacing w:after="0"/>
              <w:rPr>
                <w:sz w:val="17"/>
                <w:szCs w:val="17"/>
                <w:color w:val="auto"/>
              </w:rPr>
            </w:pPr>
          </w:p>
        </w:tc>
        <w:tc>
          <w:tcPr>
            <w:tcW w:w="11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69,312</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ALL CASH AND CASH EQUIVALENTS, BEGINNING OF PERIOD</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1,179,594</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1,122,256</w:t>
            </w:r>
          </w:p>
        </w:tc>
        <w:tc>
          <w:tcPr>
            <w:tcW w:w="0" w:type="dxa"/>
            <w:vAlign w:val="bottom"/>
          </w:tcPr>
          <w:p>
            <w:pPr>
              <w:spacing w:after="0"/>
              <w:rPr>
                <w:sz w:val="1"/>
                <w:szCs w:val="1"/>
                <w:color w:val="auto"/>
              </w:rPr>
            </w:pPr>
          </w:p>
        </w:tc>
      </w:tr>
      <w:tr>
        <w:trPr>
          <w:trHeight w:val="196"/>
        </w:trPr>
        <w:tc>
          <w:tcPr>
            <w:tcW w:w="7200" w:type="dxa"/>
            <w:vAlign w:val="bottom"/>
            <w:tcBorders>
              <w:left w:val="single" w:sz="8" w:color="auto"/>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20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ALL CASH AND CASH EQUIVALENTS, END OF PERIOD</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1,011,694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1,191,568</w:t>
            </w:r>
          </w:p>
        </w:tc>
        <w:tc>
          <w:tcPr>
            <w:tcW w:w="0" w:type="dxa"/>
            <w:vAlign w:val="bottom"/>
          </w:tcPr>
          <w:p>
            <w:pPr>
              <w:spacing w:after="0"/>
              <w:rPr>
                <w:sz w:val="1"/>
                <w:szCs w:val="1"/>
                <w:color w:val="auto"/>
              </w:rPr>
            </w:pPr>
          </w:p>
        </w:tc>
      </w:tr>
      <w:tr>
        <w:trPr>
          <w:trHeight w:val="183"/>
        </w:trPr>
        <w:tc>
          <w:tcPr>
            <w:tcW w:w="7200" w:type="dxa"/>
            <w:vAlign w:val="bottom"/>
            <w:tcBorders>
              <w:left w:val="single" w:sz="8" w:color="auto"/>
              <w:right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and cash equivalents and restricted cash:</w:t>
            </w:r>
          </w:p>
        </w:tc>
        <w:tc>
          <w:tcPr>
            <w:tcW w:w="2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right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1,171,828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1,118,329</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Restricted cash, beginning of period</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7,766</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3,927</w:t>
            </w:r>
          </w:p>
        </w:tc>
        <w:tc>
          <w:tcPr>
            <w:tcW w:w="0" w:type="dxa"/>
            <w:vAlign w:val="bottom"/>
          </w:tcPr>
          <w:p>
            <w:pPr>
              <w:spacing w:after="0"/>
              <w:rPr>
                <w:sz w:val="1"/>
                <w:szCs w:val="1"/>
                <w:color w:val="auto"/>
              </w:rPr>
            </w:pPr>
          </w:p>
        </w:tc>
      </w:tr>
      <w:tr>
        <w:trPr>
          <w:trHeight w:val="196"/>
        </w:trPr>
        <w:tc>
          <w:tcPr>
            <w:tcW w:w="72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cash and cash equivalents, beginning of period</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right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1,179,594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1,122,256</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right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1,008,632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1,190,807</w:t>
            </w:r>
          </w:p>
        </w:tc>
        <w:tc>
          <w:tcPr>
            <w:tcW w:w="0" w:type="dxa"/>
            <w:vAlign w:val="bottom"/>
          </w:tcPr>
          <w:p>
            <w:pPr>
              <w:spacing w:after="0"/>
              <w:rPr>
                <w:sz w:val="1"/>
                <w:szCs w:val="1"/>
                <w:color w:val="auto"/>
              </w:rPr>
            </w:pPr>
          </w:p>
        </w:tc>
      </w:tr>
      <w:tr>
        <w:trPr>
          <w:trHeight w:val="203"/>
        </w:trPr>
        <w:tc>
          <w:tcPr>
            <w:tcW w:w="720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Restricted cash, end of period</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3,062</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196"/>
        </w:trPr>
        <w:tc>
          <w:tcPr>
            <w:tcW w:w="720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cash and cash equivalents, end of period</w:t>
            </w: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right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1,011,694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1,191,568</w:t>
            </w:r>
          </w:p>
        </w:tc>
        <w:tc>
          <w:tcPr>
            <w:tcW w:w="0" w:type="dxa"/>
            <w:vAlign w:val="bottom"/>
          </w:tcPr>
          <w:p>
            <w:pPr>
              <w:spacing w:after="0"/>
              <w:rPr>
                <w:sz w:val="1"/>
                <w:szCs w:val="1"/>
                <w:color w:val="auto"/>
              </w:rPr>
            </w:pPr>
          </w:p>
        </w:tc>
      </w:tr>
      <w:tr>
        <w:trPr>
          <w:trHeight w:val="20"/>
        </w:trPr>
        <w:tc>
          <w:tcPr>
            <w:tcW w:w="7200" w:type="dxa"/>
            <w:vAlign w:val="bottom"/>
            <w:tcBorders>
              <w:lef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0" w:type="dxa"/>
            <w:vAlign w:val="bottom"/>
            <w:tcBorders>
              <w:left w:val="single" w:sz="8" w:color="auto"/>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9940"/>
          </w:cols>
          <w:pgMar w:left="980" w:top="482" w:right="979" w:bottom="1440" w:gutter="0" w:footer="0" w:header="0"/>
        </w:sectPr>
      </w:pPr>
    </w:p>
    <w:p>
      <w:pPr>
        <w:ind w:left="9340"/>
        <w:spacing w:after="0"/>
        <w:rPr>
          <w:sz w:val="20"/>
          <w:szCs w:val="20"/>
          <w:color w:val="auto"/>
        </w:rPr>
      </w:pPr>
      <w:r>
        <w:rPr>
          <w:rFonts w:ascii="Times New Roman" w:cs="Times New Roman" w:eastAsia="Times New Roman" w:hAnsi="Times New Roman"/>
          <w:sz w:val="17"/>
          <w:szCs w:val="17"/>
          <w:b w:val="1"/>
          <w:bCs w:val="1"/>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370205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40"/>
      </w:cols>
      <w:pgMar w:left="980" w:top="482" w:right="9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3"/>
    </w:lvl>
  </w:abstractNum>
  <w:abstractNum w:abstractNumId="2">
    <w:nsid w:val="507ED7AB"/>
    <w:multiLevelType w:val="hybridMultilevel"/>
    <w:lvl w:ilvl="0">
      <w:lvlJc w:val="left"/>
      <w:lvlText w:val="%1"/>
      <w:numFmt w:val="decimal"/>
      <w:start w:val="104"/>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2025-10-29T15:22:37Z</dcterms:created>
  <dcterms:modified xsi:type="dcterms:W3CDTF">2025-10-29T15:22:37Z</dcterms:modified>
</cp:coreProperties>
</file>