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7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128" w:lineRule="exact"/>
        <w:rPr>
          <w:sz w:val="24"/>
          <w:szCs w:val="24"/>
          <w:color w:val="auto"/>
        </w:rPr>
      </w:pPr>
    </w:p>
    <w:p>
      <w:pPr>
        <w:ind w:left="650" w:right="360" w:hanging="650"/>
        <w:spacing w:after="0" w:line="248" w:lineRule="auto"/>
        <w:tabs>
          <w:tab w:leader="none" w:pos="65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ANNUAL REPORT PURSUANT TO SECTION 13 OR 15(d) OF THE SECURITIES EXCHANGE ACT OF 1934. For the fiscal year ended </w:t>
      </w:r>
      <w:r>
        <w:rPr>
          <w:rFonts w:ascii="Times New Roman" w:cs="Times New Roman" w:eastAsia="Times New Roman" w:hAnsi="Times New Roman"/>
          <w:sz w:val="16"/>
          <w:szCs w:val="16"/>
          <w:u w:val="single" w:color="auto"/>
          <w:color w:val="auto"/>
        </w:rPr>
        <w:t>December 31, 2022</w:t>
      </w:r>
      <w:r>
        <w:rPr>
          <w:rFonts w:ascii="Times New Roman" w:cs="Times New Roman" w:eastAsia="Times New Roman" w:hAnsi="Times New Roman"/>
          <w:sz w:val="16"/>
          <w:szCs w:val="16"/>
          <w:color w:val="auto"/>
        </w:rPr>
        <w:t>.</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OR</w:t>
      </w:r>
    </w:p>
    <w:p>
      <w:pPr>
        <w:spacing w:after="0" w:line="19" w:lineRule="exact"/>
        <w:rPr>
          <w:sz w:val="24"/>
          <w:szCs w:val="24"/>
          <w:color w:val="auto"/>
        </w:rPr>
      </w:pPr>
    </w:p>
    <w:p>
      <w:pPr>
        <w:ind w:left="650" w:right="100" w:hanging="650"/>
        <w:spacing w:after="0" w:line="248" w:lineRule="auto"/>
        <w:tabs>
          <w:tab w:leader="none" w:pos="65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of ____ to _____.</w:t>
      </w:r>
    </w:p>
    <w:p>
      <w:pPr>
        <w:spacing w:after="0" w:line="9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Commission File No.: 0-22684</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1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230"/>
          </w:cols>
          <w:pgMar w:left="830" w:top="846" w:right="839" w:bottom="1440" w:gutter="0" w:footer="0" w:header="0"/>
        </w:sectPr>
      </w:pPr>
    </w:p>
    <w:p>
      <w:pPr>
        <w:spacing w:after="0" w:line="107" w:lineRule="exact"/>
        <w:rPr>
          <w:sz w:val="24"/>
          <w:szCs w:val="24"/>
          <w:color w:val="auto"/>
        </w:rPr>
      </w:pPr>
    </w:p>
    <w:p>
      <w:pPr>
        <w:jc w:val="center"/>
        <w:ind w:right="730"/>
        <w:spacing w:after="0"/>
        <w:rPr>
          <w:sz w:val="20"/>
          <w:szCs w:val="20"/>
          <w:color w:val="auto"/>
        </w:rPr>
      </w:pPr>
      <w:r>
        <w:rPr>
          <w:rFonts w:ascii="Times New Roman" w:cs="Times New Roman" w:eastAsia="Times New Roman" w:hAnsi="Times New Roman"/>
          <w:sz w:val="16"/>
          <w:szCs w:val="16"/>
          <w:b w:val="1"/>
          <w:bCs w:val="1"/>
          <w:color w:val="auto"/>
        </w:rPr>
        <w:t>Michigan</w:t>
      </w:r>
    </w:p>
    <w:p>
      <w:pPr>
        <w:spacing w:after="0" w:line="12" w:lineRule="exact"/>
        <w:rPr>
          <w:sz w:val="24"/>
          <w:szCs w:val="24"/>
          <w:color w:val="auto"/>
        </w:rPr>
      </w:pPr>
    </w:p>
    <w:p>
      <w:pPr>
        <w:jc w:val="center"/>
        <w:ind w:right="73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38-1465835</w:t>
      </w:r>
    </w:p>
    <w:p>
      <w:pPr>
        <w:spacing w:after="0" w:line="12"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66" w:lineRule="exact"/>
        <w:rPr>
          <w:sz w:val="24"/>
          <w:szCs w:val="24"/>
          <w:color w:val="auto"/>
        </w:rPr>
      </w:pPr>
    </w:p>
    <w:p>
      <w:pPr>
        <w:sectPr>
          <w:pgSz w:w="11900" w:h="16838" w:orient="portrait"/>
          <w:cols w:equalWidth="0" w:num="2">
            <w:col w:w="5870" w:space="720"/>
            <w:col w:w="3640"/>
          </w:cols>
          <w:pgMar w:left="830" w:top="846" w:right="839" w:bottom="1440" w:gutter="0" w:footer="0" w:header="0"/>
          <w:type w:val="continuous"/>
        </w:sectPr>
      </w:pPr>
    </w:p>
    <w:p>
      <w:pPr>
        <w:jc w:val="center"/>
        <w:ind w:right="1550"/>
        <w:spacing w:after="0"/>
        <w:rPr>
          <w:sz w:val="20"/>
          <w:szCs w:val="20"/>
          <w:color w:val="auto"/>
        </w:rPr>
      </w:pPr>
      <w:r>
        <w:rPr>
          <w:rFonts w:ascii="Times New Roman" w:cs="Times New Roman" w:eastAsia="Times New Roman" w:hAnsi="Times New Roman"/>
          <w:sz w:val="16"/>
          <w:szCs w:val="16"/>
          <w:b w:val="1"/>
          <w:bCs w:val="1"/>
          <w:color w:val="auto"/>
        </w:rPr>
        <w:t>2801 East Beltline, N.E., Grand Rapids, Michigan</w:t>
      </w:r>
    </w:p>
    <w:p>
      <w:pPr>
        <w:spacing w:after="0" w:line="12" w:lineRule="exact"/>
        <w:rPr>
          <w:sz w:val="24"/>
          <w:szCs w:val="24"/>
          <w:color w:val="auto"/>
        </w:rPr>
      </w:pPr>
    </w:p>
    <w:p>
      <w:pPr>
        <w:jc w:val="center"/>
        <w:ind w:right="155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49525</w:t>
      </w:r>
    </w:p>
    <w:p>
      <w:pPr>
        <w:spacing w:after="0" w:line="12"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5"/>
          <w:szCs w:val="15"/>
          <w:color w:val="auto"/>
        </w:rPr>
        <w:t>(Zip Code)</w:t>
      </w:r>
    </w:p>
    <w:p>
      <w:pPr>
        <w:spacing w:after="0" w:line="104" w:lineRule="exact"/>
        <w:rPr>
          <w:sz w:val="24"/>
          <w:szCs w:val="24"/>
          <w:color w:val="auto"/>
        </w:rPr>
      </w:pPr>
    </w:p>
    <w:p>
      <w:pPr>
        <w:sectPr>
          <w:pgSz w:w="11900" w:h="16838" w:orient="portrait"/>
          <w:cols w:equalWidth="0" w:num="2">
            <w:col w:w="6690" w:space="720"/>
            <w:col w:w="2820"/>
          </w:cols>
          <w:pgMar w:left="830" w:top="846" w:right="839" w:bottom="1440"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(616) 364-6161</w:t>
      </w:r>
    </w:p>
    <w:p>
      <w:pPr>
        <w:spacing w:after="0" w:line="12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0230"/>
          </w:cols>
          <w:pgMar w:left="830" w:top="846" w:right="839" w:bottom="1440" w:gutter="0" w:footer="0" w:header="0"/>
          <w:type w:val="continuous"/>
        </w:sectPr>
      </w:pPr>
    </w:p>
    <w:p>
      <w:pPr>
        <w:spacing w:after="0" w:line="140" w:lineRule="exact"/>
        <w:rPr>
          <w:sz w:val="24"/>
          <w:szCs w:val="24"/>
          <w:color w:val="auto"/>
        </w:rPr>
      </w:pPr>
    </w:p>
    <w:p>
      <w:pPr>
        <w:jc w:val="center"/>
        <w:ind w:right="29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6" w:lineRule="exact"/>
        <w:rPr>
          <w:sz w:val="24"/>
          <w:szCs w:val="24"/>
          <w:color w:val="auto"/>
        </w:rPr>
      </w:pPr>
    </w:p>
    <w:p>
      <w:pPr>
        <w:jc w:val="center"/>
        <w:ind w:right="290"/>
        <w:spacing w:after="0"/>
        <w:rPr>
          <w:sz w:val="20"/>
          <w:szCs w:val="20"/>
          <w:color w:val="auto"/>
        </w:rPr>
      </w:pPr>
      <w:r>
        <w:rPr>
          <w:rFonts w:ascii="Times New Roman" w:cs="Times New Roman" w:eastAsia="Times New Roman" w:hAnsi="Times New Roman"/>
          <w:sz w:val="16"/>
          <w:szCs w:val="16"/>
          <w:b w:val="1"/>
          <w:bCs w:val="1"/>
          <w:color w:val="auto"/>
        </w:rPr>
        <w:t>Common Stock, $1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Trading Symbol</w:t>
      </w:r>
    </w:p>
    <w:p>
      <w:pPr>
        <w:spacing w:after="0" w:line="2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UFPI</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2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p>
      <w:pPr>
        <w:spacing w:after="0" w:line="93" w:lineRule="exact"/>
        <w:rPr>
          <w:sz w:val="24"/>
          <w:szCs w:val="24"/>
          <w:color w:val="auto"/>
        </w:rPr>
      </w:pPr>
    </w:p>
    <w:p>
      <w:pPr>
        <w:sectPr>
          <w:pgSz w:w="11900" w:h="16838" w:orient="portrait"/>
          <w:cols w:equalWidth="0" w:num="3">
            <w:col w:w="3710" w:space="720"/>
            <w:col w:w="1720" w:space="720"/>
            <w:col w:w="3360"/>
          </w:cols>
          <w:pgMar w:left="830" w:top="846" w:right="839" w:bottom="1440" w:gutter="0" w:footer="0" w:header="0"/>
          <w:type w:val="continuous"/>
        </w:sectPr>
      </w:pPr>
    </w:p>
    <w:p>
      <w:pPr>
        <w:spacing w:after="0" w:line="2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No</w:t>
      </w:r>
    </w:p>
    <w:p>
      <w:pPr>
        <w:spacing w:after="0" w:line="126" w:lineRule="exact"/>
        <w:rPr>
          <w:sz w:val="24"/>
          <w:szCs w:val="24"/>
          <w:color w:val="auto"/>
        </w:rPr>
      </w:pPr>
    </w:p>
    <w:p>
      <w:pPr>
        <w:sectPr>
          <w:pgSz w:w="11900" w:h="16838" w:orient="portrait"/>
          <w:cols w:equalWidth="0" w:num="3">
            <w:col w:w="7610" w:space="120"/>
            <w:col w:w="460" w:space="480"/>
            <w:col w:w="1560"/>
          </w:cols>
          <w:pgMar w:left="830" w:top="846" w:right="839" w:bottom="1440" w:gutter="0" w:footer="0" w:header="0"/>
          <w:type w:val="continuous"/>
        </w:sectPr>
      </w:pPr>
    </w:p>
    <w:p>
      <w:pPr>
        <w:spacing w:after="0" w:line="2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p>
      <w:pPr>
        <w:spacing w:after="0" w:line="122" w:lineRule="exact"/>
        <w:rPr>
          <w:sz w:val="24"/>
          <w:szCs w:val="24"/>
          <w:color w:val="auto"/>
        </w:rPr>
      </w:pPr>
    </w:p>
    <w:p>
      <w:pPr>
        <w:sectPr>
          <w:pgSz w:w="11900" w:h="16838" w:orient="portrait"/>
          <w:cols w:equalWidth="0" w:num="3">
            <w:col w:w="7750" w:space="120"/>
            <w:col w:w="420" w:space="480"/>
            <w:col w:w="1460"/>
          </w:cols>
          <w:pgMar w:left="830" w:top="846" w:right="839" w:bottom="1440" w:gutter="0" w:footer="0" w:header="0"/>
          <w:type w:val="continuous"/>
        </w:sectPr>
      </w:pPr>
    </w:p>
    <w:p>
      <w:pPr>
        <w:jc w:val="both"/>
        <w:ind w:left="10"/>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82" w:lineRule="exact"/>
        <w:rPr>
          <w:sz w:val="24"/>
          <w:szCs w:val="24"/>
          <w:color w:val="auto"/>
        </w:rPr>
      </w:pPr>
    </w:p>
    <w:p>
      <w:pPr>
        <w:ind w:left="10"/>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82"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p>
      <w:pPr>
        <w:ind w:left="390"/>
        <w:spacing w:after="0" w:line="215" w:lineRule="exact"/>
        <w:tabs>
          <w:tab w:leader="none" w:pos="2330" w:val="left"/>
          <w:tab w:leader="none" w:pos="3830" w:val="left"/>
          <w:tab w:leader="none" w:pos="5510" w:val="left"/>
          <w:tab w:leader="none" w:pos="777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Emerging growth company </w:t>
      </w:r>
      <w:r>
        <w:rPr>
          <w:rFonts w:ascii="Arial Unicode MS" w:cs="Arial Unicode MS" w:eastAsia="Arial Unicode MS" w:hAnsi="Arial Unicode MS"/>
          <w:sz w:val="16"/>
          <w:szCs w:val="16"/>
          <w:color w:val="auto"/>
        </w:rPr>
        <w:t>☐</w:t>
      </w:r>
    </w:p>
    <w:p>
      <w:pPr>
        <w:spacing w:after="0" w:line="190" w:lineRule="exact"/>
        <w:rPr>
          <w:sz w:val="24"/>
          <w:szCs w:val="24"/>
          <w:color w:val="auto"/>
        </w:rPr>
      </w:pPr>
    </w:p>
    <w:p>
      <w:pPr>
        <w:ind w:left="10" w:right="260"/>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Yes No </w:t>
      </w:r>
      <w:r>
        <w:rPr>
          <w:rFonts w:ascii="Arial Unicode MS" w:cs="Arial Unicode MS" w:eastAsia="Arial Unicode MS" w:hAnsi="Arial Unicode MS"/>
          <w:sz w:val="16"/>
          <w:szCs w:val="16"/>
          <w:color w:val="auto"/>
        </w:rPr>
        <w:t>⌧</w:t>
      </w:r>
    </w:p>
    <w:p>
      <w:pPr>
        <w:spacing w:after="0" w:line="97" w:lineRule="exact"/>
        <w:rPr>
          <w:sz w:val="24"/>
          <w:szCs w:val="24"/>
          <w:color w:val="auto"/>
        </w:rPr>
      </w:pPr>
    </w:p>
    <w:p>
      <w:pPr>
        <w:jc w:val="both"/>
        <w:ind w:left="10" w:right="20"/>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82" w:lineRule="exact"/>
        <w:rPr>
          <w:sz w:val="24"/>
          <w:szCs w:val="24"/>
          <w:color w:val="auto"/>
        </w:rPr>
      </w:pPr>
    </w:p>
    <w:p>
      <w:pPr>
        <w:jc w:val="both"/>
        <w:ind w:left="10" w:right="20"/>
        <w:spacing w:after="0" w:line="21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No </w:t>
      </w:r>
      <w:r>
        <w:rPr>
          <w:rFonts w:ascii="Arial Unicode MS" w:cs="Arial Unicode MS" w:eastAsia="Arial Unicode MS" w:hAnsi="Arial Unicode MS"/>
          <w:sz w:val="16"/>
          <w:szCs w:val="16"/>
          <w:color w:val="auto"/>
        </w:rPr>
        <w:t>⌧</w:t>
      </w:r>
    </w:p>
    <w:p>
      <w:pPr>
        <w:spacing w:after="0" w:line="83" w:lineRule="exact"/>
        <w:rPr>
          <w:sz w:val="24"/>
          <w:szCs w:val="24"/>
          <w:color w:val="auto"/>
        </w:rPr>
      </w:pPr>
    </w:p>
    <w:p>
      <w:pPr>
        <w:ind w:left="1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No </w:t>
      </w:r>
      <w:r>
        <w:rPr>
          <w:rFonts w:ascii="Arial Unicode MS" w:cs="Arial Unicode MS" w:eastAsia="Arial Unicode MS" w:hAnsi="Arial Unicode MS"/>
          <w:sz w:val="16"/>
          <w:szCs w:val="16"/>
          <w:color w:val="auto"/>
        </w:rPr>
        <w:t>⌧</w:t>
      </w:r>
    </w:p>
    <w:p>
      <w:pPr>
        <w:sectPr>
          <w:pgSz w:w="11900" w:h="16838" w:orient="portrait"/>
          <w:cols w:equalWidth="0" w:num="1">
            <w:col w:w="10230"/>
          </w:cols>
          <w:pgMar w:left="830" w:top="846" w:right="839" w:bottom="1440" w:gutter="0" w:footer="0" w:header="0"/>
          <w:type w:val="continuous"/>
        </w:sectPr>
      </w:pPr>
    </w:p>
    <w:p>
      <w:pPr>
        <w:spacing w:after="0" w:line="8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p>
      <w:pPr>
        <w:spacing w:after="0" w:line="122" w:lineRule="exact"/>
        <w:rPr>
          <w:sz w:val="24"/>
          <w:szCs w:val="24"/>
          <w:color w:val="auto"/>
        </w:rPr>
      </w:pPr>
    </w:p>
    <w:p>
      <w:pPr>
        <w:sectPr>
          <w:pgSz w:w="11900" w:h="16838" w:orient="portrait"/>
          <w:cols w:equalWidth="0" w:num="3">
            <w:col w:w="6690" w:space="120"/>
            <w:col w:w="420" w:space="480"/>
            <w:col w:w="2520"/>
          </w:cols>
          <w:pgMar w:left="830" w:top="846" w:right="839" w:bottom="1440" w:gutter="0" w:footer="0" w:header="0"/>
          <w:type w:val="continuous"/>
        </w:sect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(i.e. excluding shares held by executive officers, directors, and control persons as defined in Rule 405, 17 CFR 230.405) on June 24, 2022 (which was the last trading day of the registrant’s second quarter in the fiscal year ended December 31, 2022) was $3,910,464,544 computed at the closing price of $67.35 on that date.</w:t>
      </w:r>
    </w:p>
    <w:p>
      <w:pPr>
        <w:spacing w:after="0" w:line="6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As of February 4, 2023, 61,627,626 shares of the registrant’s common stock, $1 par value, were outstanding.</w:t>
      </w:r>
    </w:p>
    <w:p>
      <w:pPr>
        <w:spacing w:after="0" w:line="12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27" w:lineRule="exact"/>
        <w:rPr>
          <w:sz w:val="24"/>
          <w:szCs w:val="24"/>
          <w:color w:val="auto"/>
        </w:rPr>
      </w:pPr>
    </w:p>
    <w:p>
      <w:pPr>
        <w:ind w:left="530" w:right="20" w:hanging="327"/>
        <w:spacing w:after="0" w:line="298" w:lineRule="auto"/>
        <w:tabs>
          <w:tab w:leader="none" w:pos="53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the registrant’s Annual Report to Shareholders for the fiscal year ended December 31, 2022 are incorporated by reference into Part I and II of this Report.</w:t>
      </w:r>
    </w:p>
    <w:p>
      <w:pPr>
        <w:spacing w:after="0" w:line="56" w:lineRule="exact"/>
        <w:rPr>
          <w:rFonts w:ascii="Times New Roman" w:cs="Times New Roman" w:eastAsia="Times New Roman" w:hAnsi="Times New Roman"/>
          <w:sz w:val="16"/>
          <w:szCs w:val="16"/>
          <w:color w:val="auto"/>
        </w:rPr>
      </w:pPr>
    </w:p>
    <w:p>
      <w:pPr>
        <w:ind w:left="530" w:right="20" w:hanging="327"/>
        <w:spacing w:after="0" w:line="269" w:lineRule="auto"/>
        <w:tabs>
          <w:tab w:leader="none" w:pos="53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the registrant’s Proxy Statement for its 2023 Annual Meeting of Shareholders are incorporated by reference into Part III of this Report.</w:t>
      </w:r>
    </w:p>
    <w:p>
      <w:pPr>
        <w:jc w:val="center"/>
        <w:ind w:right="-9"/>
        <w:spacing w:after="0"/>
        <w:rPr>
          <w:sz w:val="20"/>
          <w:szCs w:val="20"/>
          <w:color w:val="auto"/>
        </w:rPr>
      </w:pPr>
      <w:r>
        <w:rPr>
          <w:rFonts w:ascii="Times New Roman" w:cs="Times New Roman" w:eastAsia="Times New Roman" w:hAnsi="Times New Roman"/>
          <w:sz w:val="16"/>
          <w:szCs w:val="16"/>
          <w:color w:val="auto"/>
        </w:rPr>
        <w:t>Exhibit Index located on page E-18.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572770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153035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195580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846"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20"/>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540" w:type="dxa"/>
            <w:vAlign w:val="bottom"/>
            <w:gridSpan w:val="20"/>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540" w:type="dxa"/>
            <w:vAlign w:val="bottom"/>
            <w:gridSpan w:val="20"/>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14"/>
          </w:tcPr>
          <w:p>
            <w:pPr>
              <w:jc w:val="center"/>
              <w:ind w:right="366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4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33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2"/>
          </w:tcPr>
          <w:p>
            <w:pPr>
              <w:spacing w:after="0"/>
              <w:rPr>
                <w:sz w:val="24"/>
                <w:szCs w:val="24"/>
                <w:color w:val="auto"/>
              </w:rPr>
            </w:pPr>
          </w:p>
        </w:tc>
        <w:tc>
          <w:tcPr>
            <w:tcW w:w="3700" w:type="dxa"/>
            <w:vAlign w:val="bottom"/>
            <w:gridSpan w:val="11"/>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4"/>
              </w:rPr>
              <w:t>Item 1A.</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1B.</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Additional item: Executive Officers of the Registrant.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66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76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 Equity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Securities.</w:t>
            </w:r>
          </w:p>
        </w:tc>
        <w:tc>
          <w:tcPr>
            <w:tcW w:w="6840" w:type="dxa"/>
            <w:vAlign w:val="bottom"/>
            <w:gridSpan w:val="25"/>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4"/>
              </w:rPr>
              <w:t>Item 7A.</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4"/>
              </w:rPr>
              <w:t>Item 9A.</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9B.</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362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240" w:type="dxa"/>
            <w:vAlign w:val="bottom"/>
          </w:tcPr>
          <w:p>
            <w:pPr>
              <w:spacing w:after="0"/>
              <w:rPr>
                <w:sz w:val="24"/>
                <w:szCs w:val="24"/>
                <w:color w:val="auto"/>
              </w:rPr>
            </w:pPr>
          </w:p>
        </w:tc>
        <w:tc>
          <w:tcPr>
            <w:tcW w:w="76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 Matters.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2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16"/>
          </w:tcPr>
          <w:p>
            <w:pPr>
              <w:jc w:val="center"/>
              <w:ind w:right="364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4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240" w:type="dxa"/>
            <w:vAlign w:val="bottom"/>
          </w:tcPr>
          <w:p>
            <w:pPr>
              <w:spacing w:after="0"/>
              <w:rPr>
                <w:sz w:val="24"/>
                <w:szCs w:val="24"/>
                <w:color w:val="auto"/>
              </w:rPr>
            </w:pPr>
          </w:p>
        </w:tc>
        <w:tc>
          <w:tcPr>
            <w:tcW w:w="3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700" w:type="dxa"/>
            <w:vAlign w:val="bottom"/>
            <w:tcBorders>
              <w:top w:val="single" w:sz="8" w:color="0000EE"/>
            </w:tcBorders>
            <w:gridSpan w:val="6"/>
          </w:tcPr>
          <w:p>
            <w:pPr>
              <w:spacing w:after="0"/>
              <w:rPr>
                <w:sz w:val="24"/>
                <w:szCs w:val="24"/>
                <w:color w:val="auto"/>
              </w:rPr>
            </w:pPr>
          </w:p>
        </w:tc>
        <w:tc>
          <w:tcPr>
            <w:tcW w:w="36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898"/>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Borders>
              <w:top w:val="single" w:sz="8" w:color="0000EE"/>
            </w:tcBorders>
            <w:gridSpan w:val="9"/>
          </w:tcPr>
          <w:p>
            <w:pPr>
              <w:spacing w:after="0"/>
              <w:rPr>
                <w:sz w:val="24"/>
                <w:szCs w:val="24"/>
                <w:color w:val="auto"/>
              </w:rPr>
            </w:pPr>
          </w:p>
        </w:tc>
        <w:tc>
          <w:tcPr>
            <w:tcW w:w="980" w:type="dxa"/>
            <w:vAlign w:val="bottom"/>
            <w:gridSpan w:val="7"/>
          </w:tcPr>
          <w:p>
            <w:pPr>
              <w:jc w:val="center"/>
              <w:ind w:left="290"/>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General Development of the Business.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UFP Industries, Inc. (“we” or “our”) is a holding company with subsidiaries throughout North America, Europe, Asia, and Australia that supply products primarily manufactured from wood, wood and non-wood composites, and other materials to three markets: retail, packaging, and construction. We are headquartered in Grand Rapids, Michigan. For more information about UFP Industries, Inc., or our affiliated operations, go to www.ufpi.com.</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Information relating to current developments in our business is incorporated by reference from our Annual Report to Shareholders for the fiscal year ended December 31, 2022 ("2022 Annual Report") under the caption "Management’s Discussion and Analysis of Financial Condition and Results of Operations." Selected portions of the 2022 Annual Report are filed as Exhibit 13 with this Form 10-K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 About Segments.</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7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business segments consist of UFP Retail Solutions, UFP Packaging and UFP Construction and align with the end markets we serve. Among other things, this structure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referred to as “All Other” throughout this report. The Corporate segment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Corporate. Inter-company lease and services charges are assessed to our operating segments for the use of these assets and services at fair market value rates.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Narrative Description of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Historically, we owned and operated a number of manufacturing facilities across North America that served our various markets, and we managed those operations primarily on a geographic basis. As part of that structure, the managers of those facilities and geographic business units were responsible for and compensated on the basis of each facility's, unit's, and region's respective financial performance. This structure fostered a strong entrepreneurial and sales culture, as well as significant revenue growth – from 2011 to 2019 our revenues increased from $1.8 billion to $4.4 billion. We believe that the duration of our relationships with many of our customers, which extend over several decades with certain key customers, is a reflection of our strong sales culture and intense focus on providing custom solutions.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3" w:name="page4"/>
    <w:bookmarkEnd w:id="3"/>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growth, including the growth in the size and number of our customers, generated increased demand for a deeper understanding of the markets we serve as well as the need to offer more complete solutions, services, and products for existing and prospective customers. As a result, effective January 1, 2020, we restructured the manner in which we manage our business and serve our customers, prompting the formation of three business segments: Retail Solutions, Packaging, and Construction. This restructuring, focused on our markets, is intended to allow us to better serve our customers, recognize and exploit market opportunities, enhance the efficiency of our operations, and improve the deployment of capital. At the same time, we continue to maintain our existing compensation philosophy and practices of rewarding the financial performance of our plants, business units, and segments, based upon pre-bonus operating profits and return on investment, to preserve our strong entrepreneurial and sales culture.</w:t>
      </w:r>
    </w:p>
    <w:p>
      <w:pPr>
        <w:spacing w:after="0" w:line="188"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Our business segments are functionally interdependent and are supported by common corporate services, such as accounting and finance, information technology, human resources, legal and compliance, and others. We regularly invest in automation and create best practices to improve the efficiency of our manufacturing facilities across each of the segments. The results and improvements from these investments are shared among the segments. This exchange of improvements and ideas has also prompted better and faster innovation for new products, processes, and product improvements.</w:t>
      </w:r>
    </w:p>
    <w:p>
      <w:pPr>
        <w:spacing w:after="0" w:line="1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Importantly, the restructuring allows us to better evaluate market conditions and opportunities and more effectively allocate capital and resources to the appropriate segments and business units. Also, we believe that the diversification and manner in which we operate our business provides an inherent hedge against the inevitable business cycles that our markets experience and over which we have little control. Accordingly, our goal is to provide more stable earnings and cash flows to our shareholders. Our diversification and operating practices also mitigate the impact of more volatile lumber market conditions experienced by traditional lumber companies.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u w:val="single" w:color="auto"/>
          <w:color w:val="auto"/>
        </w:rPr>
        <w:t>Retail Solutions segment</w:t>
      </w:r>
      <w:r>
        <w:rPr>
          <w:rFonts w:ascii="Times New Roman" w:cs="Times New Roman" w:eastAsia="Times New Roman" w:hAnsi="Times New Roman"/>
          <w:sz w:val="18"/>
          <w:szCs w:val="18"/>
          <w:color w:val="auto"/>
        </w:rPr>
        <w:t>. Our Retail Solutions segment is comprised of the following business units: ProWood, Sunbelt, Deckorators and UFP-Edge. The Retail Solutions segment is focused on distinct product offerings which are grouped by brands and business units. These groupings may change periodically as opportunities to gain efficiencies or development of bigger scale and synergy products are created.</w:t>
      </w:r>
    </w:p>
    <w:p>
      <w:pPr>
        <w:spacing w:after="0" w:line="17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ProWood and Sunbelt</w:t>
      </w:r>
      <w:r>
        <w:rPr>
          <w:rFonts w:ascii="Times New Roman" w:cs="Times New Roman" w:eastAsia="Times New Roman" w:hAnsi="Times New Roman"/>
          <w:sz w:val="18"/>
          <w:szCs w:val="18"/>
          <w:color w:val="auto"/>
        </w:rPr>
        <w:t>. Our ProWood and Sunbelt business units manufacture and sell treated lumber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decking, fencing, lattice and similar products, as well as decorative and functional lawn and garden products. These business units include our branded ProWood line of pressure-treated and fire retardant products used primarily for outdoor decking environments, including associated accessories. It also includes our branded Outdoor Essentials line of lawn and garden products, consisting of wood and vinyl fencing options, garden beds and planters, pergolas, picnic tables, and other landscaping products. These business units also manufacture and sell commodity based lumber primarily to independent, retail lumber yards.</w:t>
      </w:r>
    </w:p>
    <w:p>
      <w:pPr>
        <w:spacing w:after="0" w:line="183"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Deckorators</w:t>
      </w:r>
      <w:r>
        <w:rPr>
          <w:rFonts w:ascii="Times New Roman" w:cs="Times New Roman" w:eastAsia="Times New Roman" w:hAnsi="Times New Roman"/>
          <w:sz w:val="18"/>
          <w:szCs w:val="18"/>
          <w:color w:val="auto"/>
        </w:rPr>
        <w:t>. This business unit includes the manufacture of wood plastic composite and our patented mineral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composite decking and related decking accessories, including non-wood railing systems, balusters, post caps, and similar products, as well as customized, non-wood fencing.</w:t>
      </w:r>
    </w:p>
    <w:p>
      <w:pPr>
        <w:spacing w:after="0" w:line="17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UFP-Edge</w:t>
      </w:r>
      <w:r>
        <w:rPr>
          <w:rFonts w:ascii="Times New Roman" w:cs="Times New Roman" w:eastAsia="Times New Roman" w:hAnsi="Times New Roman"/>
          <w:sz w:val="18"/>
          <w:szCs w:val="18"/>
          <w:color w:val="auto"/>
        </w:rPr>
        <w:t>. This business unit manufactures and sells exterior siding, pattern, trim and facia products.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include traditional wood, engineered wood and modified wood siding with a variety of finish and profile alternatives as well as primed wood trim boards and facia. It also includes interior pattern and trim products, as well as pre-painted and primed shiplap and project boards.</w:t>
      </w:r>
    </w:p>
    <w:p>
      <w:pPr>
        <w:spacing w:after="0" w:line="18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not aware of any competitor that currently manufactures, treats and distributes a full line of both value-added and commodity-based products on a national basis as we do within this segment. We face competition on individual products from several different producers; however, the majority of these competitors tend to be regional in their efforts and/or do not offer the full line of products that are available from us. We believe the breadth of our product offering, scale and geographic dispersion, proximity of our plants to core customers, product innovation initiatives, purchasing and manufacturing expertise, and service capabilities provide competitive advantages in this market. We estimate we produce approximately 28% of all residential treated wood, 5-6% of all composite decking and accessories, and 9% of all wood and vinyl fencing in the United States.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supply customers in this segment from many of our locations. Our facilities are able to supply mixed truckloads of products that can be delivered to customers with rapid turnaround from receipt of an order. Freight costs are a factor in the ability to competitively service this market, especially with treated wood products because of their heavier weight. The proximity of our regional facilities to the various outlets of these customers is a factor when developing and establishing annual sales programs. This segment services two of our largest customers, The Home Depot and Lowes, which accounted for approximately 15% and 11%, respectively, of our total net sales in fiscal 2022, 16% and 10%, respectively, in 2021, and 24% and 4%, respectively, in 2020.</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 M "Segment Reporting" of the registrant's Annual Report to Shareholders for the fiscal year ended December 31, 2022 for our disaggregated net sales by business unit for our Retail Solutions segment.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Packaging segment</w:t>
      </w:r>
      <w:r>
        <w:rPr>
          <w:rFonts w:ascii="Times New Roman" w:cs="Times New Roman" w:eastAsia="Times New Roman" w:hAnsi="Times New Roman"/>
          <w:sz w:val="18"/>
          <w:szCs w:val="18"/>
          <w:color w:val="auto"/>
        </w:rPr>
        <w:t>. Formerly known as our Industrial segment, this segment is comprised of the following business units: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Structural Packaging, PalletOne, and Protective Packaging Solutions.</w:t>
      </w:r>
    </w:p>
    <w:p>
      <w:pPr>
        <w:spacing w:after="0" w:line="20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Structural Packaging</w:t>
      </w:r>
      <w:r>
        <w:rPr>
          <w:rFonts w:ascii="Times New Roman" w:cs="Times New Roman" w:eastAsia="Times New Roman" w:hAnsi="Times New Roman"/>
          <w:sz w:val="18"/>
          <w:szCs w:val="18"/>
          <w:color w:val="auto"/>
        </w:rPr>
        <w:t>. This business unit designs, engineers, manufactures and tests custom packaging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made of wood. These products are custom designed and manufactured based upon specific customer needs and requirements. We serve a wide variety of regional, national, and global customers in several end markets (also referred to by us as "runways") such as durable goods, household goods, agricultural, moving and storage, heavy equipment and automotive. We utilize combinations of various materials through industrial engineering and testing to promote the best value and functionality for our customers.</w:t>
      </w:r>
    </w:p>
    <w:p>
      <w:pPr>
        <w:spacing w:after="0" w:line="18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PalletOne</w:t>
      </w:r>
      <w:r>
        <w:rPr>
          <w:rFonts w:ascii="Times New Roman" w:cs="Times New Roman" w:eastAsia="Times New Roman" w:hAnsi="Times New Roman"/>
          <w:sz w:val="18"/>
          <w:szCs w:val="18"/>
          <w:color w:val="auto"/>
        </w:rPr>
        <w:t>. This business unit designs and manufactures pallets primarily made out of wood and heat-treated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wood. Our pallets are designed and manufactured in numerous sizes and compositions and are used by our customers for shipping a wide assortment of consumer and industrial products. This business unit also includes a large recycling operation of previously used pallets.</w:t>
      </w:r>
    </w:p>
    <w:p>
      <w:pPr>
        <w:spacing w:after="0" w:line="18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Protective Packaging Solutions</w:t>
      </w:r>
      <w:r>
        <w:rPr>
          <w:rFonts w:ascii="Times New Roman" w:cs="Times New Roman" w:eastAsia="Times New Roman" w:hAnsi="Times New Roman"/>
          <w:sz w:val="18"/>
          <w:szCs w:val="18"/>
          <w:color w:val="auto"/>
        </w:rPr>
        <w:t>. This business unit consists of a wide variety of products and solutions,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corrugate, foam, labels, strapping and films. These products are primarily sold as additional offerings to our structural packaging products and pallets and are generally sold as a means of providing a more complete solution to our customers' packaging desires and requirements. Over the last five years, we have added additional products and services to this business unit to meet the increasing demand of our customers to provide innovative solutions to their packaging and shipping needs.</w:t>
      </w:r>
    </w:p>
    <w:p>
      <w:pPr>
        <w:spacing w:after="0" w:line="184"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Competition in our structural packaging and PalletOne business units is fragmented and includes numerous suppliers of wood components convenient to the customer. We service this segment with our dedicated regional and national sales teams. We believe we currently supply approximately 15% of all domestic customized structural packaging and have a</w:t>
      </w:r>
    </w:p>
    <w:p>
      <w:pPr>
        <w:spacing w:after="0" w:line="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10% market share of new machine-built wood pallets. Our Protective Packaging business unit includes recent acquisitions: Advantage Label, Titan Corrugated, and All Boxed Up. We plan to continue to acquire companies with capabilities and product expertise that enhance our ability to offer valuable packaging solutions to our customers.</w:t>
      </w:r>
    </w:p>
    <w:p>
      <w:pPr>
        <w:spacing w:after="0" w:line="18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 M "Segment Reporting" of the registrant's Annual Report to Shareholders for the fiscal year ended December 31, 2022 for our disaggregated net sales by business unit for our Packaging segment.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u w:val="single" w:color="auto"/>
          <w:color w:val="auto"/>
        </w:rPr>
        <w:t>Construction segment.</w:t>
      </w:r>
      <w:r>
        <w:rPr>
          <w:rFonts w:ascii="Times New Roman" w:cs="Times New Roman" w:eastAsia="Times New Roman" w:hAnsi="Times New Roman"/>
          <w:sz w:val="18"/>
          <w:szCs w:val="18"/>
          <w:color w:val="auto"/>
        </w:rPr>
        <w:t xml:space="preserve"> Our construction segment is comprised of the following business units – Factory-Built Housing, Site-Built Construction, Commercial Construction, and Concrete Forming.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Factory-Built Housing</w:t>
      </w:r>
      <w:r>
        <w:rPr>
          <w:rFonts w:ascii="Times New Roman" w:cs="Times New Roman" w:eastAsia="Times New Roman" w:hAnsi="Times New Roman"/>
          <w:sz w:val="18"/>
          <w:szCs w:val="18"/>
          <w:color w:val="auto"/>
        </w:rPr>
        <w:t>. This business unit designs and manufactures roof trusses, lumber cut and shaped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specification, plywood, oriented strand board and dimensional lumber, all intended for use in the construction of manufactured housing. Our customers in this market are producers of mobile, modular and prefabricated homes and, to a lesser extent, recreational vehicles (RV). Our principal competitive advantages include our product knowledge, the strength of our engineering support services, the proximity of our regional facilities to our customers, our purchasing and manufacturing expertise and our ability to provide national sales programs to certain customers. As a result of these advantages, we estimate we produce approximately 45% of all roof trusses used in factory-built housing in the United States. We also distribute products such as siding, electrical, plumbing, and many other specialty products to factory-built housing and RV customers.</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Site-Built Construction</w:t>
      </w:r>
      <w:r>
        <w:rPr>
          <w:rFonts w:ascii="Times New Roman" w:cs="Times New Roman" w:eastAsia="Times New Roman" w:hAnsi="Times New Roman"/>
          <w:sz w:val="18"/>
          <w:szCs w:val="18"/>
          <w:color w:val="auto"/>
        </w:rPr>
        <w:t>. This business unit designs and manufactures roof and floor trusses, wall panels, I-joists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lumber packages as well as engineered wood components used to frame residential and light commercial projects. We have recently begun to manufacture and sell alternate materials components such as metal trusses, sheathed and pre-finished light gauge metal wall panels and aluminum decks and rail accessories. Our customers in this market are primarily large-volume, multi-tract builders and smaller volume custom builders. We also supply builders engaged in multi-family and light commercial construction. We currently estimate that approximately 75% of the unit's business is for single-family homes while 25% is for multi-family structures.</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Competition consists of a number of national and regional building products dealers who also manufacture components and/or provide framing services, as well as many regional manufacturers of engineered wood components. We believe our primary competitive advantages relate to the engineering and design capabilities of our staff, purchasing and manufacturing expertise, product quality, timeliness of delivery, and financial strength, as well as providing a comprehensive turn-key package, including installation in selected markets. As a result of these strengths, we estimate we produce approximately 6% of all engineered wood components used in housing in the United States. Generally, terms of sale and pricing are determined based on contracts we entered into with our customers. We currently supply customers in these markets from manufacturing facilities located in many different states, primarily located in the non-urban Northeast, mid-Atlantic, Southeast, Texas, and Colorado. We have intentionally avoided markets that have experienced more severe volatility and demand for housing. Also, the states in which we have a presence are currently benefiting from recent population migration trends in the United States. Freight costs are a factor in the ability to competitively service this market due to the space requirements of these products on each truckload. We also provide framing services for builders in certain regional markets in which we erect the wood structure.</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Commercial Construction</w:t>
      </w:r>
      <w:r>
        <w:rPr>
          <w:rFonts w:ascii="Times New Roman" w:cs="Times New Roman" w:eastAsia="Times New Roman" w:hAnsi="Times New Roman"/>
          <w:sz w:val="18"/>
          <w:szCs w:val="18"/>
          <w:color w:val="auto"/>
        </w:rPr>
        <w:t>. Our commercial construction business unit primarily includes the operations of idX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("idX"). idX is a designer, manufacturer and installer of highly customized interior fixtures, casework and millwork used in a variety of retail and commercial structures representing several end markets. This business unit serves customers throughout North America and to a lesser extent, Asia, in runways such as healthcare, hospitality, quick service restaurants, retail, and financial. We believe that we have a market share of approximately 3% of the total domestic and architectural millwork market.</w:t>
      </w:r>
    </w:p>
    <w:p>
      <w:pPr>
        <w:spacing w:after="0" w:line="18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Concrete Forming</w:t>
      </w:r>
      <w:r>
        <w:rPr>
          <w:rFonts w:ascii="Times New Roman" w:cs="Times New Roman" w:eastAsia="Times New Roman" w:hAnsi="Times New Roman"/>
          <w:sz w:val="18"/>
          <w:szCs w:val="18"/>
          <w:color w:val="auto"/>
        </w:rPr>
        <w:t>. This business unit designs, manufactures and supplies wood forms and related products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used by our customers to set or form concrete for various structures, including large parking garages, stadiums, bridges, water treatment plants, and other large infrastructure projects. Our customers in this business unit include general contractors as well as distributors.</w:t>
      </w:r>
    </w:p>
    <w:p>
      <w:pPr>
        <w:spacing w:after="0" w:line="18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 M "Segment Reporting" of the registrant's Annual Report to Shareholders for the fiscal year ended December 31, 2022 for our disaggregated net sales by business unit for our Construction segment.</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u w:val="single" w:color="auto"/>
          <w:color w:val="auto"/>
        </w:rPr>
        <w:t>UFP Purchasing/Suppliers</w:t>
      </w:r>
      <w:r>
        <w:rPr>
          <w:rFonts w:ascii="Times New Roman" w:cs="Times New Roman" w:eastAsia="Times New Roman" w:hAnsi="Times New Roman"/>
          <w:sz w:val="18"/>
          <w:szCs w:val="18"/>
          <w:color w:val="auto"/>
        </w:rPr>
        <w:t>. We are one of the largest domestic buyers of solid sawn softwood lumber from primary producers (lumber mills). For 2022, we estimate that we purchased approximately 7% of the 53 billion board feet of North America softwood production. Our purchasing team manages and purchases wood fiber for each of our segments. The significance of our volume and variety of lumber dimensions purchased allows us to consume substantially all of what many of our mill suppliers produce. This has allowed us to maintain long-term relationships with many of those suppliers. In turn, this has allowed us to better manage our raw materials inventory (including managed inventory), lower our costs, and mitigate the volatility of lumber prices.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6" w:name="page7"/>
    <w:bookmarkEnd w:id="6"/>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use primarily southern yellow pine in our pressure-treating operations and site-built component plants in the Southeastern United States. Southern yellow pine is sourced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 spruce. During 2022 our annual purchases of lumber totaled approximately $3.0 billion and consisted of the following species and their respective percent of total lumber purchases: southern yellow pine (60%), spruce-pine-fir (19%), and douglas fir (4%), while the remaining 17% of lumber purchases comprise various other species and imports outside of North America. Additionally, we purchased approximately $911.2 million in plywood in 2022. There are numerous primary producers for all varieties we use, and we are not dependent on any particular source of supply.</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We own numerous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u w:val="single" w:color="auto"/>
          <w:color w:val="auto"/>
        </w:rPr>
        <w:t>Backlog</w:t>
      </w:r>
      <w:r>
        <w:rPr>
          <w:rFonts w:ascii="Times New Roman" w:cs="Times New Roman" w:eastAsia="Times New Roman" w:hAnsi="Times New Roman"/>
          <w:sz w:val="18"/>
          <w:szCs w:val="18"/>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December 31, 2022 and December 25, 2021, we estimate that backlog orders associated with our customized interior fixture businesses approximated $136.7 million and $84.6 million,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31, 2022 and December 25, 2021, we estimate that backlog orders associated with our site-built construction businesses approximated $91.1 million and $113.5 million, respectively. We expect that the orders above will be primarily filled within the next fiscal year; however, it is possible that some orders could be canceled.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Information required for environmental disclosures is incorporated by reference from Note L of the Consolidated Financial Statements presented under Item 8 herein.</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Seasonality</w:t>
      </w:r>
      <w:r>
        <w:rPr>
          <w:rFonts w:ascii="Times New Roman" w:cs="Times New Roman" w:eastAsia="Times New Roman" w:hAnsi="Times New Roman"/>
          <w:sz w:val="18"/>
          <w:szCs w:val="18"/>
          <w:color w:val="auto"/>
        </w:rPr>
        <w:t>. Information required for seasonality disclosures is incorporated by reference from Item 1A. Risk Factors under the caption “</w:t>
      </w:r>
      <w:r>
        <w:rPr>
          <w:rFonts w:ascii="Times New Roman" w:cs="Times New Roman" w:eastAsia="Times New Roman" w:hAnsi="Times New Roman"/>
          <w:sz w:val="18"/>
          <w:szCs w:val="18"/>
          <w:i w:val="1"/>
          <w:iCs w:val="1"/>
          <w:color w:val="auto"/>
        </w:rPr>
        <w:t>Seasonality and weather conditions could adversely affect 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Human Capital Management</w:t>
      </w:r>
      <w:r>
        <w:rPr>
          <w:rFonts w:ascii="Times New Roman" w:cs="Times New Roman" w:eastAsia="Times New Roman" w:hAnsi="Times New Roman"/>
          <w:sz w:val="18"/>
          <w:szCs w:val="18"/>
          <w:color w:val="auto"/>
        </w:rPr>
        <w:t>. On December 31, 2022, we had approximately 15,500 employees. For over 65 years, the success of our company has rested on the skill, motivation and performance of our employees. We treat our people honestly and fairly, creating career paths and training opportunities to develop and expand their scope of responsibilities and financial rewards. This approach to human capital, which is embedded in the Company's culture, has fostered an environment where our employees often commit their respective careers to UFP Industries, Inc.</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u w:val="single" w:color="auto"/>
          <w:color w:val="auto"/>
        </w:rPr>
        <w:t>Environmental, Social, and Governance</w:t>
      </w:r>
      <w:r>
        <w:rPr>
          <w:rFonts w:ascii="Times New Roman" w:cs="Times New Roman" w:eastAsia="Times New Roman" w:hAnsi="Times New Roman"/>
          <w:sz w:val="18"/>
          <w:szCs w:val="18"/>
          <w:color w:val="auto"/>
        </w:rPr>
        <w:t>. Matters of sustainability, health and safety, employee welfare, supply chain management, and community engagement are managed by our executive team, with oversight from our Nominating and Corporate Governance, and Personnel and Compensation Committees. We will share our ESG Report in March of 2023, by publishing on our website, in which we will detail our current state as well as our future outlook.</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manufacturing operations have a long history of environmental stewardship through efficiency and energy savings, waste management, and responsible product sourcing. We quantify our Scope 1 and Scope 2 greenhouse gas (GHG) emissions and are committed to disclosing our Scope 1 and Scope 2 GHG emissions in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driven by operational excellence throughout the enterprise and by cultivating a unique culture that provides significant opportunity for professional and personal growth. In managing our human capital, we have focused our efforts on employee health and safety, equal opportunity for all, and learning and development.</w:t>
      </w:r>
    </w:p>
    <w:p>
      <w:pPr>
        <w:spacing w:after="0" w:line="176"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At UFP we welcome all who are willing to work hard. We do not discriminate in hiring, promotion, or opportunity – we believe the best performers should be rewarded commensurately. We prefer hiring people with potential and helping them grow and achieve their goals within our company. To provide opportunity to a broader base of our teammates we removed the requirement of a 4-year degree for sales and management positions and give credit for work experience. We use our internal training programs and UFP Business School to help employees gain functional knowledge and hone the skills and competencies that allow them advancement to greater roles and responsibilities.</w:t>
      </w:r>
    </w:p>
    <w:p>
      <w:pPr>
        <w:spacing w:after="0" w:line="18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We have a long history of supporting talented and hard-working employees go from factory floor to management, sales and operations roles. These transformations require diligence and dedication, and they demonstrate that regardless of background, our teammates at UFP have a chance to make a better life for themselves and their families. We also recognize the need to hire talented individuals from outside the company who bring special expertise and innovative skills to UFP.</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Reports to Security 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Enforceability of Civil Liabilities Against Foreign Persons.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Pressures from various macroeconomic events, including recessionary concerns, heightened inflation, increased interest rates, rising energy prices, supply chain disruptions, and repercussions from the Russia-Ukraine war, have created, and continue to create, significant economic uncertainty and could materially and adversely impact our financial performance. </w:t>
      </w:r>
      <w:r>
        <w:rPr>
          <w:rFonts w:ascii="Times New Roman" w:cs="Times New Roman" w:eastAsia="Times New Roman" w:hAnsi="Times New Roman"/>
          <w:sz w:val="18"/>
          <w:szCs w:val="18"/>
          <w:color w:val="auto"/>
        </w:rPr>
        <w:t>The extent to which these macroeconomic pressures may impact our business,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costs and financial condition will depend on future developments, which continue to be highly uncertain and difficult to predict. While we have planned for and anticipate a mild U.S. recession in 2023, any one or more of the above macroeconomic factors could result in a more severe and longer recessionary cycle, which would have an adverse and potentially material impact on our business and financial performance.</w:t>
      </w:r>
    </w:p>
    <w:p>
      <w:pPr>
        <w:spacing w:after="0" w:line="185"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a significant change in the value of the U.S. dollar and our results of operations may be harmed by currency fluctuations and inflation. </w:t>
      </w:r>
      <w:r>
        <w:rPr>
          <w:rFonts w:ascii="Times New Roman" w:cs="Times New Roman" w:eastAsia="Times New Roman" w:hAnsi="Times New Roman"/>
          <w:sz w:val="18"/>
          <w:szCs w:val="18"/>
          <w:color w:val="auto"/>
        </w:rPr>
        <w:t>We purchase a variety of raw materials and finished goods from sources around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 and export certain products. The impact of a change in U.S. dollar exchange rates, and inflation, would impact our import purchases and export sales, which totaled $761.1 million and $323.9 million, respectively, in 2022. In addition, many of our packaging customers export their products; consequently, any adverse impact on those customers from currency fluctuations and inflation may have an adverse impact on our sales to those customers.</w:t>
      </w:r>
    </w:p>
    <w:p>
      <w:pPr>
        <w:spacing w:after="0" w:line="18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growth may be limited by the customer demand in the markets we serve, including our construction market which is highly cyclical. </w:t>
      </w:r>
      <w:r>
        <w:rPr>
          <w:rFonts w:ascii="Times New Roman" w:cs="Times New Roman" w:eastAsia="Times New Roman" w:hAnsi="Times New Roman"/>
          <w:sz w:val="18"/>
          <w:szCs w:val="18"/>
          <w:color w:val="auto"/>
        </w:rPr>
        <w:t>Our sales growth is dependent, in part, upon the growth of the markets we serve. If our markets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anticipated growth, or if we fail to maintain our market share, financial results could be impaired.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fluctuations in the price of lumber</w:t>
      </w:r>
      <w:r>
        <w:rPr>
          <w:rFonts w:ascii="Times New Roman" w:cs="Times New Roman" w:eastAsia="Times New Roman" w:hAnsi="Times New Roman"/>
          <w:sz w:val="18"/>
          <w:szCs w:val="18"/>
          <w:color w:val="auto"/>
        </w:rPr>
        <w:t>. We experience significant fluctuations in the cost of commodity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lumber products from primary 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10-K. Our lumber costs, including plywood, as a percentage of net sales were 49.6%, 47.7%, and 51.0% in 2022, 2021, and 2020, respectively.</w:t>
      </w:r>
    </w:p>
    <w:p>
      <w:pPr>
        <w:spacing w:after="0" w:line="18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are concentrated with two customers</w:t>
      </w:r>
      <w:r>
        <w:rPr>
          <w:rFonts w:ascii="Times New Roman" w:cs="Times New Roman" w:eastAsia="Times New Roman" w:hAnsi="Times New Roman"/>
          <w:sz w:val="18"/>
          <w:szCs w:val="18"/>
          <w:color w:val="auto"/>
        </w:rPr>
        <w:t>. Our sales to The Home Depot and Lowes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15% and 11%, respectively, of our total net sales in fiscal 2022, 16% and 10%, respectively, in 2021, and 24% and 4%, respectively, in 2020.</w:t>
      </w:r>
    </w:p>
    <w:p>
      <w:pPr>
        <w:spacing w:after="0" w:line="171"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vertical integration strategies. </w:t>
      </w:r>
      <w:r>
        <w:rPr>
          <w:rFonts w:ascii="Times New Roman" w:cs="Times New Roman" w:eastAsia="Times New Roman" w:hAnsi="Times New Roman"/>
          <w:sz w:val="18"/>
          <w:szCs w:val="18"/>
          <w:color w:val="auto"/>
        </w:rPr>
        <w:t>In certain markets and product lines, our customers or vendors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pursue vertical integration strategies that could have an adverse effect on our sales. We strive to add value and be a low-cost producer while maintaining competitive pricing in each of our markets to mitigate this risk.</w:t>
      </w:r>
    </w:p>
    <w:p>
      <w:pPr>
        <w:spacing w:after="0" w:line="171"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industry capacity of products we supply. </w:t>
      </w:r>
      <w:r>
        <w:rPr>
          <w:rFonts w:ascii="Times New Roman" w:cs="Times New Roman" w:eastAsia="Times New Roman" w:hAnsi="Times New Roman"/>
          <w:sz w:val="18"/>
          <w:szCs w:val="18"/>
          <w:color w:val="auto"/>
        </w:rPr>
        <w:t>From time to time, we may experience excess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suppliers of certain products in some of the markets we serve. Our selling prices and profitability are impacted during periods of shortages or excess industry capacity relative to market demand. We may also experience limited capacity among suppliers of certain products as a result of supply chain challenges, which may impact our profitability and ability to meet sales objectives.</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growth may be limited by our ability to make successful acquisitions. </w:t>
      </w:r>
      <w:r>
        <w:rPr>
          <w:rFonts w:ascii="Times New Roman" w:cs="Times New Roman" w:eastAsia="Times New Roman" w:hAnsi="Times New Roman"/>
          <w:sz w:val="18"/>
          <w:szCs w:val="18"/>
          <w:color w:val="auto"/>
        </w:rPr>
        <w:t>A key component of our growth strategy is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 business combinations. Business combinations involve inherent risks, including assimilation and successfully managing growth. While we conduct extensive due diligence and have taken steps to ensure successful assimilation, factors beyond our control could influence the relative success of these acquisitions.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adversely affected by the impact of environmental and safety regulations. </w:t>
      </w:r>
      <w:r>
        <w:rPr>
          <w:rFonts w:ascii="Times New Roman" w:cs="Times New Roman" w:eastAsia="Times New Roman" w:hAnsi="Times New Roman"/>
          <w:sz w:val="18"/>
          <w:szCs w:val="18"/>
          <w:color w:val="auto"/>
        </w:rPr>
        <w:t>We are subject to the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Climate change - seasonality and weather conditions due to climate changes could adversely affect us</w:t>
      </w:r>
      <w:r>
        <w:rPr>
          <w:rFonts w:ascii="Times New Roman" w:cs="Times New Roman" w:eastAsia="Times New Roman" w:hAnsi="Times New Roman"/>
          <w:sz w:val="18"/>
          <w:szCs w:val="18"/>
          <w:color w:val="auto"/>
        </w:rPr>
        <w:t>. Some aspects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business are seasonal in nature and results of operations vary from 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 To the extent changes in the world’s climate have a greater impact on adverse weather conditions, we would expect more variability in our business operations and results. Climate change, which could result in more and more severe and adverse weather events, would likely create greater volatility in our financial results.</w:t>
      </w:r>
    </w:p>
    <w:p>
      <w:pPr>
        <w:spacing w:after="0" w:line="183"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Inbound and outbound transportation costs represent a significant part of our cost structure. </w:t>
      </w:r>
      <w:r>
        <w:rPr>
          <w:rFonts w:ascii="Times New Roman" w:cs="Times New Roman" w:eastAsia="Times New Roman" w:hAnsi="Times New Roman"/>
          <w:sz w:val="18"/>
          <w:szCs w:val="18"/>
          <w:color w:val="auto"/>
        </w:rPr>
        <w:t>An increase in fuel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operating expenses will significantly increase our costs. While we attempt to pass these costs along to our customers, there can be no assurance that they would agree to these price increases. Our total inbound and outbound transportation costs were approximately 7.4%, 7.3%, and 9.2% of net sales in 2022, 2021, and 2020,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 w:name="page10"/>
    <w:bookmarkEnd w:id="9"/>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alternatives may be developed to replace traditional treated wood products. </w:t>
      </w:r>
      <w:r>
        <w:rPr>
          <w:rFonts w:ascii="Times New Roman" w:cs="Times New Roman" w:eastAsia="Times New Roman" w:hAnsi="Times New Roman"/>
          <w:sz w:val="18"/>
          <w:szCs w:val="18"/>
          <w:color w:val="auto"/>
        </w:rPr>
        <w:t>The manufacturers of wood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preservatives continue to develop new 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Cybersecurity breaches and a failure in our e-commerce operations and could disrupt our business. </w:t>
      </w:r>
      <w:r>
        <w:rPr>
          <w:rFonts w:ascii="Times New Roman" w:cs="Times New Roman" w:eastAsia="Times New Roman" w:hAnsi="Times New Roman"/>
          <w:sz w:val="18"/>
          <w:szCs w:val="18"/>
          <w:color w:val="auto"/>
        </w:rPr>
        <w:t>We rely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technology systems and network products and the secure operation of these 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 Additionally, consumers are increasingly shopping online and through mobile commerce applications. As a result, we are vulnerable to additional risks and uncertainties associated with e-commerce sales, including rapid changes in technology, website downtime and other technical failures, security breaches, cyber-attacks, consumer privacy concerns, changes in state tax regimes and government regulation of internet activities. Our failure to successfully respond to these risks and uncertainties could reduce our e-commerce sales and increase our costs, which could negatively impact our results of operations. In addition, there is no guarantee that we will be able to expand our e-commerce business. Our competitors may have e-commerce businesses that are substantially larger and more developed than ours, which could place us at a competitive disadvantage.</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new tariffs and duties on U.S. imports and foreign export sales. </w:t>
      </w:r>
      <w:r>
        <w:rPr>
          <w:rFonts w:ascii="Times New Roman" w:cs="Times New Roman" w:eastAsia="Times New Roman" w:hAnsi="Times New Roman"/>
          <w:sz w:val="18"/>
          <w:szCs w:val="18"/>
          <w:color w:val="auto"/>
        </w:rPr>
        <w:t>Instability of established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 agreements may lead to raw material and finished goods price volatility. An increase in foreign tariffs on U.S. goods could curtail our export sales to other countries which was approximately $323.9 million in 2022. Increased tariffs and duties on U.S. imports will increase pricing by adding duty cost, where the duty is sustainable in light of overall unit price, or otherwise constrain supply by eliminating historical production sources by country or commodity type with unsustainable duties. Our purchases that are impacted by tariffs were approximately $761.1 million in 2022, including UFP’s U.S. import of Canadian Softwood Lumber of approximately $496.1 million, which is the largest imported commodity. In addition, there is a risk that U.S. tariffs on imports and countering tariffs on U.S. exports could trigger broader international trade conflicts that could adversely impact our business.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adversely affected by the impact of the COVID-19 (Coronavirus) pandemic and similar outbreaks. </w:t>
      </w:r>
      <w:r>
        <w:rPr>
          <w:rFonts w:ascii="Times New Roman" w:cs="Times New Roman" w:eastAsia="Times New Roman" w:hAnsi="Times New Roman"/>
          <w:sz w:val="18"/>
          <w:szCs w:val="18"/>
          <w:color w:val="auto"/>
        </w:rPr>
        <w:t>Disease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outbreaks, such as the recent COVID-19 pandemic, could have an adverse impact on the Company's operations and financial results. These outbreaks may adversely impact our business, consolidated results of operations and financial condition. Any such outbreak, as well as measures taken by governmental authorities and businesses to limit the spread of this virus, may result in an adverse change in customer demand and our sales, interfere with the ability of our employees and suppliers to perform and function in a manner consistent with targeted objectives and otherwise adversely impact the efficiency of our operations. This may cause us to materially curtail certain segments, and could have a material adverse effect on the results of our operations and cash flow.</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Adverse economic conditions and our customers’ ability to operate may impact their ability to pay. </w:t>
      </w:r>
      <w:r>
        <w:rPr>
          <w:rFonts w:ascii="Times New Roman" w:cs="Times New Roman" w:eastAsia="Times New Roman" w:hAnsi="Times New Roman"/>
          <w:sz w:val="18"/>
          <w:szCs w:val="18"/>
          <w:color w:val="auto"/>
        </w:rPr>
        <w:t>This may result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write-offs of receivables than we normally experience. We continue to monitor our customers’ business activities, payment patterns, and credit profiles carefully and make changes in our terms when necessary in response to this risk. As a result, our accounts receivable aging as of December 31, 2022 was approximately 87% current. Our bad debt expense as a percentage of sales was 0.15%, 0.01%, and 0.02%, in 2022, 2021, and 2020, respectively. During the most difficult collection period of the Great Recession, from 2008 through 2010, our bad debt expense as a percentage of sales averaged 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corporate headquarters building is located in suburban Grand Rapids, Michigan. We currently have approximately 218 facilities located throughout the United States, Canada, Mexico, Europe, Asia, and Australia. Depending upon function and location, these facilities typically utilize office, manufacturing, and indoor and outdoor storage space.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60" w:right="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property locations assigned by the primary segment the plant serves. Due to the nature of our business and historical operating strategy, many of our locations service more than one segment.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660" w:type="dxa"/>
            <w:vAlign w:val="bottom"/>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RETAIL SEGMENT</w:t>
            </w:r>
          </w:p>
        </w:tc>
        <w:tc>
          <w:tcPr>
            <w:tcW w:w="23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244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Athens, AL</w:t>
            </w:r>
          </w:p>
        </w:tc>
        <w:tc>
          <w:tcPr>
            <w:tcW w:w="2300" w:type="dxa"/>
            <w:vAlign w:val="bottom"/>
            <w:tcBorders>
              <w:top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Moultrie, GA</w:t>
            </w:r>
          </w:p>
        </w:tc>
        <w:tc>
          <w:tcPr>
            <w:tcW w:w="2380" w:type="dxa"/>
            <w:vAlign w:val="bottom"/>
            <w:tcBorders>
              <w:top w:val="single" w:sz="8" w:color="auto"/>
            </w:tcBorders>
            <w:shd w:val="clear" w:color="auto" w:fill="CCEEFF"/>
          </w:tcPr>
          <w:p>
            <w:pPr>
              <w:jc w:val="center"/>
              <w:ind w:left="46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Bonner, MT</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Ponce, PR</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Brunswick, GA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Poulsbo, WA</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Dodgeville, WI</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Prairie du Chien, WI</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Elizabeth City, NC</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Ranson, WV</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Failess Hills, PA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Ringgold, GA</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Greeneville, TN</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Rockledge, FL</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Greer, SC</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Rockwell, NC</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Hamilton, OH</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Saginaw, TX</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Hampton, VA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Schertz, TX</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Harrisonville, MO</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Selma, AL</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Hazelhurst, GA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Silsbee, TX</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Howell, MI</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Stockertown, PA</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Janesville, WI</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Tampa, FL</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Lansing, MI</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Tipton, IA</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Lockhart, FL</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Union City, GA</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Louisville, AL</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White Bear Lake, MN</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Matthews, NC</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White Pigeon, MI</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Moneta, VA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Windsor, CO</w:t>
            </w:r>
          </w:p>
        </w:tc>
        <w:tc>
          <w:tcPr>
            <w:tcW w:w="2380" w:type="dxa"/>
            <w:vAlign w:val="bottom"/>
            <w:tcBorders>
              <w:bottom w:val="single" w:sz="8" w:color="auto"/>
            </w:tcBorders>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4"/>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Mosheim, TN</w:t>
            </w:r>
          </w:p>
        </w:tc>
        <w:tc>
          <w:tcPr>
            <w:tcW w:w="230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38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9"/>
              </w:rPr>
              <w:t>46</w:t>
            </w:r>
          </w:p>
        </w:tc>
        <w:tc>
          <w:tcPr>
            <w:tcW w:w="0" w:type="dxa"/>
            <w:vAlign w:val="bottom"/>
          </w:tcPr>
          <w:p>
            <w:pPr>
              <w:spacing w:after="0"/>
              <w:rPr>
                <w:sz w:val="1"/>
                <w:szCs w:val="1"/>
                <w:color w:val="auto"/>
              </w:rPr>
            </w:pPr>
          </w:p>
        </w:tc>
      </w:tr>
      <w:tr>
        <w:trPr>
          <w:trHeight w:val="231"/>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66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PACKAGING SEGMENT</w:t>
            </w:r>
          </w:p>
        </w:tc>
        <w:tc>
          <w:tcPr>
            <w:tcW w:w="23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244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Adairsville, GA</w:t>
            </w:r>
          </w:p>
        </w:tc>
        <w:tc>
          <w:tcPr>
            <w:tcW w:w="2300" w:type="dxa"/>
            <w:vAlign w:val="bottom"/>
            <w:tcBorders>
              <w:top w:val="single" w:sz="8" w:color="auto"/>
            </w:tcBorders>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Miami, FL</w:t>
            </w:r>
          </w:p>
        </w:tc>
        <w:tc>
          <w:tcPr>
            <w:tcW w:w="2380" w:type="dxa"/>
            <w:vAlign w:val="bottom"/>
            <w:tcBorders>
              <w:top w:val="single" w:sz="8" w:color="auto"/>
            </w:tcBorders>
            <w:shd w:val="clear" w:color="auto" w:fill="CCEEFF"/>
          </w:tcPr>
          <w:p>
            <w:pPr>
              <w:jc w:val="center"/>
              <w:ind w:left="46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Ashburn, GA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Milwaukee, WI</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Auburndale, FL</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Mocksville, NC</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Barnesville, GA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Morristown, TN</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Bartow, FL</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Muscle Shoals, AL</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Biscoe, NC</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Nappanee, IN</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Blanchester, OH</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Boston, TX</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Blue Island, IL</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London, WI</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Bridgeton, MO</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Waverly, TX</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Burnsville, MN</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Newnan, GA</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Butner, NC</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Orangeburg, SC</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Chaffee, NY</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Peru, IL</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Chandler, AZ</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 Arthur, TX</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Chase City, VA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Rancho Cucamonga, CA</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Clarksville, TX</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Riverside, CA</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Dallas, TX</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Robertsdale, AL</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Eatonton, GA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Rowesville, SC</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Flower Mound, TX</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Salisbury, NC</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Franklinton, NC</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Selma, AL</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Gilmer, TX</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Shawnee, OK</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 Rapids, MI</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Shipshewana, IN</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Grandview, TX</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Siler City, NC</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Hartford, WI</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Snohomish, WA</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Hazelhurst, GA</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Thornton, CA</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Livermore Falls, ME</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Warrens, WI</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Magna, UT</w:t>
            </w:r>
          </w:p>
        </w:tc>
        <w:tc>
          <w:tcPr>
            <w:tcW w:w="230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Wenatchee, WA</w:t>
            </w:r>
          </w:p>
        </w:tc>
        <w:tc>
          <w:tcPr>
            <w:tcW w:w="238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Marietta, GA</w:t>
            </w:r>
          </w:p>
        </w:tc>
        <w:tc>
          <w:tcPr>
            <w:tcW w:w="2300" w:type="dxa"/>
            <w:vAlign w:val="bottom"/>
            <w:shd w:val="clear" w:color="auto" w:fill="CCEEFF"/>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Woodburn, OR</w:t>
            </w:r>
          </w:p>
        </w:tc>
        <w:tc>
          <w:tcPr>
            <w:tcW w:w="238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Martin, TN</w:t>
            </w:r>
          </w:p>
        </w:tc>
        <w:tc>
          <w:tcPr>
            <w:tcW w:w="2300" w:type="dxa"/>
            <w:vAlign w:val="bottom"/>
            <w:tcBorders>
              <w:bottom w:val="single" w:sz="8" w:color="CCEEFF"/>
            </w:tcBorders>
          </w:tcPr>
          <w:p>
            <w:pPr>
              <w:jc w:val="center"/>
              <w:ind w:left="4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CCEEFF"/>
            </w:tcBorders>
          </w:tcPr>
          <w:p>
            <w:pPr>
              <w:spacing w:after="0"/>
              <w:rPr>
                <w:sz w:val="12"/>
                <w:szCs w:val="12"/>
                <w:color w:val="auto"/>
              </w:rPr>
            </w:pPr>
          </w:p>
        </w:tc>
        <w:tc>
          <w:tcPr>
            <w:tcW w:w="222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Yakima, WA</w:t>
            </w:r>
          </w:p>
        </w:tc>
        <w:tc>
          <w:tcPr>
            <w:tcW w:w="2380" w:type="dxa"/>
            <w:vAlign w:val="bottom"/>
            <w:tcBorders>
              <w:bottom w:val="single" w:sz="8" w:color="auto"/>
            </w:tcBorders>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McMinnville, OR</w:t>
            </w:r>
          </w:p>
        </w:tc>
        <w:tc>
          <w:tcPr>
            <w:tcW w:w="2300" w:type="dxa"/>
            <w:vAlign w:val="bottom"/>
            <w:shd w:val="clear" w:color="auto" w:fill="CCEEFF"/>
          </w:tcPr>
          <w:p>
            <w:pPr>
              <w:jc w:val="center"/>
              <w:ind w:left="42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380" w:type="dxa"/>
            <w:vAlign w:val="bottom"/>
            <w:shd w:val="clear" w:color="auto" w:fill="CCEEFF"/>
          </w:tcPr>
          <w:p>
            <w:pPr>
              <w:jc w:val="center"/>
              <w:ind w:left="4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21" w:right="143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161"/>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CONSTRUCTION SEGMENT</w:t>
            </w:r>
          </w:p>
        </w:tc>
        <w:tc>
          <w:tcPr>
            <w:tcW w:w="21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208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14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Amsterdam, NL</w:t>
            </w:r>
          </w:p>
        </w:tc>
        <w:tc>
          <w:tcPr>
            <w:tcW w:w="2160" w:type="dxa"/>
            <w:vAlign w:val="bottom"/>
            <w:shd w:val="clear" w:color="auto" w:fill="CCEEFF"/>
          </w:tcPr>
          <w:p>
            <w:pPr>
              <w:jc w:val="center"/>
              <w:ind w:left="28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Kyle, TX</w:t>
            </w:r>
          </w:p>
        </w:tc>
        <w:tc>
          <w:tcPr>
            <w:tcW w:w="2180" w:type="dxa"/>
            <w:vAlign w:val="bottom"/>
            <w:shd w:val="clear" w:color="auto" w:fill="CCEEFF"/>
          </w:tcPr>
          <w:p>
            <w:pPr>
              <w:jc w:val="center"/>
              <w:ind w:left="26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Athena, OR</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Lafayette, CO</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Auburn, NY</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Lenoir City, TN</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Aurora, CO</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Liberty, NC</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Bangalore, India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Locust, NC</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Belchertown, MA</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Londonderry, NH</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Berlin, NJ</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Mexico City, Mexico</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Bridgeton, MO</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Minneota, MN</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Brooklyn Center, MN</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Nampa, ID</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Burlington, NC</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Naugatuck, CT</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Cedar Hill, TX</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Hartford, NY</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Chesapeake, VA</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London, NC</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Chicago, IL</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Windsor, MD</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Clinton, NC</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Ontario, CA</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Concord, ON</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Ooltewah, TN</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Conway, SC</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Parker, PA</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Cordele, GA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Pearisburg, VA</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Dayton, OH</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Plainville, MA</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Delano, PA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San Antonio, TX</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DuBois, PA</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Seattle, WA</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Edwardsburg, MI</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Shippenville, PA</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Elkhart, IN</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Sidney, NY</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Folkston, GA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Stafford, TX</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Fredericksburg, VA</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Stanfield, NC</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Gordon, PA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Swindon, Witshire</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Granger, IN</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Temple, TX</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Haleyville, AL</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Washington, NC</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Helix, OR</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Westbury, NY</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Hillsboro, TX</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Wilton, NH</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Hudson, NY</w:t>
            </w:r>
          </w:p>
        </w:tc>
        <w:tc>
          <w:tcPr>
            <w:tcW w:w="2160" w:type="dxa"/>
            <w:vAlign w:val="bottom"/>
            <w:tcBorders>
              <w:bottom w:val="single" w:sz="8" w:color="CCEEFF"/>
            </w:tcBorders>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CCEEFF"/>
            </w:tcBorders>
          </w:tcPr>
          <w:p>
            <w:pPr>
              <w:spacing w:after="0"/>
              <w:rPr>
                <w:sz w:val="12"/>
                <w:szCs w:val="12"/>
                <w:color w:val="auto"/>
              </w:rPr>
            </w:pPr>
          </w:p>
        </w:tc>
        <w:tc>
          <w:tcPr>
            <w:tcW w:w="242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Wujiang City, China</w:t>
            </w:r>
          </w:p>
        </w:tc>
        <w:tc>
          <w:tcPr>
            <w:tcW w:w="2180" w:type="dxa"/>
            <w:vAlign w:val="bottom"/>
            <w:tcBorders>
              <w:bottom w:val="single" w:sz="8" w:color="auto"/>
            </w:tcBorders>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Jefferson, GA</w:t>
            </w:r>
          </w:p>
        </w:tc>
        <w:tc>
          <w:tcPr>
            <w:tcW w:w="2160" w:type="dxa"/>
            <w:vAlign w:val="bottom"/>
            <w:shd w:val="clear" w:color="auto" w:fill="CCEEFF"/>
          </w:tcPr>
          <w:p>
            <w:pPr>
              <w:jc w:val="center"/>
              <w:ind w:left="28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180" w:type="dxa"/>
            <w:vAlign w:val="bottom"/>
            <w:shd w:val="clear" w:color="auto" w:fill="CCEEFF"/>
          </w:tcPr>
          <w:p>
            <w:pPr>
              <w:jc w:val="center"/>
              <w:ind w:left="2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66</w:t>
            </w:r>
          </w:p>
        </w:tc>
        <w:tc>
          <w:tcPr>
            <w:tcW w:w="0" w:type="dxa"/>
            <w:vAlign w:val="bottom"/>
          </w:tcPr>
          <w:p>
            <w:pPr>
              <w:spacing w:after="0"/>
              <w:rPr>
                <w:sz w:val="1"/>
                <w:szCs w:val="1"/>
                <w:color w:val="auto"/>
              </w:rPr>
            </w:pPr>
          </w:p>
        </w:tc>
      </w:tr>
      <w:tr>
        <w:trPr>
          <w:trHeight w:val="27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ALL OTHER SEGMENT</w:t>
            </w:r>
          </w:p>
        </w:tc>
        <w:tc>
          <w:tcPr>
            <w:tcW w:w="21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208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14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Apasseo el Grande, Mexico</w:t>
            </w:r>
          </w:p>
        </w:tc>
        <w:tc>
          <w:tcPr>
            <w:tcW w:w="2160" w:type="dxa"/>
            <w:vAlign w:val="bottom"/>
            <w:shd w:val="clear" w:color="auto" w:fill="CCEEFF"/>
          </w:tcPr>
          <w:p>
            <w:pPr>
              <w:jc w:val="center"/>
              <w:ind w:left="28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Gunter, India</w:t>
            </w:r>
          </w:p>
        </w:tc>
        <w:tc>
          <w:tcPr>
            <w:tcW w:w="2180" w:type="dxa"/>
            <w:vAlign w:val="bottom"/>
            <w:shd w:val="clear" w:color="auto" w:fill="CCEEFF"/>
          </w:tcPr>
          <w:p>
            <w:pPr>
              <w:jc w:val="center"/>
              <w:ind w:left="26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Attibele, Anekal Taluka</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Hyderabad, India</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Bangalore India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Kaniyur, Coimbatore, India</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Baramati, District Pune, India</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Lacolle, Quebec</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Bengaluru, India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Miami, FL</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Cambiago, Italy</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Mordialloc, Australia</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Carole Park, Australia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Nanekar Wadi, Chakan, Pune, India</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Chateauguay, Quebec</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Nuevo Leon, Mexico</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Doddaballapur, Bangalore</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 Melbourne, Australia</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Durango, Mexico</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Savli, Vadodara, India</w:t>
            </w:r>
          </w:p>
        </w:tc>
        <w:tc>
          <w:tcPr>
            <w:tcW w:w="21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Erskine Park, Australia</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Taluk, Kanchipuram District, India</w:t>
            </w:r>
          </w:p>
        </w:tc>
        <w:tc>
          <w:tcPr>
            <w:tcW w:w="2180" w:type="dxa"/>
            <w:vAlign w:val="bottom"/>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Greater Noida, India</w:t>
            </w:r>
          </w:p>
        </w:tc>
        <w:tc>
          <w:tcPr>
            <w:tcW w:w="2160" w:type="dxa"/>
            <w:vAlign w:val="bottom"/>
            <w:tcBorders>
              <w:bottom w:val="single" w:sz="8" w:color="CCEEFF"/>
            </w:tcBorders>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CCEEFF"/>
            </w:tcBorders>
          </w:tcPr>
          <w:p>
            <w:pPr>
              <w:spacing w:after="0"/>
              <w:rPr>
                <w:sz w:val="12"/>
                <w:szCs w:val="12"/>
                <w:color w:val="auto"/>
              </w:rPr>
            </w:pPr>
          </w:p>
        </w:tc>
        <w:tc>
          <w:tcPr>
            <w:tcW w:w="242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Victoria, Australia</w:t>
            </w:r>
          </w:p>
        </w:tc>
        <w:tc>
          <w:tcPr>
            <w:tcW w:w="2180" w:type="dxa"/>
            <w:vAlign w:val="bottom"/>
            <w:tcBorders>
              <w:bottom w:val="single" w:sz="8" w:color="auto"/>
            </w:tcBorders>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180" w:type="dxa"/>
            <w:vAlign w:val="bottom"/>
            <w:shd w:val="clear" w:color="auto" w:fill="CCEEFF"/>
          </w:tcPr>
          <w:p>
            <w:pPr>
              <w:jc w:val="center"/>
              <w:ind w:left="2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25</w:t>
            </w:r>
          </w:p>
        </w:tc>
        <w:tc>
          <w:tcPr>
            <w:tcW w:w="0" w:type="dxa"/>
            <w:vAlign w:val="bottom"/>
          </w:tcPr>
          <w:p>
            <w:pPr>
              <w:spacing w:after="0"/>
              <w:rPr>
                <w:sz w:val="1"/>
                <w:szCs w:val="1"/>
                <w:color w:val="auto"/>
              </w:rPr>
            </w:pPr>
          </w:p>
        </w:tc>
      </w:tr>
      <w:tr>
        <w:trPr>
          <w:trHeight w:val="272"/>
        </w:trPr>
        <w:tc>
          <w:tcPr>
            <w:tcW w:w="424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CORPORATE SEGMENT</w:t>
            </w:r>
          </w:p>
        </w:tc>
        <w:tc>
          <w:tcPr>
            <w:tcW w:w="1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1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Grand Rapids, MI</w:t>
            </w:r>
          </w:p>
        </w:tc>
        <w:tc>
          <w:tcPr>
            <w:tcW w:w="2160" w:type="dxa"/>
            <w:vAlign w:val="bottom"/>
            <w:shd w:val="clear" w:color="auto" w:fill="CCEEFF"/>
          </w:tcPr>
          <w:p>
            <w:pPr>
              <w:jc w:val="center"/>
              <w:ind w:left="28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Kearneysville, WV</w:t>
            </w: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Milwaukee, WI</w:t>
            </w:r>
          </w:p>
        </w:tc>
        <w:tc>
          <w:tcPr>
            <w:tcW w:w="2160" w:type="dxa"/>
            <w:vAlign w:val="bottom"/>
            <w:shd w:val="clear" w:color="auto" w:fill="CCEEFF"/>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Spring Lake, MI</w:t>
            </w:r>
          </w:p>
        </w:tc>
        <w:tc>
          <w:tcPr>
            <w:tcW w:w="2160" w:type="dxa"/>
            <w:vAlign w:val="bottom"/>
            <w:tcBorders>
              <w:bottom w:val="single" w:sz="8" w:color="auto"/>
            </w:tcBorders>
          </w:tcPr>
          <w:p>
            <w:pPr>
              <w:jc w:val="center"/>
              <w:ind w:left="2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160" w:type="dxa"/>
            <w:vAlign w:val="bottom"/>
            <w:shd w:val="clear" w:color="auto" w:fill="CCEEFF"/>
          </w:tcPr>
          <w:p>
            <w:pPr>
              <w:jc w:val="center"/>
              <w:ind w:left="288"/>
              <w:spacing w:after="0" w:line="142"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60" w:right="60"/>
        <w:spacing w:after="0" w:line="266" w:lineRule="auto"/>
        <w:rPr>
          <w:sz w:val="20"/>
          <w:szCs w:val="20"/>
          <w:color w:val="auto"/>
        </w:rPr>
      </w:pPr>
      <w:r>
        <w:rPr>
          <w:rFonts w:ascii="Times New Roman" w:cs="Times New Roman" w:eastAsia="Times New Roman" w:hAnsi="Times New Roman"/>
          <w:sz w:val="18"/>
          <w:szCs w:val="18"/>
          <w:color w:val="auto"/>
        </w:rPr>
        <w:t>We own all of our properties, free from any significant mortgage or other encumbrance, except for approximately 113 facilities which are leased. We believe all of these operating facilities are adequate in capacity and condition to service our existing markets.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02" w:right="14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regarding our legal proceedings is set forth in Note L of our Consolidated Financial Statements which are presented under Item 8 of this Form 10-K and are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Item: Executive Officers of the Registrant.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lists the names, ages, and positions of our executive officers as of February 4, 2023.</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5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8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J. Missad</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tcBorders>
              <w:top w:val="single" w:sz="8" w:color="CCEEFF"/>
            </w:tcBorders>
            <w:shd w:val="clear" w:color="auto" w:fill="CCEEFF"/>
          </w:tcPr>
          <w:p>
            <w:pPr>
              <w:spacing w:after="0"/>
              <w:rPr>
                <w:sz w:val="18"/>
                <w:szCs w:val="18"/>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Chariman of the Board and Chief Executive Officer</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R. Cole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M. Benton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of UFP Construction, LLC</w:t>
            </w:r>
          </w:p>
        </w:tc>
      </w:tr>
      <w:tr>
        <w:trPr>
          <w:trHeight w:val="21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A. Worthington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of UFP Packaging, LLC</w:t>
            </w:r>
          </w:p>
        </w:tc>
      </w:tr>
      <w:tr>
        <w:trPr>
          <w:trHeight w:val="216"/>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D. Schwartz, Jr.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of UFP Retail Solutions, LLC</w:t>
            </w: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A. Tutas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8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Chief Compliance Officer and Secretary</w:t>
            </w:r>
          </w:p>
        </w:tc>
      </w:tr>
    </w:tbl>
    <w:p>
      <w:pPr>
        <w:spacing w:after="0" w:line="393"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Matthew J. Missad </w:t>
      </w:r>
      <w:r>
        <w:rPr>
          <w:rFonts w:ascii="Times New Roman" w:cs="Times New Roman" w:eastAsia="Times New Roman" w:hAnsi="Times New Roman"/>
          <w:sz w:val="18"/>
          <w:szCs w:val="18"/>
          <w:color w:val="auto"/>
        </w:rPr>
        <w:t>joined us in 1985. In February 1996, Mr. Missad was promoted to Executive Vice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On July 13, 2011, Mr. Missad became Chief Executive Officer of the Company.</w:t>
      </w:r>
    </w:p>
    <w:p>
      <w:pPr>
        <w:spacing w:after="0" w:line="158"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Michael R. Cole </w:t>
      </w:r>
      <w:r>
        <w:rPr>
          <w:rFonts w:ascii="Times New Roman" w:cs="Times New Roman" w:eastAsia="Times New Roman" w:hAnsi="Times New Roman"/>
          <w:sz w:val="18"/>
          <w:szCs w:val="18"/>
          <w:color w:val="auto"/>
        </w:rPr>
        <w:t>joined us in 1993 from the international public accounting firm Deloitte &amp; Touche. In December 1999,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promoted to Vice President of Finance. On July 19, 2000, Mr. Cole became Chief Financial Officer of the Company.</w:t>
      </w:r>
    </w:p>
    <w:p>
      <w:pPr>
        <w:spacing w:after="0" w:line="158"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Patrick M. Benton </w:t>
      </w:r>
      <w:r>
        <w:rPr>
          <w:rFonts w:ascii="Times New Roman" w:cs="Times New Roman" w:eastAsia="Times New Roman" w:hAnsi="Times New Roman"/>
          <w:sz w:val="18"/>
          <w:szCs w:val="18"/>
          <w:color w:val="auto"/>
        </w:rPr>
        <w:t>joined us in 1993. In 2008 he became Operations Vice President of the South Texas Region,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1, 2014, he became Executive Vice President of UFP Eastern Division – North. On February 1, 2017, Mr. Benton became President of the UFP Northern Division, and on January 1, 2020, he became President of UFP Construction, LLC.</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Scott A. Worthington </w:t>
      </w:r>
      <w:r>
        <w:rPr>
          <w:rFonts w:ascii="Times New Roman" w:cs="Times New Roman" w:eastAsia="Times New Roman" w:hAnsi="Times New Roman"/>
          <w:sz w:val="18"/>
          <w:szCs w:val="18"/>
          <w:color w:val="auto"/>
        </w:rPr>
        <w:t>joined us in 1997. In 2014, he was promoted to Regional Vice President of the South Texas Region.</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January 1, 2020, he became President of UFP Packaging, LLC.</w:t>
      </w:r>
    </w:p>
    <w:p>
      <w:pPr>
        <w:spacing w:after="0" w:line="20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William D. Schwartz, Jr. </w:t>
      </w:r>
      <w:r>
        <w:rPr>
          <w:rFonts w:ascii="Times New Roman" w:cs="Times New Roman" w:eastAsia="Times New Roman" w:hAnsi="Times New Roman"/>
          <w:sz w:val="18"/>
          <w:szCs w:val="18"/>
          <w:color w:val="auto"/>
        </w:rPr>
        <w:t>joined us in 1998. He became Operations Vice President in 2014 and Executive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and Transportation in 2020. On July 1, 2022, he became Executive Vice President of Operations Services and on September 26, 2022, he became President of UFP Retail Solutions, LLC.</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A. Tutas </w:t>
      </w:r>
      <w:r>
        <w:rPr>
          <w:rFonts w:ascii="Times New Roman" w:cs="Times New Roman" w:eastAsia="Times New Roman" w:hAnsi="Times New Roman"/>
          <w:sz w:val="18"/>
          <w:szCs w:val="18"/>
          <w:color w:val="auto"/>
        </w:rPr>
        <w:t>joined us in 2003 as a staff counsel. In 2007, he was promoted to Director of Legal Services. On August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2011, he was promoted to General Counsel. On January 18, 2013, he became Secretary of the Company, and on February 1, 2019, he became Chief Compliance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information items in this Part II, which are contained in the 2022 Annual Report, are specifically incorporated by reference into this Form 10-K Report. These portions of the 2022 Annual Report that are specifically incorporated by reference are filed as Exhibit 13 with this Form 10-K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 w:name="page14"/>
    <w:bookmarkEnd w:id="13"/>
    <w:p>
      <w:pPr>
        <w:ind w:left="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Shareholder Matters and Issuer Purchases of Equity Securities.</w:t>
      </w:r>
    </w:p>
    <w:p>
      <w:pPr>
        <w:spacing w:after="0" w:line="159" w:lineRule="exact"/>
        <w:rPr>
          <w:sz w:val="20"/>
          <w:szCs w:val="20"/>
          <w:color w:val="auto"/>
        </w:rPr>
      </w:pPr>
    </w:p>
    <w:p>
      <w:pPr>
        <w:ind w:left="380" w:right="79" w:hanging="330"/>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relating to market, holders and dividends is incorporated by reference from the 2022 Annual Report under the caption “Stock Performance Graph.”</w:t>
      </w:r>
    </w:p>
    <w:p>
      <w:pPr>
        <w:spacing w:after="0" w:line="16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recent sales of unregistered securities.</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 during the fourth quarter:</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6"/>
                <w:szCs w:val="16"/>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10"/>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25 – October 29, 2022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1,372,444</w:t>
            </w:r>
          </w:p>
        </w:tc>
      </w:tr>
      <w:tr>
        <w:trPr>
          <w:trHeight w:val="216"/>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October 30 – November 26, 2022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1,357,342</w:t>
            </w:r>
          </w:p>
        </w:tc>
      </w:tr>
      <w:tr>
        <w:trPr>
          <w:trHeight w:val="216"/>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27 – December 31, 2022</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1,357,342</w:t>
            </w:r>
          </w:p>
        </w:tc>
      </w:tr>
      <w:tr>
        <w:trPr>
          <w:trHeight w:val="108"/>
        </w:trPr>
        <w:tc>
          <w:tcPr>
            <w:tcW w:w="224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72"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number of shares purchased.</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w:t>
      </w:r>
    </w:p>
    <w:p>
      <w:pPr>
        <w:ind w:left="380" w:hanging="330"/>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number of shares purchased as part of publicly announced plans or programs.</w:t>
      </w:r>
    </w:p>
    <w:p>
      <w:pPr>
        <w:ind w:left="380" w:hanging="330"/>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Maximum number of shares that may yet be purchased under the plans or programs.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February 15, 2022, our Board authorized an additional 1.5 million shares to be repurchased under our existing share repurchase program. This authorization expired on February 3, 2023. On February 3, 2023, the Board gave management authorization to repurchase up to 2 million shares by February 5,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2022 Annual Report under the caption "Selected Financial Data."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2022 Annual Report under the caption "Management’s Discussion and Analysis of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December 31, 2022, the estimated fair value of our long-term debt, including the current portion, was $242.1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color w:val="auto"/>
        </w:rPr>
        <w:t>Expected cash flows over the next five years related to debt instruments, excluding debt issuance costs,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equivalents, in thousands)</w:t>
            </w:r>
          </w:p>
        </w:tc>
        <w:tc>
          <w:tcPr>
            <w:tcW w:w="12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2027</w:t>
            </w:r>
          </w:p>
        </w:tc>
        <w:tc>
          <w:tcPr>
            <w:tcW w:w="240" w:type="dxa"/>
            <w:vAlign w:val="bottom"/>
          </w:tcPr>
          <w:p>
            <w:pPr>
              <w:spacing w:after="0"/>
              <w:rPr>
                <w:sz w:val="15"/>
                <w:szCs w:val="15"/>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tcPr>
          <w:p>
            <w:pPr>
              <w:spacing w:after="0"/>
              <w:rPr>
                <w:sz w:val="15"/>
                <w:szCs w:val="15"/>
                <w:color w:val="auto"/>
              </w:rPr>
            </w:pPr>
          </w:p>
        </w:tc>
        <w:tc>
          <w:tcPr>
            <w:tcW w:w="6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432"/>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($US)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225,389</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266,640</w:t>
            </w: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interest rate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($US)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2,925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5,465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23"/>
        </w:trPr>
        <w:tc>
          <w:tcPr>
            <w:tcW w:w="3160" w:type="dxa"/>
            <w:vAlign w:val="bottom"/>
            <w:tcBorders>
              <w:bottom w:val="single" w:sz="8" w:color="auto"/>
            </w:tcBorders>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Average interest rate</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9.20 %</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4.13 %</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(1) Average of rates at December 31, 2022</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29" w:lineRule="exact"/>
        <w:rPr>
          <w:sz w:val="20"/>
          <w:szCs w:val="20"/>
          <w:color w:val="auto"/>
        </w:rPr>
      </w:pPr>
    </w:p>
    <w:p>
      <w:pPr>
        <w:jc w:val="both"/>
        <w:ind w:left="60"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2022 Annual Report under the following captions: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Statements of Earnings and Comprehensive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40" w:firstLine="648"/>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(as defined in Rules 13a-15(e) and 15d-15(e) of the Securities Exchange Act of 1934, as amended, referred to herein as “Disclosure Controls”) as of the end of the period covered by this Annual Report on Form 10-K. The controls evaluation was performed under the supervision and with the participation of management, including our Chief Executive Officer (CEO) and Chief Financial Officer (CFO). Based upon our most recent evaluation, we have concluded that the consolidated financial statements included in this Annual Report on Form 10-K fairly present, in all material respects, our financial position, results of operations and cash flows for the periods presented in conformity with accounting principles generally accepted in the United States of America (“U.S. GAAP”).</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left="60" w:right="220" w:firstLine="648"/>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and based upon the criteria established in Internal Control — 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U.S. GAAP. Our management assessed the effectiveness of our internal control over financial reporting as of December 31, 2022. Based on this assessment, our internal control over financial reporting was effective as of December 31, 2022.</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21" w:right="1439" w:bottom="1440" w:gutter="0" w:footer="0" w:header="0"/>
        </w:sectPr>
      </w:pPr>
    </w:p>
    <w:bookmarkStart w:id="15" w:name="page16"/>
    <w:bookmarkEnd w:id="15"/>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Deloitte &amp; Touche LLP, our independent registered public accounting firm, has audited the effectiveness of our internal control over financial reporting as of December 31, 2022. Deloitte &amp; Touche LLP's opinion, as stated in their report which appears on page 24 of this Form 10-K, is consistent with management's report on internal control over financial reporting as set forth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2022, that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Information relating to our directors, compliance with Section 16(a) of the Securities and Exchange Act of 1934 and various corporate governance matters is incorporated by reference from our definitive Proxy Statement for the year ended December 31, 2022 for the 2023 Annual Meeting of Shareholders, to be filed with the Commission ("2023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Information relating to director and executive compensation is incorporated by reference from the 2023 Proxy Statement under the caption "Executive Compensation." The "Personnel and Compensation Committee Report" included in the 2023 Proxy Statement is incorporated by reference for the purpose of being furnished herein and is not and shall not be deemed to be filed under the Securities Exchange Act of 1934, as amended.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Shareholder Matters.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Information relating to security ownership of certain beneficial owners and management is incorporated by reference from our 2023 Proxy Statement under the captions "Ownership of Common Stock" and "Securities Ownership of Management."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60" w:right="79"/>
        <w:spacing w:after="0" w:line="282" w:lineRule="auto"/>
        <w:rPr>
          <w:sz w:val="20"/>
          <w:szCs w:val="20"/>
          <w:color w:val="auto"/>
        </w:rPr>
      </w:pPr>
      <w:r>
        <w:rPr>
          <w:rFonts w:ascii="Times New Roman" w:cs="Times New Roman" w:eastAsia="Times New Roman" w:hAnsi="Times New Roman"/>
          <w:sz w:val="18"/>
          <w:szCs w:val="18"/>
          <w:color w:val="auto"/>
        </w:rPr>
        <w:t>Information relating to securities authorized for issuance under equity compensation plans as of December 31, 2022, is as follows: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4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reflected in</w:t>
            </w: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 (a)</w:t>
            </w:r>
          </w:p>
        </w:tc>
        <w:tc>
          <w:tcPr>
            <w:tcW w:w="1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column (a)] </w:t>
            </w:r>
            <w:r>
              <w:rPr>
                <w:rFonts w:ascii="Times New Roman" w:cs="Times New Roman" w:eastAsia="Times New Roman" w:hAnsi="Times New Roman"/>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3,279,150</w:t>
            </w:r>
          </w:p>
        </w:tc>
        <w:tc>
          <w:tcPr>
            <w:tcW w:w="0" w:type="dxa"/>
            <w:vAlign w:val="bottom"/>
          </w:tcPr>
          <w:p>
            <w:pPr>
              <w:spacing w:after="0"/>
              <w:rPr>
                <w:sz w:val="1"/>
                <w:szCs w:val="1"/>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9" w:lineRule="exact"/>
        <w:rPr>
          <w:sz w:val="20"/>
          <w:szCs w:val="20"/>
          <w:color w:val="auto"/>
        </w:rPr>
      </w:pPr>
    </w:p>
    <w:p>
      <w:pPr>
        <w:jc w:val="both"/>
        <w:ind w:left="380" w:right="79" w:hanging="330"/>
        <w:spacing w:after="0" w:line="234" w:lineRule="auto"/>
        <w:tabs>
          <w:tab w:leader="none" w:pos="38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shares remaining available for future issuance under equity compensation plans, excluding outstanding options, warrants, or similar rights, as of December 31, 2022, is as follows: 412,011 shares for our Employee Stock Purchase Plan, 181,443 shares for our Director Compensation Plan, and 11,875 shares for our Employee Stock Gift Program. In addition, of the remaining 2,673,821 shares available for future issuance under our Long-Term Stock Incentive Plan, those awards may be made in the form of options as well as stock appreciation rights, restricted stock, performance shares, or other stock-based awards.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certain relationships and related transactions, and director independence is incorporated by reference from the 2023 Proxy Statement under the captions "Election of Directors", “Affirmative Determination Regarding Director Independence and Other Matters” and "Related Party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the types of services rendered by our Independent Registered Public Accounting Firm and the fees paid for these services is incorporated by reference from our 2023 Proxy Statement under the caption "Independent Registered Public Accounting Firm – Disclosure of Fees.”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Financial Statement Schedules.</w:t>
      </w:r>
    </w:p>
    <w:p>
      <w:pPr>
        <w:spacing w:after="0" w:line="229" w:lineRule="exact"/>
        <w:rPr>
          <w:sz w:val="20"/>
          <w:szCs w:val="20"/>
          <w:color w:val="auto"/>
        </w:rPr>
      </w:pPr>
    </w:p>
    <w:p>
      <w:pPr>
        <w:ind w:left="700" w:right="79" w:hanging="650"/>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 Financial Statements</w:t>
      </w:r>
      <w:r>
        <w:rPr>
          <w:rFonts w:ascii="Times New Roman" w:cs="Times New Roman" w:eastAsia="Times New Roman" w:hAnsi="Times New Roman"/>
          <w:sz w:val="18"/>
          <w:szCs w:val="18"/>
          <w:color w:val="auto"/>
        </w:rPr>
        <w:t>. The following are incorporated by reference, under Item 8 of this report, from the 2022 Annual Report:</w:t>
      </w:r>
    </w:p>
    <w:p>
      <w:pPr>
        <w:spacing w:after="0" w:line="161" w:lineRule="exact"/>
        <w:rPr>
          <w:rFonts w:ascii="Times New Roman" w:cs="Times New Roman" w:eastAsia="Times New Roman" w:hAnsi="Times New Roman"/>
          <w:sz w:val="18"/>
          <w:szCs w:val="18"/>
          <w:color w:val="auto"/>
        </w:rPr>
      </w:pPr>
    </w:p>
    <w:p>
      <w:pPr>
        <w:ind w:left="700" w:right="3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 Report of Independent Registered Public Accounting Firm Report of Independent Registered Public Accounting Firm Consolidated Statements of Earnings and Comprehensive Income Consolidated Statements of Shareholders’ Equity</w:t>
      </w:r>
    </w:p>
    <w:p>
      <w:pPr>
        <w:spacing w:after="0" w:line="3" w:lineRule="exact"/>
        <w:rPr>
          <w:rFonts w:ascii="Times New Roman" w:cs="Times New Roman" w:eastAsia="Times New Roman" w:hAnsi="Times New Roman"/>
          <w:sz w:val="18"/>
          <w:szCs w:val="18"/>
          <w:color w:val="auto"/>
        </w:rPr>
      </w:pPr>
    </w:p>
    <w:p>
      <w:pPr>
        <w:ind w:left="700" w:right="517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Consolidated Statements of Cash Flows Notes to Consolidated Financial Statements</w:t>
      </w:r>
    </w:p>
    <w:p>
      <w:pPr>
        <w:spacing w:after="0" w:line="157" w:lineRule="exact"/>
        <w:rPr>
          <w:rFonts w:ascii="Times New Roman" w:cs="Times New Roman" w:eastAsia="Times New Roman" w:hAnsi="Times New Roman"/>
          <w:sz w:val="18"/>
          <w:szCs w:val="18"/>
          <w:color w:val="auto"/>
        </w:rPr>
      </w:pPr>
    </w:p>
    <w:p>
      <w:pPr>
        <w:ind w:left="700" w:right="199" w:hanging="2"/>
        <w:spacing w:after="0" w:line="266" w:lineRule="auto"/>
        <w:tabs>
          <w:tab w:leader="none" w:pos="1015" w:val="left"/>
        </w:tabs>
        <w:numPr>
          <w:ilvl w:val="1"/>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75" w:lineRule="exact"/>
        <w:rPr>
          <w:rFonts w:ascii="Times New Roman" w:cs="Times New Roman" w:eastAsia="Times New Roman" w:hAnsi="Times New Roman"/>
          <w:sz w:val="18"/>
          <w:szCs w:val="18"/>
          <w:u w:val="single" w:color="auto"/>
          <w:color w:val="auto"/>
        </w:rPr>
      </w:pPr>
    </w:p>
    <w:p>
      <w:pPr>
        <w:ind w:left="1020" w:hanging="322"/>
        <w:spacing w:after="0"/>
        <w:tabs>
          <w:tab w:leader="none" w:pos="1020" w:val="left"/>
        </w:tabs>
        <w:numPr>
          <w:ilvl w:val="1"/>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Reference is made to the Exhibit Index which is included in this Form 10-K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700" w:hanging="650"/>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is made to the Exhibit Index which is included in this Form 10-K Report.</w:t>
      </w:r>
    </w:p>
    <w:p>
      <w:pPr>
        <w:spacing w:after="0" w:line="236" w:lineRule="exact"/>
        <w:rPr>
          <w:rFonts w:ascii="Times New Roman" w:cs="Times New Roman" w:eastAsia="Times New Roman" w:hAnsi="Times New Roman"/>
          <w:sz w:val="17"/>
          <w:szCs w:val="17"/>
          <w:color w:val="auto"/>
        </w:rPr>
      </w:pPr>
    </w:p>
    <w:p>
      <w:pPr>
        <w:ind w:left="700" w:hanging="650"/>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Exhibit #</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17145</wp:posOffset>
            </wp:positionV>
            <wp:extent cx="5117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192" w:lineRule="exact"/>
        <w:rPr>
          <w:sz w:val="20"/>
          <w:szCs w:val="20"/>
          <w:color w:val="auto"/>
        </w:rPr>
      </w:pPr>
    </w:p>
    <w:p>
      <w:pPr>
        <w:ind w:left="920" w:hanging="897"/>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198" w:lineRule="exact"/>
        <w:rPr>
          <w:rFonts w:ascii="Times New Roman" w:cs="Times New Roman" w:eastAsia="Times New Roman" w:hAnsi="Times New Roman"/>
          <w:sz w:val="18"/>
          <w:szCs w:val="18"/>
          <w:color w:val="auto"/>
        </w:rPr>
      </w:pPr>
    </w:p>
    <w:p>
      <w:pPr>
        <w:ind w:left="1920" w:right="319" w:hanging="1006"/>
        <w:spacing w:after="0" w:line="242" w:lineRule="auto"/>
        <w:tabs>
          <w:tab w:leader="none" w:pos="1920" w:val="left"/>
        </w:tabs>
        <w:numPr>
          <w:ilvl w:val="1"/>
          <w:numId w:val="9"/>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Registrant’s Restated and Amended Articles of Incorporation were filed as Exhibit 3.1 to a</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Registrant’s Current Report 8-K (dated April 27, 2017) and the same is incorporated herein by</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reference.</w:t>
        </w:r>
      </w:hyperlink>
    </w:p>
    <w:p>
      <w:pPr>
        <w:spacing w:after="0" w:line="170" w:lineRule="exact"/>
        <w:rPr>
          <w:rFonts w:ascii="Times New Roman" w:cs="Times New Roman" w:eastAsia="Times New Roman" w:hAnsi="Times New Roman"/>
          <w:sz w:val="18"/>
          <w:szCs w:val="18"/>
          <w:u w:val="single" w:color="auto"/>
          <w:color w:val="0000EE"/>
        </w:rPr>
      </w:pPr>
    </w:p>
    <w:p>
      <w:pPr>
        <w:ind w:left="1920" w:right="339" w:hanging="1006"/>
        <w:spacing w:after="0" w:line="242" w:lineRule="auto"/>
        <w:tabs>
          <w:tab w:leader="none" w:pos="1920" w:val="left"/>
        </w:tabs>
        <w:numPr>
          <w:ilvl w:val="1"/>
          <w:numId w:val="9"/>
        </w:numPr>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Amended Bylaws was filed as Exhibit 3(b) to a Form 10-K, Annual Report for the year-ended</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December 31, 2016 (Commission file No.: 0-22684) and the same incorporated herein by</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reference.</w:t>
        </w:r>
      </w:hyperlink>
    </w:p>
    <w:p>
      <w:pPr>
        <w:spacing w:after="0" w:line="170" w:lineRule="exact"/>
        <w:rPr>
          <w:rFonts w:ascii="Times New Roman" w:cs="Times New Roman" w:eastAsia="Times New Roman" w:hAnsi="Times New Roman"/>
          <w:sz w:val="18"/>
          <w:szCs w:val="18"/>
          <w:u w:val="single" w:color="auto"/>
          <w:color w:val="0000EE"/>
        </w:rPr>
      </w:pPr>
    </w:p>
    <w:p>
      <w:pPr>
        <w:ind w:left="920" w:hanging="897"/>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198" w:lineRule="exact"/>
        <w:rPr>
          <w:rFonts w:ascii="Times New Roman" w:cs="Times New Roman" w:eastAsia="Times New Roman" w:hAnsi="Times New Roman"/>
          <w:sz w:val="18"/>
          <w:szCs w:val="18"/>
          <w:color w:val="auto"/>
        </w:rPr>
      </w:pPr>
    </w:p>
    <w:p>
      <w:pPr>
        <w:ind w:left="1920" w:right="79" w:hanging="1006"/>
        <w:spacing w:after="0" w:line="296" w:lineRule="auto"/>
        <w:tabs>
          <w:tab w:leader="none" w:pos="192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Specimen form of Stock Certificate for Common Stock was filed as Exhibit 4(a) to a Registration Statement on Form S-1 (No. 33-69474) and the same is incorporated herein by reference.</w:t>
      </w:r>
    </w:p>
    <w:p>
      <w:pPr>
        <w:spacing w:after="0" w:line="111" w:lineRule="exact"/>
        <w:rPr>
          <w:rFonts w:ascii="Times New Roman" w:cs="Times New Roman" w:eastAsia="Times New Roman" w:hAnsi="Times New Roman"/>
          <w:sz w:val="17"/>
          <w:szCs w:val="17"/>
          <w:color w:val="auto"/>
        </w:rPr>
      </w:pPr>
    </w:p>
    <w:p>
      <w:pPr>
        <w:ind w:left="1920" w:hanging="1006"/>
        <w:spacing w:after="0"/>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Description of Registrant’s Securities</w:t>
      </w:r>
    </w:p>
    <w:p>
      <w:pPr>
        <w:spacing w:after="0" w:line="198" w:lineRule="exact"/>
        <w:rPr>
          <w:rFonts w:ascii="Times New Roman" w:cs="Times New Roman" w:eastAsia="Times New Roman" w:hAnsi="Times New Roman"/>
          <w:sz w:val="18"/>
          <w:szCs w:val="18"/>
          <w:u w:val="single" w:color="auto"/>
          <w:color w:val="0000EE"/>
        </w:rPr>
      </w:pPr>
    </w:p>
    <w:p>
      <w:pPr>
        <w:ind w:left="920" w:hanging="897"/>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98" w:lineRule="exact"/>
        <w:rPr>
          <w:rFonts w:ascii="Times New Roman" w:cs="Times New Roman" w:eastAsia="Times New Roman" w:hAnsi="Times New Roman"/>
          <w:sz w:val="18"/>
          <w:szCs w:val="18"/>
          <w:color w:val="auto"/>
        </w:rPr>
      </w:pPr>
    </w:p>
    <w:p>
      <w:pPr>
        <w:ind w:left="1920" w:right="219" w:hanging="1006"/>
        <w:spacing w:after="0" w:line="242" w:lineRule="auto"/>
        <w:tabs>
          <w:tab w:leader="none" w:pos="1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Indemnity Agreement entered into between the Registrant and each of its directors was filed as Exhibit 10(b) to a Registration Statement on Form S-1 (No. 33-69474) and the same is incorporated herein by reference.</w:t>
      </w:r>
    </w:p>
    <w:p>
      <w:pPr>
        <w:spacing w:after="0" w:line="157" w:lineRule="exact"/>
        <w:rPr>
          <w:rFonts w:ascii="Times New Roman" w:cs="Times New Roman" w:eastAsia="Times New Roman" w:hAnsi="Times New Roman"/>
          <w:sz w:val="18"/>
          <w:szCs w:val="18"/>
          <w:u w:val="single" w:color="auto"/>
          <w:color w:val="0000EE"/>
        </w:rPr>
      </w:pPr>
    </w:p>
    <w:tbl>
      <w:tblPr>
        <w:tblLayout w:type="fixed"/>
        <w:tblInd w:w="9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020" w:type="dxa"/>
            <w:vAlign w:val="bottom"/>
            <w:gridSpan w:val="7"/>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UFP Industries, Inc. Deferred Compensation Plan as amended and restated effective June 1, 2011</w:t>
              </w:r>
            </w:hyperlink>
          </w:p>
        </w:tc>
      </w:tr>
      <w:tr>
        <w:trPr>
          <w:trHeight w:val="183"/>
        </w:trPr>
        <w:tc>
          <w:tcPr>
            <w:tcW w:w="1000" w:type="dxa"/>
            <w:vAlign w:val="bottom"/>
          </w:tcPr>
          <w:p>
            <w:pPr>
              <w:spacing w:after="0"/>
              <w:rPr>
                <w:sz w:val="15"/>
                <w:szCs w:val="15"/>
                <w:color w:val="auto"/>
              </w:rPr>
            </w:pPr>
          </w:p>
        </w:tc>
        <w:tc>
          <w:tcPr>
            <w:tcW w:w="7000" w:type="dxa"/>
            <w:vAlign w:val="bottom"/>
            <w:tcBorders>
              <w:top w:val="single" w:sz="8" w:color="0000EE"/>
            </w:tcBorders>
            <w:gridSpan w:val="6"/>
          </w:tcPr>
          <w:p>
            <w:pPr>
              <w:spacing w:after="0" w:line="182"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was filed as Exhibit 10(g) to a Form 10-K, Annual Report for the year ended December 31, 2011</w:t>
              </w:r>
            </w:hyperlink>
          </w:p>
        </w:tc>
        <w:tc>
          <w:tcPr>
            <w:tcW w:w="20" w:type="dxa"/>
            <w:vAlign w:val="bottom"/>
          </w:tcPr>
          <w:p>
            <w:pPr>
              <w:spacing w:after="0"/>
              <w:rPr>
                <w:sz w:val="15"/>
                <w:szCs w:val="15"/>
                <w:color w:val="auto"/>
              </w:rPr>
            </w:pPr>
          </w:p>
        </w:tc>
      </w:tr>
      <w:tr>
        <w:trPr>
          <w:trHeight w:val="169"/>
        </w:trPr>
        <w:tc>
          <w:tcPr>
            <w:tcW w:w="1000" w:type="dxa"/>
            <w:vAlign w:val="bottom"/>
          </w:tcPr>
          <w:p>
            <w:pPr>
              <w:spacing w:after="0"/>
              <w:rPr>
                <w:sz w:val="14"/>
                <w:szCs w:val="14"/>
                <w:color w:val="auto"/>
              </w:rPr>
            </w:pPr>
          </w:p>
        </w:tc>
        <w:tc>
          <w:tcPr>
            <w:tcW w:w="5900" w:type="dxa"/>
            <w:vAlign w:val="bottom"/>
            <w:tcBorders>
              <w:top w:val="single" w:sz="8" w:color="0000EE"/>
              <w:bottom w:val="single" w:sz="8" w:color="0000EE"/>
            </w:tcBorders>
            <w:gridSpan w:val="2"/>
          </w:tcPr>
          <w:p>
            <w:pPr>
              <w:spacing w:after="0" w:line="169"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(Commission file No.: 0-22684) and the same is incorporated herein by reference.</w:t>
              </w:r>
            </w:hyperlink>
          </w:p>
        </w:tc>
        <w:tc>
          <w:tcPr>
            <w:tcW w:w="1080" w:type="dxa"/>
            <w:vAlign w:val="bottom"/>
            <w:tcBorders>
              <w:top w:val="single" w:sz="8" w:color="0000EE"/>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020" w:type="dxa"/>
            <w:vAlign w:val="bottom"/>
            <w:gridSpan w:val="7"/>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Executive Stock Grant Program was filed as Exhibit 10(h) to a Form 10-K, Annual Report for</w:t>
              </w:r>
            </w:hyperlink>
          </w:p>
        </w:tc>
      </w:tr>
      <w:tr>
        <w:trPr>
          <w:trHeight w:val="183"/>
        </w:trPr>
        <w:tc>
          <w:tcPr>
            <w:tcW w:w="1000" w:type="dxa"/>
            <w:vAlign w:val="bottom"/>
          </w:tcPr>
          <w:p>
            <w:pPr>
              <w:spacing w:after="0"/>
              <w:rPr>
                <w:sz w:val="15"/>
                <w:szCs w:val="15"/>
                <w:color w:val="auto"/>
              </w:rPr>
            </w:pPr>
          </w:p>
        </w:tc>
        <w:tc>
          <w:tcPr>
            <w:tcW w:w="676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6"/>
              </w:rPr>
            </w:pPr>
            <w:hyperlink r:id="rId34">
              <w:r>
                <w:rPr>
                  <w:rFonts w:ascii="Times New Roman" w:cs="Times New Roman" w:eastAsia="Times New Roman" w:hAnsi="Times New Roman"/>
                  <w:sz w:val="18"/>
                  <w:szCs w:val="18"/>
                  <w:color w:val="0000EE"/>
                  <w:w w:val="96"/>
                </w:rPr>
                <w:t>the year ended December 31, 2011 (Commission file No.: 0-22684) and the same is incorporated</w:t>
              </w:r>
            </w:hyperlink>
          </w:p>
        </w:tc>
        <w:tc>
          <w:tcPr>
            <w:tcW w:w="20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69"/>
        </w:trPr>
        <w:tc>
          <w:tcPr>
            <w:tcW w:w="1000" w:type="dxa"/>
            <w:vAlign w:val="bottom"/>
          </w:tcPr>
          <w:p>
            <w:pPr>
              <w:spacing w:after="0"/>
              <w:rPr>
                <w:sz w:val="14"/>
                <w:szCs w:val="14"/>
                <w:color w:val="auto"/>
              </w:rPr>
            </w:pPr>
          </w:p>
        </w:tc>
        <w:tc>
          <w:tcPr>
            <w:tcW w:w="6960" w:type="dxa"/>
            <w:vAlign w:val="bottom"/>
            <w:gridSpan w:val="4"/>
          </w:tcPr>
          <w:p>
            <w:pPr>
              <w:spacing w:after="0" w:line="169"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herein by reference.</w:t>
              </w:r>
            </w:hyperlink>
          </w:p>
        </w:tc>
        <w:tc>
          <w:tcPr>
            <w:tcW w:w="60" w:type="dxa"/>
            <w:vAlign w:val="bottom"/>
            <w:gridSpan w:val="3"/>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20" w:right="259" w:hanging="1006"/>
        <w:spacing w:after="0" w:line="266" w:lineRule="auto"/>
        <w:tabs>
          <w:tab w:leader="none" w:pos="1920" w:val="left"/>
        </w:tabs>
        <w:numPr>
          <w:ilvl w:val="0"/>
          <w:numId w:val="12"/>
        </w:numPr>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Credit Agreement dated November 1, 2018 was filed as Exhibit 10(i)(2) to a Form 8-K Current</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Report dated November 2, 2018 and the same is incorporated herein by reference.</w:t>
        </w:r>
      </w:hyperlink>
    </w:p>
    <w:p>
      <w:pPr>
        <w:spacing w:after="0" w:line="135" w:lineRule="exact"/>
        <w:rPr>
          <w:rFonts w:ascii="Times New Roman" w:cs="Times New Roman" w:eastAsia="Times New Roman" w:hAnsi="Times New Roman"/>
          <w:sz w:val="18"/>
          <w:szCs w:val="18"/>
          <w:u w:val="single" w:color="auto"/>
          <w:color w:val="0000EE"/>
        </w:rPr>
      </w:pPr>
    </w:p>
    <w:p>
      <w:pPr>
        <w:ind w:left="1920" w:right="359" w:hanging="1006"/>
        <w:spacing w:after="0" w:line="242" w:lineRule="auto"/>
        <w:tabs>
          <w:tab w:leader="none" w:pos="1920" w:val="left"/>
        </w:tabs>
        <w:numPr>
          <w:ilvl w:val="0"/>
          <w:numId w:val="12"/>
        </w:numPr>
        <w:rPr>
          <w:rFonts w:ascii="Times New Roman" w:cs="Times New Roman" w:eastAsia="Times New Roman" w:hAnsi="Times New Roman"/>
          <w:sz w:val="18"/>
          <w:szCs w:val="18"/>
          <w:u w:val="single" w:color="auto"/>
          <w:color w:val="0000EE"/>
        </w:rPr>
      </w:pPr>
      <w:hyperlink r:id="rId36">
        <w:r>
          <w:rPr>
            <w:rFonts w:ascii="Times New Roman" w:cs="Times New Roman" w:eastAsia="Times New Roman" w:hAnsi="Times New Roman"/>
            <w:sz w:val="18"/>
            <w:szCs w:val="18"/>
            <w:u w:val="single" w:color="auto"/>
            <w:color w:val="0000EE"/>
          </w:rPr>
          <w:t>Note Purchase Agreement dated December 17, 2012 was filed as Exhibit 10(k) to a Form 8-K</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Current Report dated December 17, 2012 (Commission file No.: 0-22684) and the same is</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incorporated herein by reference.</w:t>
        </w:r>
      </w:hyperlink>
    </w:p>
    <w:p>
      <w:pPr>
        <w:spacing w:after="0" w:line="170" w:lineRule="exact"/>
        <w:rPr>
          <w:rFonts w:ascii="Times New Roman" w:cs="Times New Roman" w:eastAsia="Times New Roman" w:hAnsi="Times New Roman"/>
          <w:sz w:val="18"/>
          <w:szCs w:val="18"/>
          <w:u w:val="single" w:color="auto"/>
          <w:color w:val="0000EE"/>
        </w:rPr>
      </w:pPr>
    </w:p>
    <w:p>
      <w:pPr>
        <w:ind w:left="1920" w:right="359" w:hanging="1006"/>
        <w:spacing w:after="0" w:line="242" w:lineRule="auto"/>
        <w:tabs>
          <w:tab w:leader="none" w:pos="1920" w:val="left"/>
        </w:tabs>
        <w:numPr>
          <w:ilvl w:val="0"/>
          <w:numId w:val="12"/>
        </w:numPr>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Note Purchase Agreements for Series C and D Senior Notes dated June 14, 2018, was filed as</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Exhibit 10(k)(2) to Registrant’s Form 10-K, Annual Report for the year ended December 29,</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2018 (Commission file No.: 0-22684) and the same is incorporated herein by reference.</w:t>
        </w:r>
      </w:hyperlink>
    </w:p>
    <w:p>
      <w:pPr>
        <w:spacing w:after="0" w:line="157" w:lineRule="exact"/>
        <w:rPr>
          <w:rFonts w:ascii="Times New Roman" w:cs="Times New Roman" w:eastAsia="Times New Roman" w:hAnsi="Times New Roman"/>
          <w:sz w:val="18"/>
          <w:szCs w:val="18"/>
          <w:u w:val="single" w:color="auto"/>
          <w:color w:val="0000EE"/>
        </w:rPr>
      </w:pPr>
    </w:p>
    <w:tbl>
      <w:tblPr>
        <w:tblLayout w:type="fixed"/>
        <w:tblInd w:w="40" w:type="dxa"/>
        <w:tblCellMar>
          <w:top w:w="0" w:type="dxa"/>
          <w:left w:w="0" w:type="dxa"/>
          <w:bottom w:w="0" w:type="dxa"/>
          <w:right w:w="0" w:type="dxa"/>
        </w:tblCellMar>
      </w:tblPr>
      <w:tr>
        <w:trPr>
          <w:trHeight w:val="207"/>
        </w:trPr>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w:t>
            </w:r>
          </w:p>
        </w:tc>
        <w:tc>
          <w:tcPr>
            <w:tcW w:w="7040" w:type="dxa"/>
            <w:vAlign w:val="bottom"/>
            <w:gridSpan w:val="9"/>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UFP Industries, Inc. Employee Stock Purchase Plan is incorporated by reference from Appendix</w:t>
              </w:r>
            </w:hyperlink>
          </w:p>
        </w:tc>
      </w:tr>
      <w:tr>
        <w:trPr>
          <w:trHeight w:val="183"/>
        </w:trPr>
        <w:tc>
          <w:tcPr>
            <w:tcW w:w="1880" w:type="dxa"/>
            <w:vAlign w:val="bottom"/>
          </w:tcPr>
          <w:p>
            <w:pPr>
              <w:spacing w:after="0"/>
              <w:rPr>
                <w:sz w:val="15"/>
                <w:szCs w:val="15"/>
                <w:color w:val="auto"/>
              </w:rPr>
            </w:pPr>
          </w:p>
        </w:tc>
        <w:tc>
          <w:tcPr>
            <w:tcW w:w="6940" w:type="dxa"/>
            <w:vAlign w:val="bottom"/>
            <w:tcBorders>
              <w:top w:val="single" w:sz="8" w:color="0000EE"/>
            </w:tcBorders>
            <w:gridSpan w:val="7"/>
          </w:tcPr>
          <w:p>
            <w:pPr>
              <w:spacing w:after="0" w:line="182"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 to the Company’s proxy statement dated and filed with the Commission on March 6, 2008</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w:t>
            </w:r>
          </w:p>
        </w:tc>
        <w:tc>
          <w:tcPr>
            <w:tcW w:w="67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UFP Industries, Inc. Director Retainer Stock Plan was filed as Exhibit 10(m) to a Form 10-K,</w:t>
              </w:r>
            </w:hyperlink>
          </w:p>
        </w:tc>
        <w:tc>
          <w:tcPr>
            <w:tcW w:w="320" w:type="dxa"/>
            <w:vAlign w:val="bottom"/>
            <w:gridSpan w:val="4"/>
          </w:tcPr>
          <w:p>
            <w:pPr>
              <w:spacing w:after="0"/>
              <w:rPr>
                <w:sz w:val="24"/>
                <w:szCs w:val="24"/>
                <w:color w:val="auto"/>
              </w:rPr>
            </w:pPr>
          </w:p>
        </w:tc>
      </w:tr>
      <w:tr>
        <w:trPr>
          <w:trHeight w:val="183"/>
        </w:trPr>
        <w:tc>
          <w:tcPr>
            <w:tcW w:w="1880" w:type="dxa"/>
            <w:vAlign w:val="bottom"/>
          </w:tcPr>
          <w:p>
            <w:pPr>
              <w:spacing w:after="0"/>
              <w:rPr>
                <w:sz w:val="15"/>
                <w:szCs w:val="15"/>
                <w:color w:val="auto"/>
              </w:rPr>
            </w:pPr>
          </w:p>
        </w:tc>
        <w:tc>
          <w:tcPr>
            <w:tcW w:w="7040" w:type="dxa"/>
            <w:vAlign w:val="bottom"/>
            <w:gridSpan w:val="9"/>
          </w:tcPr>
          <w:p>
            <w:pPr>
              <w:spacing w:after="0" w:line="182"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Annual Report for the year ended December 31, 2016 (Commission file No.: 0-22684) and the</w:t>
              </w:r>
            </w:hyperlink>
          </w:p>
        </w:tc>
      </w:tr>
      <w:tr>
        <w:trPr>
          <w:trHeight w:val="169"/>
        </w:trPr>
        <w:tc>
          <w:tcPr>
            <w:tcW w:w="1880" w:type="dxa"/>
            <w:vAlign w:val="bottom"/>
          </w:tcPr>
          <w:p>
            <w:pPr>
              <w:spacing w:after="0"/>
              <w:rPr>
                <w:sz w:val="14"/>
                <w:szCs w:val="14"/>
                <w:color w:val="auto"/>
              </w:rPr>
            </w:pPr>
          </w:p>
        </w:tc>
        <w:tc>
          <w:tcPr>
            <w:tcW w:w="6800" w:type="dxa"/>
            <w:vAlign w:val="bottom"/>
            <w:tcBorders>
              <w:top w:val="single" w:sz="8" w:color="0000EE"/>
            </w:tcBorders>
            <w:gridSpan w:val="6"/>
          </w:tcPr>
          <w:p>
            <w:pPr>
              <w:spacing w:after="0" w:line="169"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same is incorporated herein by reference.</w:t>
              </w:r>
            </w:hyperlink>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w:t>
            </w:r>
          </w:p>
        </w:tc>
        <w:tc>
          <w:tcPr>
            <w:tcW w:w="7040" w:type="dxa"/>
            <w:vAlign w:val="bottom"/>
            <w:gridSpan w:val="9"/>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UFP Industries, Inc. Long Term Stock Incentive Plan is incorporated by reference from</w:t>
              </w:r>
            </w:hyperlink>
          </w:p>
        </w:tc>
      </w:tr>
      <w:tr>
        <w:trPr>
          <w:trHeight w:val="183"/>
        </w:trPr>
        <w:tc>
          <w:tcPr>
            <w:tcW w:w="1880" w:type="dxa"/>
            <w:vAlign w:val="bottom"/>
          </w:tcPr>
          <w:p>
            <w:pPr>
              <w:spacing w:after="0"/>
              <w:rPr>
                <w:sz w:val="15"/>
                <w:szCs w:val="15"/>
                <w:color w:val="auto"/>
              </w:rPr>
            </w:pPr>
          </w:p>
        </w:tc>
        <w:tc>
          <w:tcPr>
            <w:tcW w:w="628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Appendix A to the Company’s proxy statement dated and filed with the Commission on</w:t>
              </w:r>
            </w:hyperlink>
          </w:p>
        </w:tc>
        <w:tc>
          <w:tcPr>
            <w:tcW w:w="760" w:type="dxa"/>
            <w:vAlign w:val="bottom"/>
            <w:gridSpan w:val="6"/>
          </w:tcPr>
          <w:p>
            <w:pPr>
              <w:ind w:left="80"/>
              <w:spacing w:after="0" w:line="182"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March 8,</w:t>
              </w:r>
            </w:hyperlink>
          </w:p>
        </w:tc>
      </w:tr>
      <w:tr>
        <w:trPr>
          <w:trHeight w:val="169"/>
        </w:trPr>
        <w:tc>
          <w:tcPr>
            <w:tcW w:w="188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Times New Roman" w:cs="Times New Roman" w:eastAsia="Times New Roman" w:hAnsi="Times New Roman"/>
                <w:sz w:val="18"/>
                <w:szCs w:val="18"/>
                <w:color w:val="0000EE"/>
                <w:w w:val="93"/>
              </w:rPr>
            </w:pPr>
            <w:hyperlink r:id="rId40">
              <w:r>
                <w:rPr>
                  <w:rFonts w:ascii="Times New Roman" w:cs="Times New Roman" w:eastAsia="Times New Roman" w:hAnsi="Times New Roman"/>
                  <w:sz w:val="18"/>
                  <w:szCs w:val="18"/>
                  <w:color w:val="0000EE"/>
                  <w:w w:val="93"/>
                </w:rPr>
                <w:t>2022.</w:t>
              </w:r>
            </w:hyperlink>
          </w:p>
        </w:tc>
        <w:tc>
          <w:tcPr>
            <w:tcW w:w="2560" w:type="dxa"/>
            <w:vAlign w:val="bottom"/>
            <w:tcBorders>
              <w:top w:val="single" w:sz="8" w:color="0000EE"/>
            </w:tcBorders>
          </w:tcPr>
          <w:p>
            <w:pPr>
              <w:spacing w:after="0"/>
              <w:rPr>
                <w:sz w:val="14"/>
                <w:szCs w:val="14"/>
                <w:color w:val="auto"/>
              </w:rPr>
            </w:pPr>
          </w:p>
        </w:tc>
        <w:tc>
          <w:tcPr>
            <w:tcW w:w="33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r>
      <w:tr>
        <w:trPr>
          <w:trHeight w:val="871"/>
        </w:trPr>
        <w:tc>
          <w:tcPr>
            <w:tcW w:w="1880" w:type="dxa"/>
            <w:vAlign w:val="bottom"/>
          </w:tcPr>
          <w:p>
            <w:pPr>
              <w:spacing w:after="0"/>
              <w:rPr>
                <w:sz w:val="24"/>
                <w:szCs w:val="24"/>
                <w:color w:val="auto"/>
              </w:rPr>
            </w:pPr>
          </w:p>
        </w:tc>
        <w:tc>
          <w:tcPr>
            <w:tcW w:w="296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18</w:t>
            </w:r>
          </w:p>
        </w:tc>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0"/>
        </w:trPr>
        <w:tc>
          <w:tcPr>
            <w:tcW w:w="1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9" w:name="page20"/>
    <w:bookmarkEnd w:id="1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260" w:type="dxa"/>
            <w:vAlign w:val="bottom"/>
          </w:tcPr>
          <w:p>
            <w:pPr>
              <w:spacing w:after="0"/>
              <w:rPr>
                <w:sz w:val="17"/>
                <w:szCs w:val="17"/>
                <w:color w:val="auto"/>
              </w:rPr>
            </w:pPr>
          </w:p>
        </w:tc>
        <w:tc>
          <w:tcPr>
            <w:tcW w:w="6480" w:type="dxa"/>
            <w:vAlign w:val="bottom"/>
            <w:gridSpan w:val="17"/>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Note Purchase Agreement for Series E, F, and G dated August 11, 2020 was filed as</w:t>
              </w:r>
            </w:hyperlink>
          </w:p>
        </w:tc>
      </w:tr>
      <w:tr>
        <w:trPr>
          <w:trHeight w:val="183"/>
        </w:trPr>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6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Exhibit 10(k) to a form 10-K, Annual Report for the year ended December 26, 2020</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80" w:type="dxa"/>
            <w:vAlign w:val="bottom"/>
            <w:gridSpan w:val="11"/>
          </w:tcPr>
          <w:p>
            <w:pPr>
              <w:spacing w:after="0" w:line="169"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(Commission file No.: 0-22684) and the same is incorporated 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260" w:type="dxa"/>
            <w:vAlign w:val="bottom"/>
          </w:tcPr>
          <w:p>
            <w:pPr>
              <w:spacing w:after="0"/>
              <w:rPr>
                <w:sz w:val="24"/>
                <w:szCs w:val="24"/>
                <w:color w:val="auto"/>
              </w:rPr>
            </w:pPr>
          </w:p>
        </w:tc>
        <w:tc>
          <w:tcPr>
            <w:tcW w:w="6480" w:type="dxa"/>
            <w:vAlign w:val="bottom"/>
            <w:gridSpan w:val="17"/>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Credit Agreement dated December 6, 2022, was filed as Exhibit 10(l) to a Form 8-K</w:t>
              </w:r>
            </w:hyperlink>
          </w:p>
        </w:tc>
      </w:tr>
      <w:tr>
        <w:trPr>
          <w:trHeight w:val="183"/>
        </w:trPr>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10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Current Report dated December 6, 2022, and the same is incorporated herein by</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60" w:type="dxa"/>
            <w:vAlign w:val="bottom"/>
            <w:tcBorders>
              <w:top w:val="single" w:sz="8" w:color="0000EE"/>
            </w:tcBorders>
            <w:gridSpan w:val="8"/>
          </w:tcPr>
          <w:p>
            <w:pPr>
              <w:spacing w:after="0" w:line="169"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reference</w:t>
              </w:r>
              <w:r>
                <w:rPr>
                  <w:rFonts w:ascii="Times New Roman" w:cs="Times New Roman" w:eastAsia="Times New Roman" w:hAnsi="Times New Roman"/>
                  <w:sz w:val="18"/>
                  <w:szCs w:val="18"/>
                  <w:color w:val="000000"/>
                </w:rPr>
                <w:t>.</w:t>
              </w:r>
            </w:hyperlink>
          </w:p>
        </w:tc>
        <w:tc>
          <w:tcPr>
            <w:tcW w:w="3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13</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Selected</w:t>
            </w:r>
          </w:p>
        </w:tc>
        <w:tc>
          <w:tcPr>
            <w:tcW w:w="674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0000EE"/>
              </w:rPr>
              <w:t>portions of the Company’s Annual Report to Shareholders for the fiscal year ended</w:t>
            </w:r>
          </w:p>
        </w:tc>
      </w:tr>
      <w:tr>
        <w:trPr>
          <w:trHeight w:val="182"/>
        </w:trPr>
        <w:tc>
          <w:tcPr>
            <w:tcW w:w="152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98"/>
              </w:rPr>
              <w:t>December 31, 2022.</w:t>
            </w:r>
          </w:p>
        </w:tc>
        <w:tc>
          <w:tcPr>
            <w:tcW w:w="5900" w:type="dxa"/>
            <w:vAlign w:val="bottom"/>
            <w:tcBorders>
              <w:top w:val="single" w:sz="8" w:color="0000EE"/>
            </w:tcBorders>
            <w:gridSpan w:val="15"/>
          </w:tcPr>
          <w:p>
            <w:pPr>
              <w:spacing w:after="0"/>
              <w:rPr>
                <w:sz w:val="15"/>
                <w:szCs w:val="15"/>
                <w:color w:val="auto"/>
              </w:rPr>
            </w:pPr>
          </w:p>
        </w:tc>
        <w:tc>
          <w:tcPr>
            <w:tcW w:w="40" w:type="dxa"/>
            <w:vAlign w:val="bottom"/>
          </w:tcPr>
          <w:p>
            <w:pPr>
              <w:spacing w:after="0"/>
              <w:rPr>
                <w:sz w:val="15"/>
                <w:szCs w:val="15"/>
                <w:color w:val="auto"/>
              </w:rPr>
            </w:pPr>
          </w:p>
        </w:tc>
      </w:tr>
      <w:tr>
        <w:trPr>
          <w:trHeight w:val="412"/>
        </w:trPr>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14</w:t>
            </w:r>
          </w:p>
        </w:tc>
        <w:tc>
          <w:tcPr>
            <w:tcW w:w="74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Code of Ethics for Senior Financial Officers.</w:t>
            </w:r>
          </w:p>
        </w:tc>
      </w:tr>
      <w:tr>
        <w:trPr>
          <w:trHeight w:val="364"/>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tcPr>
          <w:p>
            <w:pPr>
              <w:spacing w:after="0"/>
              <w:rPr>
                <w:sz w:val="24"/>
                <w:szCs w:val="24"/>
                <w:color w:val="auto"/>
              </w:rPr>
            </w:pPr>
          </w:p>
        </w:tc>
        <w:tc>
          <w:tcPr>
            <w:tcW w:w="6480" w:type="dxa"/>
            <w:vAlign w:val="bottom"/>
            <w:gridSpan w:val="17"/>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Code of Ethics for Chief Financial Officer was filed as Exhibit 14(a) to a Form 10-K,</w:t>
              </w:r>
            </w:hyperlink>
          </w:p>
        </w:tc>
      </w:tr>
      <w:tr>
        <w:trPr>
          <w:trHeight w:val="20"/>
        </w:trPr>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80" w:type="dxa"/>
            <w:vAlign w:val="bottom"/>
            <w:tcBorders>
              <w:bottom w:val="single" w:sz="8" w:color="0000EE"/>
            </w:tcBorders>
            <w:gridSpan w:val="17"/>
          </w:tcPr>
          <w:p>
            <w:pPr>
              <w:spacing w:after="0" w:line="182"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Annual Report for the year ended December 25, 2010 and the same is incorporated herein</w:t>
              </w:r>
            </w:hyperlink>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80" w:type="dxa"/>
            <w:vAlign w:val="bottom"/>
            <w:gridSpan w:val="17"/>
          </w:tcPr>
          <w:p>
            <w:pPr>
              <w:spacing w:after="0" w:line="169"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by reference.</w:t>
              </w:r>
            </w:hyperlink>
          </w:p>
        </w:tc>
      </w:tr>
      <w:tr>
        <w:trPr>
          <w:trHeight w:val="20"/>
        </w:trPr>
        <w:tc>
          <w:tcPr>
            <w:tcW w:w="1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21</w:t>
            </w:r>
          </w:p>
        </w:tc>
        <w:tc>
          <w:tcPr>
            <w:tcW w:w="74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20"/>
        </w:trPr>
        <w:tc>
          <w:tcPr>
            <w:tcW w:w="152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23</w:t>
            </w:r>
          </w:p>
        </w:tc>
        <w:tc>
          <w:tcPr>
            <w:tcW w:w="2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Consent of Deloitte &amp; Touche LLP.</w:t>
            </w:r>
          </w:p>
        </w:tc>
        <w:tc>
          <w:tcPr>
            <w:tcW w:w="4840" w:type="dxa"/>
            <w:vAlign w:val="bottom"/>
            <w:gridSpan w:val="12"/>
          </w:tcPr>
          <w:p>
            <w:pPr>
              <w:spacing w:after="0"/>
              <w:rPr>
                <w:sz w:val="24"/>
                <w:szCs w:val="24"/>
                <w:color w:val="auto"/>
              </w:rPr>
            </w:pPr>
          </w:p>
        </w:tc>
      </w:tr>
      <w:tr>
        <w:trPr>
          <w:trHeight w:val="426"/>
        </w:trPr>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31</w:t>
            </w:r>
          </w:p>
        </w:tc>
        <w:tc>
          <w:tcPr>
            <w:tcW w:w="74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Certifications.</w:t>
            </w:r>
          </w:p>
        </w:tc>
      </w:tr>
      <w:tr>
        <w:trPr>
          <w:trHeight w:val="364"/>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tcPr>
          <w:p>
            <w:pPr>
              <w:spacing w:after="0"/>
              <w:rPr>
                <w:sz w:val="24"/>
                <w:szCs w:val="24"/>
                <w:color w:val="auto"/>
              </w:rPr>
            </w:pPr>
          </w:p>
        </w:tc>
        <w:tc>
          <w:tcPr>
            <w:tcW w:w="6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Certificate of the Chief Executive Officer of UFP Industries, Inc., pursuant to Section</w:t>
            </w:r>
          </w:p>
        </w:tc>
      </w:tr>
      <w:tr>
        <w:trPr>
          <w:trHeight w:val="183"/>
        </w:trPr>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6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99"/>
              </w:rPr>
              <w:t>302 of the Sarbanes-Oxley Act of 2002 (18 U.S.C. 1350).</w:t>
            </w:r>
          </w:p>
        </w:tc>
        <w:tc>
          <w:tcPr>
            <w:tcW w:w="2000" w:type="dxa"/>
            <w:vAlign w:val="bottom"/>
            <w:tcBorders>
              <w:top w:val="single" w:sz="8" w:color="0000EE"/>
            </w:tcBorders>
            <w:gridSpan w:val="7"/>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72"/>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spacing w:after="0"/>
              <w:rPr>
                <w:sz w:val="24"/>
                <w:szCs w:val="24"/>
                <w:color w:val="auto"/>
              </w:rPr>
            </w:pPr>
          </w:p>
        </w:tc>
        <w:tc>
          <w:tcPr>
            <w:tcW w:w="6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Certificate of the Chief Financial Officer of UFP Industries, Inc., pursuant to Section 302</w:t>
            </w:r>
          </w:p>
        </w:tc>
      </w:tr>
      <w:tr>
        <w:trPr>
          <w:trHeight w:val="183"/>
        </w:trPr>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20" w:type="dxa"/>
            <w:vAlign w:val="bottom"/>
            <w:tcBorders>
              <w:top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EE"/>
              </w:rPr>
              <w:t>of the Sarbanes-Oxley Act of 2002 (18 U.S.C. 1350).</w:t>
            </w:r>
          </w:p>
        </w:tc>
        <w:tc>
          <w:tcPr>
            <w:tcW w:w="60" w:type="dxa"/>
            <w:vAlign w:val="bottom"/>
            <w:gridSpan w:val="2"/>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40" w:type="dxa"/>
            <w:vAlign w:val="bottom"/>
            <w:gridSpan w:val="6"/>
            <w:shd w:val="clear" w:color="auto" w:fill="0000EE"/>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r>
      <w:tr>
        <w:trPr>
          <w:trHeight w:val="412"/>
        </w:trPr>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32</w:t>
            </w:r>
          </w:p>
        </w:tc>
        <w:tc>
          <w:tcPr>
            <w:tcW w:w="74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Certifications.</w:t>
            </w:r>
          </w:p>
        </w:tc>
      </w:tr>
      <w:tr>
        <w:trPr>
          <w:trHeight w:val="364"/>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tcPr>
          <w:p>
            <w:pPr>
              <w:spacing w:after="0"/>
              <w:rPr>
                <w:sz w:val="24"/>
                <w:szCs w:val="24"/>
                <w:color w:val="auto"/>
              </w:rPr>
            </w:pPr>
          </w:p>
        </w:tc>
        <w:tc>
          <w:tcPr>
            <w:tcW w:w="6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Certificate of the Chief Executive Officer of UFP Industries, Inc., pursuant to Section</w:t>
            </w:r>
          </w:p>
        </w:tc>
      </w:tr>
      <w:tr>
        <w:trPr>
          <w:trHeight w:val="183"/>
        </w:trPr>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6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99"/>
              </w:rPr>
              <w:t>906 of the Sarbanes-Oxley Act of 2002 (18 U.S.C. 1350).</w:t>
            </w:r>
          </w:p>
        </w:tc>
        <w:tc>
          <w:tcPr>
            <w:tcW w:w="2000" w:type="dxa"/>
            <w:vAlign w:val="bottom"/>
            <w:tcBorders>
              <w:top w:val="single" w:sz="8" w:color="0000EE"/>
            </w:tcBorders>
            <w:gridSpan w:val="7"/>
          </w:tcPr>
          <w:p>
            <w:pPr>
              <w:spacing w:after="0"/>
              <w:rPr>
                <w:sz w:val="15"/>
                <w:szCs w:val="15"/>
                <w:color w:val="auto"/>
              </w:rPr>
            </w:pPr>
          </w:p>
        </w:tc>
        <w:tc>
          <w:tcPr>
            <w:tcW w:w="320" w:type="dxa"/>
            <w:vAlign w:val="bottom"/>
            <w:gridSpan w:val="3"/>
          </w:tcPr>
          <w:p>
            <w:pPr>
              <w:spacing w:after="0"/>
              <w:rPr>
                <w:sz w:val="15"/>
                <w:szCs w:val="15"/>
                <w:color w:val="auto"/>
              </w:rPr>
            </w:pPr>
          </w:p>
        </w:tc>
      </w:tr>
      <w:tr>
        <w:trPr>
          <w:trHeight w:val="371"/>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spacing w:after="0"/>
              <w:rPr>
                <w:sz w:val="24"/>
                <w:szCs w:val="24"/>
                <w:color w:val="auto"/>
              </w:rPr>
            </w:pPr>
          </w:p>
        </w:tc>
        <w:tc>
          <w:tcPr>
            <w:tcW w:w="6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Certificate of the Chief Financial Officer of UFP Industries, Inc., pursuant to Section 906</w:t>
            </w:r>
          </w:p>
        </w:tc>
      </w:tr>
      <w:tr>
        <w:trPr>
          <w:trHeight w:val="183"/>
        </w:trPr>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20" w:type="dxa"/>
            <w:vAlign w:val="bottom"/>
            <w:tcBorders>
              <w:top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EE"/>
              </w:rPr>
              <w:t>of the Sarbanes-Oxley Act of 2002 (18 U.S.C. 1350).</w:t>
            </w:r>
          </w:p>
        </w:tc>
        <w:tc>
          <w:tcPr>
            <w:tcW w:w="60" w:type="dxa"/>
            <w:vAlign w:val="bottom"/>
            <w:gridSpan w:val="2"/>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1540" w:right="1599" w:hanging="1517"/>
        <w:spacing w:after="0" w:line="469"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in iXBRL (Inline eXtensible Business Reporting Language). (INS) XBRL Instance Document.</w:t>
      </w:r>
    </w:p>
    <w:p>
      <w:pPr>
        <w:spacing w:after="0" w:line="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XBRL Schema Document.</w:t>
      </w:r>
    </w:p>
    <w:p>
      <w:pPr>
        <w:spacing w:after="0" w:line="198"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XBRL Taxonomy Extension Calculation Linkbase Document.</w:t>
      </w:r>
    </w:p>
    <w:p>
      <w:pPr>
        <w:spacing w:after="0" w:line="198" w:lineRule="exact"/>
        <w:rPr>
          <w:rFonts w:ascii="Times New Roman" w:cs="Times New Roman" w:eastAsia="Times New Roman" w:hAnsi="Times New Roman"/>
          <w:sz w:val="18"/>
          <w:szCs w:val="18"/>
          <w:color w:val="auto"/>
        </w:rPr>
      </w:pPr>
    </w:p>
    <w:p>
      <w:pPr>
        <w:ind w:left="1540" w:right="2459"/>
        <w:spacing w:after="0" w:line="4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(LAB) XBRL Taxonomy Extension Label Linkbase Document. (PRE) XBRL Taxonomy Extension Presentation Linkbase Document. (DEF) XBRL Taxonomy Extension Definition Linkbase Document.</w:t>
      </w:r>
    </w:p>
    <w:p>
      <w:pPr>
        <w:spacing w:after="0" w:line="1" w:lineRule="exact"/>
        <w:rPr>
          <w:sz w:val="20"/>
          <w:szCs w:val="20"/>
          <w:color w:val="auto"/>
        </w:rPr>
      </w:pPr>
    </w:p>
    <w:p>
      <w:pPr>
        <w:ind w:left="1540" w:right="639" w:hanging="1517"/>
        <w:spacing w:after="0" w:line="266"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46355</wp:posOffset>
            </wp:positionV>
            <wp:extent cx="1414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2"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compensatory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5"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71" w:lineRule="exact"/>
        <w:rPr>
          <w:sz w:val="20"/>
          <w:szCs w:val="20"/>
          <w:color w:val="auto"/>
        </w:rPr>
      </w:pPr>
    </w:p>
    <w:p>
      <w:pPr>
        <w:ind w:left="60"/>
        <w:spacing w:after="0"/>
        <w:tabs>
          <w:tab w:leader="none" w:pos="4380" w:val="left"/>
        </w:tabs>
        <w:rPr>
          <w:sz w:val="20"/>
          <w:szCs w:val="20"/>
          <w:color w:val="auto"/>
        </w:rPr>
      </w:pPr>
      <w:r>
        <w:rPr>
          <w:rFonts w:ascii="Times New Roman" w:cs="Times New Roman" w:eastAsia="Times New Roman" w:hAnsi="Times New Roman"/>
          <w:sz w:val="18"/>
          <w:szCs w:val="18"/>
          <w:color w:val="auto"/>
        </w:rPr>
        <w:t>Dated: March 1, 2023</w:t>
      </w:r>
      <w:r>
        <w:rPr>
          <w:sz w:val="20"/>
          <w:szCs w:val="20"/>
          <w:color w:val="auto"/>
        </w:rPr>
        <w:tab/>
      </w:r>
      <w:r>
        <w:rPr>
          <w:rFonts w:ascii="Times New Roman" w:cs="Times New Roman" w:eastAsia="Times New Roman" w:hAnsi="Times New Roman"/>
          <w:sz w:val="17"/>
          <w:szCs w:val="17"/>
          <w:b w:val="1"/>
          <w:bCs w:val="1"/>
          <w:color w:val="auto"/>
        </w:rPr>
        <w:t>UFP INDUSTRIES, INC.</w:t>
      </w:r>
    </w:p>
    <w:p>
      <w:pPr>
        <w:spacing w:after="0" w:line="2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17145</wp:posOffset>
            </wp:positionV>
            <wp:extent cx="2674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Matthew J. Missad,</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99" w:lineRule="exact"/>
        <w:rPr>
          <w:sz w:val="20"/>
          <w:szCs w:val="20"/>
          <w:color w:val="auto"/>
        </w:rPr>
      </w:pPr>
    </w:p>
    <w:p>
      <w:pPr>
        <w:jc w:val="both"/>
        <w:ind w:left="60" w:right="59" w:firstLine="648"/>
        <w:spacing w:after="0" w:line="21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this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March, 2023, by the following persons on behalf of us and in the capacities indicated.</w:t>
      </w: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665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Matthew J. Missad,</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26657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Michael R. Cole,</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Each Director whose signature appears below hereby appoints Matthew J. Missad and Michael R. Cole, and each of them individually, as his or her attorney-in-fact to sign in his or her name and on his or her behalf as a Director, and to file with the Commission any and all amendments to this report on Form 10-K to the same extent and with the same effect as if done personally.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Joan A. Budden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Joan A. Budden, Director</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Benjamin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Benjamin J. McLean, Director</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Matthew J. Missad, Director</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Mary Tuuk Kuras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Mary Tuuk Kuras, Director</w:t>
      </w:r>
    </w:p>
    <w:p>
      <w:pPr>
        <w:spacing w:after="0" w:line="220" w:lineRule="exact"/>
        <w:rPr>
          <w:sz w:val="20"/>
          <w:szCs w:val="20"/>
          <w:color w:val="auto"/>
        </w:rPr>
      </w:pPr>
    </w:p>
    <w:p>
      <w:pPr>
        <w:ind w:left="60" w:right="1440"/>
        <w:spacing w:after="0" w:line="329" w:lineRule="auto"/>
        <w:rPr>
          <w:sz w:val="20"/>
          <w:szCs w:val="20"/>
          <w:color w:val="auto"/>
        </w:rPr>
      </w:pPr>
      <w:r>
        <w:rPr>
          <w:rFonts w:ascii="Times New Roman" w:cs="Times New Roman" w:eastAsia="Times New Roman" w:hAnsi="Times New Roman"/>
          <w:sz w:val="17"/>
          <w:szCs w:val="17"/>
          <w:color w:val="auto"/>
        </w:rPr>
        <w:t xml:space="preserve">/s/ Michael G. Wooldridge </w:t>
      </w:r>
      <w:r>
        <w:rPr>
          <w:rFonts w:ascii="Times New Roman" w:cs="Times New Roman" w:eastAsia="Times New Roman" w:hAnsi="Times New Roman"/>
          <w:sz w:val="17"/>
          <w:szCs w:val="17"/>
          <w:b w:val="1"/>
          <w:bCs w:val="1"/>
          <w:color w:val="auto"/>
        </w:rPr>
        <w:t>Michael G. Wooldridge,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-191135</wp:posOffset>
            </wp:positionV>
            <wp:extent cx="27171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6746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G. Currie,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Bruce A.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674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Bruce A. Merino,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W.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674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Thomas W. Rhodes, Director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2674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C. Walker, Director</w:t>
      </w:r>
    </w:p>
    <w:p>
      <w:pPr>
        <w:spacing w:after="0" w:line="956" w:lineRule="exact"/>
        <w:rPr>
          <w:sz w:val="20"/>
          <w:szCs w:val="20"/>
          <w:color w:val="auto"/>
        </w:rPr>
      </w:pPr>
    </w:p>
    <w:p>
      <w:pPr>
        <w:sectPr>
          <w:pgSz w:w="11900" w:h="16838" w:orient="portrait"/>
          <w:cols w:equalWidth="0" w:num="2">
            <w:col w:w="4020" w:space="720"/>
            <w:col w:w="4279"/>
          </w:cols>
          <w:pgMar w:left="1440" w:top="1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4(b)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brief description of the common stock of UFP Industries,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This summary does not purport to be complete in all respects and is subject to and qualified in its entirety by reference to the Company’s Restated and Amended Articles of Incorporation (the "Articles of Incorporation") and Amended Bylaws (the "Bylaws"), each of which are filed as exhibits to the Annual Report on Form 10-K of which this </w:t>
      </w:r>
      <w:r>
        <w:rPr>
          <w:rFonts w:ascii="Times New Roman" w:cs="Times New Roman" w:eastAsia="Times New Roman" w:hAnsi="Times New Roman"/>
          <w:sz w:val="18"/>
          <w:szCs w:val="18"/>
          <w:u w:val="single" w:color="auto"/>
          <w:color w:val="auto"/>
        </w:rPr>
        <w:t>Exhibit 4(b)</w:t>
      </w:r>
      <w:r>
        <w:rPr>
          <w:rFonts w:ascii="Times New Roman" w:cs="Times New Roman" w:eastAsia="Times New Roman" w:hAnsi="Times New Roman"/>
          <w:sz w:val="18"/>
          <w:szCs w:val="18"/>
          <w:color w:val="auto"/>
        </w:rPr>
        <w:t xml:space="preserve">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authorized capital stock consists of 160,000,000 shares of common stock and 1,000,000 shares of preferred stock. As of December 31, 2022, there were no shares of preferred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prior rights of the holders of shares of preferred stock that may be issued and outstanding, if any, the holders of common stock are entitled to receive:</w:t>
      </w:r>
    </w:p>
    <w:p>
      <w:pPr>
        <w:spacing w:after="0" w:line="162" w:lineRule="exact"/>
        <w:rPr>
          <w:sz w:val="20"/>
          <w:szCs w:val="20"/>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when, as, and if declared by the Company’s Board of Directors out of funds legally available for the payment of dividends;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of the Company, to share ratably in all assets remaining after payment of liabilities and satisfaction of the liquidation preferences, if any, of then outstanding shares of preferred stock, as provided in the Articles of Incorporation.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that the Company’s Board of Directors be divided into three classes of nearly equal size, with the classes to hold office for staggered terms of three years each.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vote required for the election of a director shall, except in a contested election, be the affirmative vote of a majority of the votes cast in the election of a nominee. For this purpose, a “majority of the votes cast” means that the number of votes cast “for” a director’s election exceeds the number of votes cast “against” that director’s election. Abstentions and broker non-votes are not counted as votes cast either “for” or “against” a director’s election. In a contested election, directors are elected by a plurality of the votes cast at the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election is considered contested if there are more nominees for election than positions on the Board of Directors to be filled by election at that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is currently traded on the Nasdaq Global Select Market under the symbol “ufpi.”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Anti-Takeover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Articles of Incorporation and Bylaws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transfer agent for the Company’s common stock is American Stock Transfer &amp; Trust Co., 6201 15th Avenue, Brooklyn, 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13</w:t>
            </w:r>
          </w:p>
        </w:tc>
      </w:tr>
      <w:tr>
        <w:trPr>
          <w:trHeight w:val="41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8"/>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UFP INDUSTRIES, INC.</w:t>
            </w:r>
          </w:p>
        </w:tc>
        <w:tc>
          <w:tcPr>
            <w:tcW w:w="86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9"/>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8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8"/>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Selected Financial Data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58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 Opinion on Internal Control over Financial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3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Reporting </w:t>
            </w:r>
            <w:r>
              <w:rPr>
                <w:rFonts w:ascii="Times New Roman" w:cs="Times New Roman" w:eastAsia="Times New Roman" w:hAnsi="Times New Roman"/>
                <w:sz w:val="18"/>
                <w:szCs w:val="18"/>
                <w:color w:val="000000"/>
              </w:rPr>
              <w:t>(PCAOB ID 34)</w:t>
            </w:r>
          </w:p>
        </w:tc>
        <w:tc>
          <w:tcPr>
            <w:tcW w:w="5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 Opinion on the Financial Statements </w:t>
            </w:r>
            <w:r>
              <w:rPr>
                <w:rFonts w:ascii="Times New Roman" w:cs="Times New Roman" w:eastAsia="Times New Roman" w:hAnsi="Times New Roman"/>
                <w:sz w:val="18"/>
                <w:szCs w:val="18"/>
                <w:color w:val="000000"/>
              </w:rPr>
              <w:t>(PCAOB ID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20" w:type="dxa"/>
            <w:vAlign w:val="bottom"/>
          </w:tcPr>
          <w:p>
            <w:pPr>
              <w:spacing w:after="0"/>
              <w:rPr>
                <w:sz w:val="20"/>
                <w:szCs w:val="20"/>
                <w:color w:val="auto"/>
              </w:rPr>
            </w:pPr>
          </w:p>
        </w:tc>
        <w:tc>
          <w:tcPr>
            <w:tcW w:w="840" w:type="dxa"/>
            <w:vAlign w:val="bottom"/>
            <w:tcBorders>
              <w:top w:val="single" w:sz="8" w:color="0000EE"/>
            </w:tcBorders>
            <w:gridSpan w:val="2"/>
          </w:tcPr>
          <w:p>
            <w:pPr>
              <w:ind w:left="120"/>
              <w:spacing w:after="0"/>
              <w:rPr>
                <w:sz w:val="20"/>
                <w:szCs w:val="20"/>
                <w:color w:val="auto"/>
              </w:rPr>
            </w:pPr>
            <w:r>
              <w:rPr>
                <w:rFonts w:ascii="Times New Roman" w:cs="Times New Roman" w:eastAsia="Times New Roman" w:hAnsi="Times New Roman"/>
                <w:sz w:val="18"/>
                <w:szCs w:val="18"/>
                <w:color w:val="auto"/>
              </w:rPr>
              <w:t>34)</w:t>
            </w:r>
          </w:p>
        </w:tc>
        <w:tc>
          <w:tcPr>
            <w:tcW w:w="7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3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26"/>
        </w:trPr>
        <w:tc>
          <w:tcPr>
            <w:tcW w:w="20" w:type="dxa"/>
            <w:vAlign w:val="bottom"/>
          </w:tcPr>
          <w:p>
            <w:pPr>
              <w:spacing w:after="0"/>
              <w:rPr>
                <w:sz w:val="24"/>
                <w:szCs w:val="24"/>
                <w:color w:val="auto"/>
              </w:rPr>
            </w:pPr>
          </w:p>
        </w:tc>
        <w:tc>
          <w:tcPr>
            <w:tcW w:w="57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2022 and December 25, 2021</w:t>
            </w:r>
          </w:p>
        </w:tc>
        <w:tc>
          <w:tcPr>
            <w:tcW w:w="234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547"/>
        </w:trPr>
        <w:tc>
          <w:tcPr>
            <w:tcW w:w="20" w:type="dxa"/>
            <w:vAlign w:val="bottom"/>
          </w:tcPr>
          <w:p>
            <w:pPr>
              <w:spacing w:after="0"/>
              <w:rPr>
                <w:sz w:val="24"/>
                <w:szCs w:val="24"/>
                <w:color w:val="auto"/>
              </w:rPr>
            </w:pPr>
          </w:p>
        </w:tc>
        <w:tc>
          <w:tcPr>
            <w:tcW w:w="77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Earnings and Comprehensive Income for the Years Ended December 31, 2022,</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December 25, 2021, and December 26, 2020</w:t>
            </w:r>
          </w:p>
        </w:tc>
        <w:tc>
          <w:tcPr>
            <w:tcW w:w="8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2022, December 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2021, and December 26, 2020</w:t>
            </w:r>
          </w:p>
        </w:tc>
        <w:tc>
          <w:tcPr>
            <w:tcW w:w="5260" w:type="dxa"/>
            <w:vAlign w:val="bottom"/>
            <w:tcBorders>
              <w:top w:val="single" w:sz="8" w:color="0000EE"/>
            </w:tcBorders>
            <w:gridSpan w:val="9"/>
          </w:tcPr>
          <w:p>
            <w:pPr>
              <w:spacing w:after="0"/>
              <w:rPr>
                <w:sz w:val="17"/>
                <w:szCs w:val="17"/>
                <w:color w:val="auto"/>
              </w:rPr>
            </w:pPr>
          </w:p>
        </w:tc>
        <w:tc>
          <w:tcPr>
            <w:tcW w:w="4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December 25, 2021, and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26, 2020</w:t>
            </w:r>
          </w:p>
        </w:tc>
        <w:tc>
          <w:tcPr>
            <w:tcW w:w="6100" w:type="dxa"/>
            <w:vAlign w:val="bottom"/>
            <w:tcBorders>
              <w:top w:val="single" w:sz="8" w:color="0000EE"/>
            </w:tcBorders>
            <w:gridSpan w:val="14"/>
          </w:tcPr>
          <w:p>
            <w:pPr>
              <w:spacing w:after="0"/>
              <w:rPr>
                <w:sz w:val="17"/>
                <w:szCs w:val="17"/>
                <w:color w:val="auto"/>
              </w:rPr>
            </w:pPr>
          </w:p>
        </w:tc>
        <w:tc>
          <w:tcPr>
            <w:tcW w:w="4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547"/>
        </w:trPr>
        <w:tc>
          <w:tcPr>
            <w:tcW w:w="20" w:type="dxa"/>
            <w:vAlign w:val="bottom"/>
          </w:tcPr>
          <w:p>
            <w:pPr>
              <w:spacing w:after="0"/>
              <w:rPr>
                <w:sz w:val="24"/>
                <w:szCs w:val="24"/>
                <w:color w:val="auto"/>
              </w:rPr>
            </w:pPr>
          </w:p>
        </w:tc>
        <w:tc>
          <w:tcPr>
            <w:tcW w:w="31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Market Information for our Common Stock</w:t>
            </w:r>
          </w:p>
        </w:tc>
        <w:tc>
          <w:tcPr>
            <w:tcW w:w="490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547"/>
        </w:trPr>
        <w:tc>
          <w:tcPr>
            <w:tcW w:w="20" w:type="dxa"/>
            <w:vAlign w:val="bottom"/>
          </w:tcPr>
          <w:p>
            <w:pPr>
              <w:spacing w:after="0"/>
              <w:rPr>
                <w:sz w:val="24"/>
                <w:szCs w:val="24"/>
                <w:color w:val="auto"/>
              </w:rPr>
            </w:pPr>
          </w:p>
        </w:tc>
        <w:tc>
          <w:tcPr>
            <w:tcW w:w="31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Stock Performance Graph</w:t>
            </w:r>
          </w:p>
        </w:tc>
        <w:tc>
          <w:tcPr>
            <w:tcW w:w="492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20" w:type="dxa"/>
            <w:vAlign w:val="bottom"/>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Directors and Executive Officers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547"/>
        </w:trPr>
        <w:tc>
          <w:tcPr>
            <w:tcW w:w="20" w:type="dxa"/>
            <w:vAlign w:val="bottom"/>
          </w:tcPr>
          <w:p>
            <w:pPr>
              <w:spacing w:after="0"/>
              <w:rPr>
                <w:sz w:val="24"/>
                <w:szCs w:val="24"/>
                <w:color w:val="auto"/>
              </w:rPr>
            </w:pPr>
          </w:p>
        </w:tc>
        <w:tc>
          <w:tcPr>
            <w:tcW w:w="23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Shareholder Information</w:t>
            </w:r>
          </w:p>
        </w:tc>
        <w:tc>
          <w:tcPr>
            <w:tcW w:w="568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701"/>
        </w:trPr>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 thousands, except per share and statistics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9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Statement of Earnings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9,626,739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8,636,134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5,153,998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4,416,009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4,489,180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1,789,461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1,406,967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592,894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2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earnings attributable to controlling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692,651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535,640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246,778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1,650,278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1,297,434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1,074,613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739,030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3,672,073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3,245,271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2,404,891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1,889,477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1,647,548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2,596,823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2,016,569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1,257,733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Statistics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earnings attributable to controlling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as a percentage of net sales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Return on beginning equity</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15.3 %</w:t>
            </w: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Current ratio</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Debt to equity ratio</w:t>
            </w:r>
            <w:r>
              <w:rPr>
                <w:rFonts w:ascii="Times New Roman" w:cs="Times New Roman" w:eastAsia="Times New Roman" w:hAnsi="Times New Roman"/>
                <w:sz w:val="25"/>
                <w:szCs w:val="25"/>
                <w:color w:val="auto"/>
                <w:vertAlign w:val="superscript"/>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Book value per common share</w:t>
            </w:r>
            <w:r>
              <w:rPr>
                <w:rFonts w:ascii="Times New Roman" w:cs="Times New Roman" w:eastAsia="Times New Roman" w:hAnsi="Times New Roman"/>
                <w:sz w:val="25"/>
                <w:szCs w:val="25"/>
                <w:color w:val="auto"/>
                <w:vertAlign w:val="superscript"/>
              </w:rPr>
              <w:t>(3)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63"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assets less current liabilities.</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attributable to controlling interest divided by beginning shareholders’ equity.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divided by common stock outstanding.</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assets divided by current liabilities.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divided by shareholders’ equity.</w:t>
      </w:r>
    </w:p>
    <w:p>
      <w:pPr>
        <w:spacing w:after="0" w:line="207"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Acquisition growth is one of the primary contributing factors to material increases over the period from 2018 to 2022. Refer to Note C under the “Notes to the Consolidated Financial Statements” for further discussion on our business combinations and impact on our financial statements for the three years ended December 31,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UFP Industries, Inc. is a holding company with subsidiaries throughout North America, Europe, Asia, and Australia that design, manufacture, and supply products made from wood, wood and non-wood composites, and other materials to three markets: retail, packaging, and construction. We are headquartered in Grand Rapids, Mich. For more information about UFP Industries, Inc., or its affiliated operations, go to www.ufpi.com.</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the COVID-19 pandemic (“pandemic”). Certain of these risk factors as well as other risk factors and additional information are included in our reports on Form 10-K and 10-Q on file with the Securities and Exchange Commission. We are pleased to present this overview of 2022.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2022 were impacted by the following:</w:t>
      </w:r>
    </w:p>
    <w:p>
      <w:pPr>
        <w:spacing w:after="0" w:line="225" w:lineRule="exact"/>
        <w:rPr>
          <w:sz w:val="20"/>
          <w:szCs w:val="20"/>
          <w:color w:val="auto"/>
        </w:rPr>
      </w:pPr>
    </w:p>
    <w:p>
      <w:pPr>
        <w:jc w:val="both"/>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increased 11.5% in 2022 due to a 9.5% increase in our overall selling prices (see “Historical Lumber Prices”) and a 3% increase in unit sales due to acquired businesses, which was partially offset by a 1% decrease in organic unit sales. Organic unit growth of 6% in our construction segment was offset by organic unit declines of 2% and 5% in our packaging and retail segments, respectively.</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from operations increased 28.8% to $950.2 million. This increase resulted from a variety of factors including improved leveraging of our fixed costs in business units that experienced organic growth, increased sales of new and value-added products which have higher gross margins, our ability to effectively include lumber and other cost increases in the selling prices of our products, and our value-based and selective selling practices have enabled us to improve our profit per unit. Acquisitions contributed approximately $16.5 million to our increase in operating profits.</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provided by operations in 2022 was $831.6 million compared to $512.5 million in 2021. This increase is due primarily to an increase in our net earnings and non-cash expenses of $188.7 million and a decrease in our investment in net working capital of $130.4 million compared to the prior period. This year, customer demand softened in the fourth quarter and lumber prices declined which reduced our investment in net working capital.</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invested $174.1 million in capital expenditures to support and grow our business and invested $180.2 million in acquired businesses.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returned $58.9 million to our shareholders through dividends and repurchased approximately 1,247,000 shares of our common stock for $95.8 million, at an average price of $76.83 per share.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surplus cash (cash less debt and cash overdraft) at the end of 2022 was $281.4 million compared to net debt of $50.6 million at the end of 2021.</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borrowing capacity under revolving credit facilities of $1.3 billion and cash surplus of $559.4 million resulted in total liquidity of approximately $1.8 billion at the end of December 2022.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Random Lengths framing lumber composite price.</w:t>
      </w:r>
    </w:p>
    <w:p>
      <w:pPr>
        <w:spacing w:after="0" w:line="23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gridSpan w:val="2"/>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gridSpan w:val="2"/>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7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comprised approximately 60% and 57% of total lumber purchases, excluding plywood and other panel products, in 2022 and 2021, respectively.</w:t>
      </w:r>
    </w:p>
    <w:p>
      <w:pPr>
        <w:spacing w:after="0" w:line="183"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Southern Yellow Pine</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IMPACT OF THE LUMBER MARKET ON OUR OPERATING RESULTS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including plywood and other panel products, were 49.6% and 47.7% of our net sales in 2022 and 2021, respectively.</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Our gross margins are impacted by (1) the relative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the Lumber Market (i.e. whether prices are higher or lower from comparative periods), and (2)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720" w:right="79" w:hanging="319"/>
        <w:spacing w:after="0" w:line="25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720" w:right="79" w:hanging="319"/>
        <w:spacing w:after="0" w:line="255"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profits.</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of each category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720" w:right="79" w:hanging="319"/>
        <w:spacing w:after="0" w:line="254"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would include treated lumber, which comprises approximately 21% of our total sales.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We estimate that 15.6% of our total purchases for 2022 were completed under these programs. (</w:t>
      </w:r>
      <w:r>
        <w:rPr>
          <w:rFonts w:ascii="Times New Roman" w:cs="Times New Roman" w:eastAsia="Times New Roman" w:hAnsi="Times New Roman"/>
          <w:sz w:val="18"/>
          <w:szCs w:val="18"/>
          <w:i w:val="1"/>
          <w:iCs w:val="1"/>
          <w:color w:val="auto"/>
        </w:rPr>
        <w:t>Please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the “Risk Factors” section of our 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impact of the Lumber Market </w:t>
      </w:r>
      <w:r>
        <w:rPr>
          <w:rFonts w:ascii="Times New Roman" w:cs="Times New Roman" w:eastAsia="Times New Roman" w:hAnsi="Times New Roman"/>
          <w:sz w:val="18"/>
          <w:szCs w:val="18"/>
          <w:u w:val="single" w:color="auto"/>
          <w:color w:val="auto"/>
        </w:rPr>
        <w:t>trends</w:t>
      </w:r>
      <w:r>
        <w:rPr>
          <w:rFonts w:ascii="Times New Roman" w:cs="Times New Roman" w:eastAsia="Times New Roman" w:hAnsi="Times New Roman"/>
          <w:sz w:val="18"/>
          <w:szCs w:val="18"/>
          <w:color w:val="auto"/>
        </w:rPr>
        <w:t xml:space="preserve"> on gross margins, changes in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8"/>
                <w:szCs w:val="18"/>
                <w:color w:val="auto"/>
              </w:rPr>
            </w:pPr>
          </w:p>
        </w:tc>
      </w:tr>
      <w:tr>
        <w:trPr>
          <w:trHeight w:val="210"/>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8"/>
                <w:szCs w:val="18"/>
                <w:color w:val="auto"/>
              </w:rPr>
            </w:pPr>
          </w:p>
        </w:tc>
      </w:tr>
      <w:tr>
        <w:trPr>
          <w:trHeight w:val="210"/>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sold with our change in gross profits, selling, general, and administrative expenses, and operating profits as presented in the following table.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2620" w:type="dxa"/>
            <w:vAlign w:val="bottom"/>
            <w:tcBorders>
              <w:top w:val="single" w:sz="8" w:color="auto"/>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Annual Change from Prior Year End</w:t>
            </w:r>
          </w:p>
        </w:tc>
      </w:tr>
      <w:tr>
        <w:trPr>
          <w:trHeight w:val="137"/>
        </w:trPr>
        <w:tc>
          <w:tcPr>
            <w:tcW w:w="6280" w:type="dxa"/>
            <w:vAlign w:val="bottom"/>
          </w:tcPr>
          <w:p>
            <w:pPr>
              <w:spacing w:after="0"/>
              <w:rPr>
                <w:sz w:val="11"/>
                <w:szCs w:val="11"/>
                <w:color w:val="auto"/>
              </w:rPr>
            </w:pPr>
          </w:p>
        </w:tc>
        <w:tc>
          <w:tcPr>
            <w:tcW w:w="1400" w:type="dxa"/>
            <w:vAlign w:val="bottom"/>
            <w:gridSpan w:val="2"/>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right"/>
              <w:ind w:right="96"/>
              <w:spacing w:after="0" w:line="137" w:lineRule="exact"/>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80"/>
        </w:trPr>
        <w:tc>
          <w:tcPr>
            <w:tcW w:w="6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53.5</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20"/>
                <w:szCs w:val="20"/>
                <w:color w:val="auto"/>
              </w:rPr>
            </w:pP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113.3</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It is our long-term goal to increase our gross profits and earnings from operations at a rate of growth that exceeds our unit sales growth, or in other words, increase our profit per unit sold. We also have a long-term goal of improving our efficiencies and leveraging the fixed costs in our selling, general, and administrative expenses as we grow, which would result in a rate of growth of these expenses which is less than our unit sales growth resulting in a lower cost per unit.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ASSET PURCHASES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completed four business acquisitions during 2022 and nine during 2021. The annual historical sales attributable to acquisitions in 2022 and 2021 were approximately $177.8 million and $1.3 billion, respectively. These business combinations were not significant to our operating results individually or in aggregate; consequently pro forma results for 2022 and 2021 are not presented.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Consolidated Financial Statements, Note C, "Business Combinations" for additional information.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Consolidated Statements of Earnings as a percentage of net sales. See “Impact of the Lumber Market on our Operating Results”.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24"/>
        </w:trPr>
        <w:tc>
          <w:tcPr>
            <w:tcW w:w="6740" w:type="dxa"/>
            <w:vAlign w:val="bottom"/>
          </w:tcPr>
          <w:p>
            <w:pPr>
              <w:spacing w:after="0"/>
              <w:rPr>
                <w:sz w:val="10"/>
                <w:szCs w:val="10"/>
                <w:color w:val="auto"/>
              </w:rPr>
            </w:pPr>
          </w:p>
        </w:tc>
        <w:tc>
          <w:tcPr>
            <w:tcW w:w="1080" w:type="dxa"/>
            <w:vAlign w:val="bottom"/>
            <w:gridSpan w:val="2"/>
          </w:tcPr>
          <w:p>
            <w:pPr>
              <w:jc w:val="right"/>
              <w:ind w:right="150"/>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right"/>
              <w:ind w:right="150"/>
              <w:spacing w:after="0" w:line="124" w:lineRule="exact"/>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80"/>
        </w:trPr>
        <w:tc>
          <w:tcPr>
            <w:tcW w:w="67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4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costs these strategies require, we believe this ratio provides an enhanced view of our effectiveness in managing these costs and mitigates the impact of changing lumber prices.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Borders>
              <w:bottom w:val="single" w:sz="8" w:color="auto"/>
            </w:tcBorders>
          </w:tcPr>
          <w:p>
            <w:pPr>
              <w:spacing w:after="0"/>
              <w:rPr>
                <w:sz w:val="15"/>
                <w:szCs w:val="15"/>
                <w:color w:val="auto"/>
              </w:rPr>
            </w:pPr>
          </w:p>
        </w:tc>
      </w:tr>
      <w:tr>
        <w:trPr>
          <w:trHeight w:val="124"/>
        </w:trPr>
        <w:tc>
          <w:tcPr>
            <w:tcW w:w="5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0"/>
                <w:szCs w:val="10"/>
                <w:color w:val="auto"/>
              </w:rPr>
            </w:pPr>
          </w:p>
        </w:tc>
        <w:tc>
          <w:tcPr>
            <w:tcW w:w="1360" w:type="dxa"/>
            <w:vAlign w:val="bottom"/>
          </w:tcPr>
          <w:p>
            <w:pPr>
              <w:jc w:val="right"/>
              <w:ind w:right="257"/>
              <w:spacing w:after="0" w:line="124" w:lineRule="exact"/>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80"/>
        </w:trPr>
        <w:tc>
          <w:tcPr>
            <w:tcW w:w="50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1,789,461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1,406,967</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832,079</w:t>
            </w:r>
          </w:p>
        </w:tc>
        <w:tc>
          <w:tcPr>
            <w:tcW w:w="24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682,253</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formerly known as UFP Industrial) and UFP Construction (“Construction”), and align with the end markets we serve. Among other things, this structure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by segment for December 31, 2022 and December 25, 2021.</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3,650,639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2,394,681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3,143,868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9,626,739</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3,306,112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1,808,449</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2,417,212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7,837,278</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1,789,461</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(7,032)</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832,079</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150,327</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335,245</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397,434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58,630</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950,184</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755"/>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25, 2021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3,418,337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2,148,142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2,698,434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8,636,134</w:t>
            </w: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3,120,634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1,683,466</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2,167,405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237,696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7,229,167</w:t>
            </w: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1,406,967</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200,194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682,253</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(9,560)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128,764</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264,938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264,230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74,810</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737,554</w:t>
            </w:r>
          </w:p>
        </w:tc>
      </w:tr>
    </w:tbl>
    <w:p>
      <w:pPr>
        <w:spacing w:after="0" w:line="23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as a percentage of net sales by segment for December 31, 2022 and December 25, 2021.</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18"/>
        </w:trPr>
        <w:tc>
          <w:tcPr>
            <w:tcW w:w="214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Borders>
              <w:top w:val="single" w:sz="8" w:color="CCEEFF"/>
            </w:tcBorders>
            <w:shd w:val="clear" w:color="auto" w:fill="CCEEFF"/>
          </w:tcPr>
          <w:p>
            <w:pPr>
              <w:spacing w:after="0"/>
              <w:rPr>
                <w:sz w:val="18"/>
                <w:szCs w:val="18"/>
                <w:color w:val="auto"/>
              </w:rPr>
            </w:pPr>
          </w:p>
        </w:tc>
      </w:tr>
      <w:tr>
        <w:trPr>
          <w:trHeight w:val="198"/>
        </w:trPr>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0"/>
                <w:szCs w:val="20"/>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74"/>
        </w:trPr>
        <w:tc>
          <w:tcPr>
            <w:tcW w:w="550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300"/>
        </w:trPr>
        <w:tc>
          <w:tcPr>
            <w:tcW w:w="21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25, 2021</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318"/>
        </w:trPr>
        <w:tc>
          <w:tcPr>
            <w:tcW w:w="214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Pr>
          <w:p>
            <w:pPr>
              <w:spacing w:after="0"/>
              <w:rPr>
                <w:sz w:val="19"/>
                <w:szCs w:val="19"/>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Borders>
              <w:top w:val="single" w:sz="8" w:color="CCEEFF"/>
            </w:tcBorders>
            <w:shd w:val="clear" w:color="auto" w:fill="CCEEFF"/>
          </w:tcPr>
          <w:p>
            <w:pPr>
              <w:spacing w:after="0"/>
              <w:rPr>
                <w:sz w:val="18"/>
                <w:szCs w:val="18"/>
                <w:color w:val="auto"/>
              </w:rPr>
            </w:pPr>
          </w:p>
        </w:tc>
      </w:tr>
      <w:tr>
        <w:trPr>
          <w:trHeight w:val="198"/>
        </w:trPr>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0"/>
                <w:szCs w:val="20"/>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21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The following table presents estimates, for the periods indicated, of our percentage change in net sales which were attributable to changes in overall selling prices versus changes in units shipped.</w:t>
      </w:r>
    </w:p>
    <w:p>
      <w:pPr>
        <w:spacing w:after="0" w:line="182" w:lineRule="exact"/>
        <w:rPr>
          <w:rFonts w:ascii="Times New Roman" w:cs="Times New Roman" w:eastAsia="Times New Roman" w:hAnsi="Times New Roman"/>
          <w:sz w:val="18"/>
          <w:szCs w:val="18"/>
          <w:color w:val="auto"/>
        </w:rPr>
      </w:pPr>
    </w:p>
    <w:p>
      <w:pPr>
        <w:ind w:left="6780" w:hanging="170"/>
        <w:spacing w:after="0"/>
        <w:tabs>
          <w:tab w:leader="none" w:pos="6780" w:val="left"/>
        </w:tabs>
        <w:numPr>
          <w:ilvl w:val="1"/>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48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50"/>
              <w:spacing w:after="0" w:line="131"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9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7"/>
        </w:trPr>
        <w:tc>
          <w:tcPr>
            <w:tcW w:w="4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versus 2021</w:t>
            </w:r>
          </w:p>
        </w:tc>
        <w:tc>
          <w:tcPr>
            <w:tcW w:w="4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versus 2020</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67.6 %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720" w:right="7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Diversifying our end market sales mix</w:t>
      </w:r>
      <w:r>
        <w:rPr>
          <w:rFonts w:ascii="Times New Roman" w:cs="Times New Roman" w:eastAsia="Times New Roman" w:hAnsi="Times New Roman"/>
          <w:sz w:val="18"/>
          <w:szCs w:val="18"/>
          <w:color w:val="auto"/>
        </w:rPr>
        <w:t xml:space="preserve"> by increasing sales of structural and protective packaging and machine-built pallets to industrial users, increasing our penetration of the concrete forming market, and increasing our market share with independent retailers.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Increasing our sales of "value-added" products and enhancing our product offering with new or improved products</w:t>
      </w:r>
      <w:r>
        <w:rPr>
          <w:rFonts w:ascii="Times New Roman" w:cs="Times New Roman" w:eastAsia="Times New Roman" w:hAnsi="Times New Roman"/>
          <w:sz w:val="18"/>
          <w:szCs w:val="18"/>
          <w:color w:val="auto"/>
        </w:rPr>
        <w:t>. 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70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320" w:type="dxa"/>
            <w:vAlign w:val="bottom"/>
          </w:tcPr>
          <w:p>
            <w:pPr>
              <w:spacing w:after="0"/>
              <w:rPr>
                <w:sz w:val="15"/>
                <w:szCs w:val="15"/>
                <w:color w:val="auto"/>
              </w:rPr>
            </w:pPr>
          </w:p>
        </w:tc>
        <w:tc>
          <w:tcPr>
            <w:tcW w:w="22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25, 2021</w:t>
            </w:r>
          </w:p>
        </w:tc>
      </w:tr>
      <w:tr>
        <w:trPr>
          <w:trHeight w:val="169"/>
        </w:trPr>
        <w:tc>
          <w:tcPr>
            <w:tcW w:w="4320" w:type="dxa"/>
            <w:vAlign w:val="bottom"/>
          </w:tcPr>
          <w:p>
            <w:pPr>
              <w:spacing w:after="0"/>
              <w:rPr>
                <w:sz w:val="14"/>
                <w:szCs w:val="14"/>
                <w:color w:val="auto"/>
              </w:rPr>
            </w:pPr>
          </w:p>
        </w:tc>
        <w:tc>
          <w:tcPr>
            <w:tcW w:w="10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20" w:type="dxa"/>
            <w:vAlign w:val="bottom"/>
          </w:tcPr>
          <w:p>
            <w:pPr>
              <w:spacing w:after="0"/>
              <w:rPr>
                <w:sz w:val="14"/>
                <w:szCs w:val="14"/>
                <w:color w:val="auto"/>
              </w:rPr>
            </w:pPr>
          </w:p>
        </w:tc>
        <w:tc>
          <w:tcPr>
            <w:tcW w:w="21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20" w:type="dxa"/>
            <w:vAlign w:val="bottom"/>
          </w:tcPr>
          <w:p>
            <w:pPr>
              <w:spacing w:after="0"/>
              <w:rPr>
                <w:sz w:val="14"/>
                <w:szCs w:val="14"/>
                <w:color w:val="auto"/>
              </w:rPr>
            </w:pPr>
          </w:p>
        </w:tc>
      </w:tr>
      <w:tr>
        <w:trPr>
          <w:trHeight w:val="216"/>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shd w:val="clear" w:color="auto" w:fill="CCEEFF"/>
          </w:tcPr>
          <w:p>
            <w:pPr>
              <w:spacing w:after="0"/>
              <w:rPr>
                <w:sz w:val="18"/>
                <w:szCs w:val="18"/>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20" w:type="dxa"/>
            <w:vAlign w:val="bottom"/>
          </w:tcPr>
          <w:p>
            <w:pPr>
              <w:spacing w:after="0"/>
              <w:rPr>
                <w:sz w:val="20"/>
                <w:szCs w:val="20"/>
                <w:color w:val="auto"/>
              </w:rPr>
            </w:pPr>
          </w:p>
        </w:tc>
      </w:tr>
    </w:tbl>
    <w:p>
      <w:pPr>
        <w:spacing w:after="0" w:line="13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increased approximately 3% in 2022 compared to 2021, due primarily to acquisitions completed in 2022. Our unit sales of commodity-based products were flat compared to 2021.</w:t>
      </w:r>
    </w:p>
    <w:p>
      <w:pPr>
        <w:spacing w:after="0" w:line="176" w:lineRule="exact"/>
        <w:rPr>
          <w:sz w:val="20"/>
          <w:szCs w:val="20"/>
          <w:color w:val="auto"/>
        </w:rPr>
      </w:pPr>
    </w:p>
    <w:p>
      <w:pPr>
        <w:jc w:val="both"/>
        <w:ind w:left="720" w:right="79" w:hanging="319"/>
        <w:spacing w:after="0" w:line="255"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We define new products as those that will generate sales of at least $1 million per year within 4 years of launch and are still growing and gaining market penetration. Our goal was to achieve annual new product sales of at least $575 million in 2022. New product sales and gross profits in 2022 were up 53% and 22%, respectively, from the prior year. Acquisitions contributed approximately $64 million to new product sales in 2022. Approximately $377 million of new product sales for 2021, while still sold, were sunset in 2022 and excluded from the table below because they no longer meet the definition above. The table below presents new product sales in thousands.</w:t>
      </w:r>
    </w:p>
    <w:p>
      <w:pPr>
        <w:spacing w:after="0" w:line="169"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155"/>
        </w:trPr>
        <w:tc>
          <w:tcPr>
            <w:tcW w:w="3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17"/>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r>
      <w:tr>
        <w:trPr>
          <w:trHeight w:val="151"/>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55"/>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317"/>
              <w:spacing w:after="0" w:line="15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280" w:type="dxa"/>
            <w:vAlign w:val="bottom"/>
            <w:gridSpan w:val="2"/>
          </w:tcPr>
          <w:p>
            <w:pPr>
              <w:ind w:left="880"/>
              <w:spacing w:after="0" w:line="151" w:lineRule="exact"/>
              <w:rPr>
                <w:sz w:val="20"/>
                <w:szCs w:val="20"/>
                <w:color w:val="auto"/>
              </w:rPr>
            </w:pPr>
            <w:r>
              <w:rPr>
                <w:rFonts w:ascii="Calibri" w:cs="Calibri" w:eastAsia="Calibri" w:hAnsi="Calibri"/>
                <w:sz w:val="14"/>
                <w:szCs w:val="14"/>
                <w:b w:val="1"/>
                <w:bCs w:val="1"/>
                <w:color w:val="auto"/>
              </w:rPr>
              <w:t>%</w:t>
            </w:r>
          </w:p>
        </w:tc>
        <w:tc>
          <w:tcPr>
            <w:tcW w:w="300" w:type="dxa"/>
            <w:vAlign w:val="bottom"/>
          </w:tcPr>
          <w:p>
            <w:pPr>
              <w:spacing w:after="0"/>
              <w:rPr>
                <w:sz w:val="13"/>
                <w:szCs w:val="13"/>
                <w:color w:val="auto"/>
              </w:rPr>
            </w:pPr>
          </w:p>
        </w:tc>
      </w:tr>
      <w:tr>
        <w:trPr>
          <w:trHeight w:val="180"/>
        </w:trPr>
        <w:tc>
          <w:tcPr>
            <w:tcW w:w="37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278,402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86.9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102,661</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43.9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and Corporate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Product Sales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736,025</w:t>
            </w: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480,022</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sales from the Retail segment increased 7% in 2022 compared to 2021 due to a 7% increase in selling prices and unit growth from acquisitions of 5%, offset by a 2% decrease due to the transfer of certain product sales to the Construction segment this year and an organic unit decline of 3%. Our change in organic unit sales was comprised of:</w:t>
      </w:r>
    </w:p>
    <w:p>
      <w:pPr>
        <w:spacing w:after="0" w:line="176"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 increase of UFP Edge due to capacity expansion.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 increase of ProWood due primarily to expansion of our fire treating capabilities.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 decline of Deckorators due to more normalized demand in Canada in 2022 compared to 2021 when we had a large inventory build with a customer in the prior period.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 decline of Sunbelt due to more normalized demand from their big box customers.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decline of Outdoor Essentials primarily due to a softening of fencing demand in the second half of 2022.</w:t>
      </w:r>
    </w:p>
    <w:p>
      <w:pPr>
        <w:spacing w:after="0" w:line="22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 addition, new product sales increased approximately 35.6% to $307 million in 2022 compared to 2021 and our sales to big box customers increased 9%.</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increased 15.7% to $344.5 million in 2022 compared to 2021. Our change in gross profits was attributable to the following:</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Sunbelt and ProWood business units increased by a total of $45.3 million. The products sold by these units consist primarily of pressure treated lumber sold at a variable price tied to the lumber market. Our gross profits improved in 2022 due to a less severe impact of volatile lumber prices due, in part, to better inventory positioning relative to demand and increased use of vendor managed inventory programs.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contributed $19.9 million to the increase.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Deckorator’s business unit increased by approximately $1.7 million.</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Outdoor Essentials and other business units collectively decreased by approximately $8.6 million.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certain sales to the Construction segment reduced gross profits by $11.7 million.</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$24.4 million, or 14.4%, in 2022 compared to 2021. The SG&amp;A of recently acquired businesses contributed approximately $8.4 million to this increase. Accrued bonus expense, which varies with our overall profitability and return on investment, increased approximately $2.0 million and totaled approximately $37.0 million in 2022. The remaining increase was primarily due to increases in sales incentive compensation of $8.6 million, travel related expenses of $2.5 million, advertising expenses of $2.0 million, and bad debt expenses of $1.4 million.</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of the Retail reportable segment increased in 2022 compared to 2021 by $21.6 million, or 16.8%, as a result of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Packaging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sales from the Packaging segment increased 11% in 2022 compared to 2021 due to a 12% increase in selling prices attributable to favorable sales mix changes, as well as selective and value-based selling strategies. Unit sales declined 1% as the favorable impact of recent acquisitions was offset by a 2% decrease in organic unit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Gross profits increased by $121.6 million, or 26%, to $586.2 million in 2022 compared to 2021. Acquisitions contributed $7.0 million to the increase in gross profit. The remaining increase is primarily a result of the pricing increases discussed above as well as favorable changes in our value-added sales mix. Excluding acquisitions, we estimate that value-added products contributed $117.7 million to the increase in gross profit, offset by a decrease of $3.1 million in the gross profit of commodity-based products. Value-added sales increased to 71.7% of total net sales in 2022 compared to 67.9% in 2021. The increase in value-added sales and gross profits is due in part to new products which contributed $78.7 million to gross profits this year ($6.2 million from the acquisition of Advantage Label at the end of 2021).</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$50.7 million, or 25.3%, in 2022 compared to 2021. Acquired operations in 2022 contributed approximately $4.5 million to total SG&amp;A expenses. Accrued bonus expense increased approximately $11.1 million compared to last year and totaled approximately $82.2 million for 2022. The remaining increase was primarily due to increases in bad debt expenses of $10.1 million, salaries and wages of $6.0 million, sales incentive compensation of $3.3 million, and travel related expenses of $2.2 million.</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of the Packaging reportable segment in 2022 increased by $70.3 million, or 26.5%, compared to 2021 due to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from the Construction segment increased 17% in 2022 compared to 2021 due to an 11% increase in selling prices, 2% due to the transfer of certain product sales from the Retail segment, and organic unit sales growth of 4%. Organic unit changes within this segment consisted of increases of 28% in concrete forming, 30% in commercial construction, and 8% in factory-built housing. The organic unit sales of our site-built business unit decreased by 8% due to a combination of capacity and supply constraints and being more selective in the business we pursued.</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organic increase in commercial is primarily due to an increase in customer demand in its retail market. As of December 31, 2022, we estimate that backlog orders associated with commercial construction totaled $136.7 million compared to $84.6 million as of December 25, 2021.</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organic unit increase in concrete forming is primarily due to market share gains from sales of new products and new customers, including geographic expansion in the northeast. The increase is comprised of a 30% increase in our value-added unit sales and a 22% increase in our commodity-based unit sales. The value-added unit increase includes sales of manufactured and assembled concrete forms and engineered wood product sales.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organic unit increase in factory-built housing is primarily due to an increase in industry production.</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supply constraints combined with our selective selling strategy impacted our ability to grow the unit sales of our site-built business unit. As of December 31, 2022 and December 25, 2021, we estimate that backlog orders associated with site-built construction totaled $91.1 million and $113.5 million, respectively.</w:t>
      </w:r>
    </w:p>
    <w:p>
      <w:pPr>
        <w:spacing w:after="0" w:line="39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increased by $195.6 million, or 36.8% to $726.7 million in 2022 compared to 2021. The increase in our gross profit was comprised of the following factors:</w:t>
      </w:r>
    </w:p>
    <w:p>
      <w:pPr>
        <w:spacing w:after="0" w:line="162" w:lineRule="exact"/>
        <w:rPr>
          <w:sz w:val="20"/>
          <w:szCs w:val="20"/>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site-built construction business unit increased by $136.4 million as a result of being more selective in the business that we took during a period of elevated demand and capacity and supply constraints.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720" w:right="7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our factory-built housing business unit increased by $20.7 million as a result of increased unit sales and leveraging fixed costs. In addition, value-added sales in this business unit increased to 57.8% of total net sales in 2022 compared to 52.0% in 2021, and an increase in new product sales contributed approximately $4 million in gross profits this year.</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business unit increased $18.2 million as a result of increases in unit sales, better productivity and other operational improvements, as well as improved pricing discipline.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increased by $19.1 million, including $11.7 million as a result of the transfer of sales from the Retail segment.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contributed $1.2 million.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expenses increased by approximately $60.8 million, or 22.8%, in 2022 compared to 2021. Acquired operations in 2022 contributed approximately $1.2 million to total SG&amp;A expenses. Accrued bonus expense increased approximately $25.1 million compared to last year and totaled approximately $95.9 million for 2022. The remaining increase was primarily due to increases in sales incentives of $8.1 million, bad debt expense of $6.2 million, salaries, wages, and benefits of $6.3 million, and travel related expenses of $2.6 million.</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of the Construction reportable segment increased in 2022 compared to 2021 by $133.2 million, or 50.4%,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 Other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 to our overall results. The decrease in earnings from operations is primarily due to a 4% decrease in gross margin in the International segment and a 16% decrease in gross margin in our Ardellis segment, as well as a 3% increase in SG&amp;A as a percentage of net sales in our Ardellis segment, and $4.3 million of impairments of goodwill and other intangible assets in our Italian reporting unit.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corporate segment primarily consists of net sales and gross profits on sales to external customers initiated by UFP Purchasing and UFP Transportation and over (under) allocated costs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expense increased by only $0.1 million in 2022 compared to 2021 due to consistent debt balances year over year and interest on our outstanding debt during each period was primarily charged at fixed rates. See “Note C of Notes to the Consolidated Financial Statements”.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1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state and local income taxes, and permanent tax differences. Our effective tax rate was 24.6% in 2022 compared to 23.9% in 2021. The increase was primarily due to an increase in non-deductible compensation, as well as prior year one time credits which decreased the 2021 tax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COMMITMENTS AND CONTRACTUAL OBLIGATIONS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no significant off-balance sheet commitments. The following table summarizes our contractual obligations as of December 31, 2022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24"/>
        </w:trPr>
        <w:tc>
          <w:tcPr>
            <w:tcW w:w="4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35"/>
              <w:spacing w:after="0" w:line="124" w:lineRule="exact"/>
              <w:rPr>
                <w:sz w:val="20"/>
                <w:szCs w:val="20"/>
                <w:color w:val="auto"/>
              </w:rPr>
            </w:pPr>
            <w:r>
              <w:rPr>
                <w:rFonts w:ascii="Times New Roman" w:cs="Times New Roman" w:eastAsia="Times New Roman" w:hAnsi="Times New Roman"/>
                <w:sz w:val="14"/>
                <w:szCs w:val="14"/>
                <w:b w:val="1"/>
                <w:bCs w:val="1"/>
                <w:color w:val="auto"/>
                <w:w w:val="97"/>
              </w:rPr>
              <w:t>Less than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77"/>
              <w:spacing w:after="0" w:line="124" w:lineRule="exact"/>
              <w:rPr>
                <w:sz w:val="20"/>
                <w:szCs w:val="20"/>
                <w:color w:val="auto"/>
              </w:rPr>
            </w:pPr>
            <w:r>
              <w:rPr>
                <w:rFonts w:ascii="Times New Roman" w:cs="Times New Roman" w:eastAsia="Times New Roman" w:hAnsi="Times New Roman"/>
                <w:sz w:val="14"/>
                <w:szCs w:val="14"/>
                <w:b w:val="1"/>
                <w:bCs w:val="1"/>
                <w:color w:val="auto"/>
              </w:rPr>
              <w:t>1 – 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5"/>
              <w:spacing w:after="0" w:line="124" w:lineRule="exact"/>
              <w:rPr>
                <w:sz w:val="20"/>
                <w:szCs w:val="20"/>
                <w:color w:val="auto"/>
              </w:rPr>
            </w:pPr>
            <w:r>
              <w:rPr>
                <w:rFonts w:ascii="Times New Roman" w:cs="Times New Roman" w:eastAsia="Times New Roman" w:hAnsi="Times New Roman"/>
                <w:sz w:val="14"/>
                <w:szCs w:val="14"/>
                <w:b w:val="1"/>
                <w:bCs w:val="1"/>
                <w:color w:val="auto"/>
                <w:w w:val="99"/>
              </w:rPr>
              <w:t>3 – 5</w:t>
            </w:r>
          </w:p>
        </w:tc>
        <w:tc>
          <w:tcPr>
            <w:tcW w:w="140" w:type="dxa"/>
            <w:vAlign w:val="bottom"/>
          </w:tcPr>
          <w:p>
            <w:pPr>
              <w:spacing w:after="0"/>
              <w:rPr>
                <w:sz w:val="10"/>
                <w:szCs w:val="10"/>
                <w:color w:val="auto"/>
              </w:rPr>
            </w:pPr>
          </w:p>
        </w:tc>
        <w:tc>
          <w:tcPr>
            <w:tcW w:w="800" w:type="dxa"/>
            <w:vAlign w:val="bottom"/>
          </w:tcPr>
          <w:p>
            <w:pPr>
              <w:jc w:val="right"/>
              <w:ind w:right="157"/>
              <w:spacing w:after="0" w:line="124" w:lineRule="exact"/>
              <w:rPr>
                <w:sz w:val="20"/>
                <w:szCs w:val="20"/>
                <w:color w:val="auto"/>
              </w:rPr>
            </w:pPr>
            <w:r>
              <w:rPr>
                <w:rFonts w:ascii="Times New Roman" w:cs="Times New Roman" w:eastAsia="Times New Roman" w:hAnsi="Times New Roman"/>
                <w:sz w:val="14"/>
                <w:szCs w:val="14"/>
                <w:b w:val="1"/>
                <w:bCs w:val="1"/>
                <w:color w:val="auto"/>
              </w:rPr>
              <w:t>After</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80"/>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$ 228,665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$ 278,096</w:t>
            </w: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interest on long-term debt and finance lease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77,850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132,205</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Capital project purchase obligations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67,599</w:t>
            </w:r>
          </w:p>
        </w:tc>
      </w:tr>
      <w:tr>
        <w:trPr>
          <w:trHeight w:val="21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$ 284,661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$ 555,750</w:t>
            </w: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2022, we also had $59.0 million in outstanding letters of credit issued during the normal course of business, as required by some vendor contracts.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80"/>
        </w:trPr>
        <w:tc>
          <w:tcPr>
            <w:tcW w:w="56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512,477</w:t>
            </w: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(353,936)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(611,187)</w:t>
            </w:r>
          </w:p>
        </w:tc>
        <w:tc>
          <w:tcPr>
            <w:tcW w:w="1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(210,210)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14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40" w:type="dxa"/>
            <w:vAlign w:val="bottom"/>
            <w:tcBorders>
              <w:bottom w:val="single" w:sz="8" w:color="CCEEFF"/>
            </w:tcBorders>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(145,385)</w:t>
            </w:r>
          </w:p>
        </w:tc>
        <w:tc>
          <w:tcPr>
            <w:tcW w:w="14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436,608</w:t>
            </w:r>
          </w:p>
        </w:tc>
        <w:tc>
          <w:tcPr>
            <w:tcW w:w="140" w:type="dxa"/>
            <w:vAlign w:val="bottom"/>
            <w:tcBorders>
              <w:bottom w:val="single" w:sz="8" w:color="CCEEFF"/>
            </w:tcBorders>
          </w:tcPr>
          <w:p>
            <w:pPr>
              <w:spacing w:after="0"/>
              <w:rPr>
                <w:sz w:val="19"/>
                <w:szCs w:val="19"/>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291,223</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payables are outstanding) is a good indicator of our working capital management. As indicated in the table below, our cash cycle decreased slightly to 56 days in 2022 from 57 days in 2021.</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24"/>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80"/>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8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1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20" w:type="dxa"/>
            <w:vAlign w:val="bottom"/>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payables outstanding</w:t>
            </w:r>
          </w:p>
        </w:tc>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3"/>
        </w:trPr>
        <w:tc>
          <w:tcPr>
            <w:tcW w:w="36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16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increase in our days of sales outstanding was primarily due to increases in our packaging and construction segments. The decrease in our days supply of inventory was due to better inventory positioning relative to demand and increased usage of vendor managed inventories in 2022.</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cash flows from operating activities in 2022 was $831.6 million, which was comprised of net earnings of $705.0 million and $138.9 million of non-cash expenses, offset by a $12.3 million increase in working capital since the end of December 2021. Comparatively, cash generated from operating activities was approximately $512.5 million in 2021, which was comprised of net earnings of $552.4 million and $114.8 million of non-cash expenses, offset by a $12.0 million gain on the sale of certain assets and $142.7 million increase in working capital since the end of December 2020. Our investment in working capital at the end of 2022 was impacted by a softening of demand and a decline in lumber prices near the end of the year.</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cash used in investing activities during 2022 was $353.9 million, primarily reflecting purchases of property, plant, and equipment totaling $174.1 million and business acquisitions totaling $180.2 million. See “Note C of Notes to the Consolidated Financial Statements”. Our outstanding purchase commitments on existing capital projects totaled approximately $63.2 million on December 31, 2022. Capital spending primarily consists of several projects to expand capacity to manufacture new and value-added products, achieve efficiencies through automation, make improvements to a number of facilities, and increase our transportation capacity (tractors, trailers) in order to meet higher volumes and replace old rolling stock. Notable areas of capital spending include projects to:</w:t>
      </w:r>
    </w:p>
    <w:p>
      <w:pPr>
        <w:spacing w:after="0" w:line="189" w:lineRule="exact"/>
        <w:rPr>
          <w:sz w:val="20"/>
          <w:szCs w:val="20"/>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capacity and efficiency of our plants that produce our Deckorators mineral-based composite and wood-plastic composite decking</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capacity to produce UFP Edge siding, pattern and trim products, machine-built pallets, engineered wood and metal components for site-built construction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automation opportunities.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working environment of several facilities.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we sold property, plants, and equipment for proceeds of $3.8 million. Finally, the sale and purchase of investments totaling $12.9 million and $19.9 million, respectively, are due to investment activity in our captive insurance subsidiary. Comparatively, cash used in investing activities during 2021 was $611.2 million, reflecting purchases of property, plant, and equipment totaling $151.2 million, business acquisitions totaling $476.0 million, proceeds from the sale of property, plant, and equipment of $30.0 million, and the sale and purchase of investments totaling $14.9 million and $23.8 million, respectively, due to investment activity in our captive insurance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Cash flows used in financing activities during 2022 primarily consisted of the payment of quarterly dividends totaling $58.9 million, distributions to noncontrolling interests of $12.0 million, $95.8 million in repurchases of our common stock at an average price of $76.83 per share, and net debt repayments of $41.2 million. Comparatively in 2021, cash flows used in financing activities consisted of $40.2 million in dividend payments, $6.8 million in distributions to noncontrolling interests, and net borrowings under our revolving credit facility of $3.4 million. The increase in our dividends is primarily due to an increase in the rates our board approved as a result of our growth in earnings and operating cash flow.</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November 1, 2018, we entered into a five-year, $375 million unsecured revolving credit facility with a syndicate of U.S. banks. On February 28, 2021, this credit agreement was amended to increase the availability from $375 million to $550 million by exercising the accordion feature in the original agreement. On December 6, 2022, a second amendment was filed increasing the availability from $550 million to $750 million. The facilities now include up to $60 million which may be advanced in the form of letters of credit, and up to $100 million (U.S. dollar equivalent) which may be advanced in Canadian dollars, Australian dollars,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15.0 to 30.0 basis points, also determined based upon our performance. The facility fee is payable quarterly in arrears.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December 31, 2022, we had $5.5 million outstanding on our $750 million revolving credit facility, and we had approximately $741.2 million in remaining availability after considering $3.3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CONSIDERATIONS AND REGULATIONS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Notes to Consolidated Financial Statements, Note L, “Commitments, Contingencies, and Guarantees”.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evaluate goodwill for indicators of impairment when events or circumstances indicate that this risk may be present. Our judgments regarding the existence of impairment are based on market conditions, operational performance and estimated future cash flows. Determining whether an impairment has occurred requires the valuation of the respective reporting unit, which we have consistently estimated using primarily a weighted average between income and market valuation approaches. We believe this approach is the most appropriate and accurate method to measure the fair value of our intangible assets. We use discounted cash flow analysis with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the carrying value of goodwill is considered impaired, an impairment charge is recorded to adjust it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our annual testing date of September 24, 2022, we experienced significantly lower than expected operating results within our italian reporting unit, which is within the All Other segment. It was determined that the carrying value of the Italian reporting unit exceeded its fair value and we recorded a non-cash goodwill impairment charge of $2.5 million as of December 31, 2022, which represented the entire amount of the goodwill recorded within the reporting unit, as a result. For the remaining reporting units, the fair values exceed the carrying values and there were no indicators for impairment. We believe we have sufficient available information, both current and historical, to support our assumptions, judgments and estimates used in the goodwill impairment test.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Revenue for product sales is recognized at the time the performance obligation is satisfied, which is primarily when the goods are delivered to the carrier, Free On Board (FOB) shipping point. Generally, title passes at the time of shipment. In certain circumstances, the customer takes title when the shipment arrives at the destination. However, our shipping process is typically completed the same day.</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Performance on construction contracts is reflected in operations using over time accounting, under either the cost to cost or units of delivery methods, depending on the nature of the business at individual operations.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SHORT-TERM OUTLOOK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current economic conditions indicate the U.S. economy is either in or headed towards a recession, which will impact our results and vary depending on its severity and duration. The following factors should be considered when evaluating our future results:</w:t>
      </w:r>
    </w:p>
    <w:p>
      <w:pPr>
        <w:spacing w:after="0" w:line="176" w:lineRule="exact"/>
        <w:rPr>
          <w:sz w:val="20"/>
          <w:szCs w:val="20"/>
          <w:color w:val="auto"/>
        </w:rPr>
      </w:pPr>
    </w:p>
    <w:p>
      <w:pPr>
        <w:jc w:val="both"/>
        <w:ind w:left="720" w:right="7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Lumber prices, which impact our cost of goods sold and selling prices, have normalized due to additional capacity added by sawmills and demand falling from peak levels as a result of inflation and increase in interest rates. We anticipate lumber prices will follow a more typical seasonal pattern consistent with historical trends and demand.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jc w:val="both"/>
        <w:ind w:left="720" w:right="79" w:hanging="319"/>
        <w:spacing w:after="0" w:line="261"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segment sales accounted for 38% of our net sales in 2022. When evaluating future demand for the segment, we analyze data such as the same-store sales growth of national home improvement retailers and forecasts of home remodeling activity. Based on this data, we currently anticipate market demand to be flat to slightly down in 2023.</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segment sales accounted for 25% of our net sales in 2022. When evaluating future demand, we consider a number of metrics, including the Purchasing Managers Index (PMI), durable goods manufacturing, and U.S. real GDP. We currently estimate industrial production to be flat to slightly down in 2023.</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segment sales accounted for 33% of our net sales in 2022.</w:t>
      </w:r>
    </w:p>
    <w:p>
      <w:pPr>
        <w:spacing w:after="0" w:line="225" w:lineRule="exact"/>
        <w:rPr>
          <w:rFonts w:ascii="Times New Roman" w:cs="Times New Roman" w:eastAsia="Times New Roman" w:hAnsi="Times New Roman"/>
          <w:sz w:val="18"/>
          <w:szCs w:val="18"/>
          <w:color w:val="auto"/>
        </w:rPr>
      </w:pPr>
    </w:p>
    <w:p>
      <w:pPr>
        <w:jc w:val="both"/>
        <w:ind w:left="1380" w:right="79" w:hanging="331"/>
        <w:spacing w:after="0" w:line="254" w:lineRule="auto"/>
        <w:tabs>
          <w:tab w:leader="none" w:pos="13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14% of our net sales in 2022. Approximately one-third of site-built customers are multifamily builders. More than 75% of our site-built residential housing sales are in areas such as Texas and the Mid-Atlantic, Southeast and Mountain West regions, which have experienced significant population growth through migration from other states and are forecasted to continue to grow in the long term. When evaluating future demand, we analyze data from housing starts in those regions. The Mortgage Bankers Association of America forecasts a 10% decrease in national housing starts to an estimated 1.42 million starts in 2023 and the National Association of Home Builders forecasts starts of 1.14 million, a 27% decrease from 2022. The consensus estimates of all housing starts is for a 15% to 20% decline in 2023.</w:t>
      </w:r>
    </w:p>
    <w:p>
      <w:pPr>
        <w:spacing w:after="0" w:line="188" w:lineRule="exact"/>
        <w:rPr>
          <w:rFonts w:ascii="Times New Roman" w:cs="Times New Roman" w:eastAsia="Times New Roman" w:hAnsi="Times New Roman"/>
          <w:sz w:val="18"/>
          <w:szCs w:val="18"/>
          <w:color w:val="auto"/>
        </w:rPr>
      </w:pPr>
    </w:p>
    <w:p>
      <w:pPr>
        <w:jc w:val="both"/>
        <w:ind w:left="1380" w:right="79" w:hanging="331"/>
        <w:spacing w:after="0" w:line="256" w:lineRule="auto"/>
        <w:tabs>
          <w:tab w:leader="none" w:pos="13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business unit accounted for 12% of our net sales in 2022. This business, along with our multifamily business, could benefit from higher interest rates as buyers seek more affordable housing alternatives. As a result of these factors, we believe these customers are better insulated from downturns in the housing market. When evaluating future demand, we analyze data from production of manufactured housing. The National Association of Home Builders forecasts a 24% decrease in manufactured home shipments in 2023.</w:t>
      </w:r>
    </w:p>
    <w:p>
      <w:pPr>
        <w:spacing w:after="0" w:line="187"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concrete forming business units accounted for approximately 6% of our net sales in 2022. When evaluating future demand, we analyze data from non-residential construction spending.</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consolidated basis, and based on our 2022 results of operations and business mix, we believe our decremental operating margin is in a range of 15% to 20% of net sales. In other words, we believe for every dollar decrease in sales, relative to the prior year, our earnings from operations may decline by $0.15 to $0.20. As a point of reference, our peak to trough decremental operating margin during the Great Recession was approximately 13.5% (2006 peak to 2011 trough). We estimate that our decremental margins by segment are as follows:</w:t>
      </w:r>
    </w:p>
    <w:p>
      <w:pPr>
        <w:spacing w:after="0" w:line="18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is in a range of 20% to 25%</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is in a range of 20% to 25%</w:t>
      </w:r>
    </w:p>
    <w:p>
      <w:pPr>
        <w:spacing w:after="0" w:line="225"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anticipate improvement in operating profits in our Retail segment in 2023, primarily due to an expectation of less volatile lumber prices in 2023 and other operational improvements. The severe volatility of lumber prices in 2022 and 2021 adversely impacted the results of this segment.</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factors that may impact the ranges provided above include estimates of:</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level of the Lumber Market and trends in the commodity and other material costs of our products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selling prices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mix by segment, business unit, and product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labor rates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variable manufacturing, freight, selling, general, and administrative costs, particularly certain personnel costs, in line with net sales</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salaried bonus plan, which is based on pre-bonus profits and achieving minimum levels of pre-bonus return on investment over a required hurdle rate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changes in costs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LONG-TERM OUTLOOK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GOALS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objectives include:</w:t>
      </w:r>
    </w:p>
    <w:p>
      <w:pPr>
        <w:spacing w:after="0" w:line="225" w:lineRule="exact"/>
        <w:rPr>
          <w:sz w:val="20"/>
          <w:szCs w:val="20"/>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5 to 7 percent. We anticipate smaller tuck-in acquisitions will contribute toward this goal;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10 percent EBITDA margin by continuing to enhance our capabilities and grow our portfolio and sales of value-added products;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cost of capital;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Home Improvement Research Institute (“HIRI”) anticipates growth in home improvement spending and has forecasted a 3.9% compounded annual growth rate through 2025. Sales of our Retail Solutions segment comprised approximately 38% of our annual sales in 2022.</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continue to compete for market share for certain retail customers and face intense pricing pressure from other suppliers to this market.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goal is to achieve sales growth by:</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market share of value-added products, including our Deckorators, Edge, and Outdoor Essentials product lines. Continued investment in capacity for Deckorators and Edge is expected to contribute to this increase.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and increasing our emphasis on product innovation and product differentiation in order to counter commoditization trends and influences.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businesses in core product categories when those opportunities exist.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products and customers through strategic business acquisitions or alliances.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PACKAGING SEGMENT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goal is to increase our sales of wood, wood alternative, and protective packaging products to a wide variety of packaging customers and manufactured wood components for OEM users. We believe the vast amount of hardwood and softwood lumber consumed for packaging applications, combined with the highly fragmented nature of this market, provides us with market share growth opportunities as a result of our competitive advantages in manufacturing, purchasing, and material utilization. In addition, purchasers of packaging products with a wide geographic footprint increasingly desire to reduce the number of suppliers they buy from, which provides an opportunity to gain market share due to our international presence. We plan to continue to obtain market share by expanding our manufacturing capacity, enhancing our capabilities and product offerings to enhance the solutions we offer our customers, and improving our ability to serve large regional and international customers in targeted markets. We plan to continue to pursue acquisition opportunities that meet our strategic criteria and help us meet these objectives. The recently implemented reorganization of our business to market-based segments is intended to promote higher rates of sales growth through the introduction of new products, including protective and other packaging materials, and enhanced expertise in this market as well as improved earnings through more efficient use of our people, resources and capital.</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Market indicators that should be considered when evaluating future demand for our products in the packaging segment include industrial production, the Purchasing Managers Index, and U.S. GDP. Sales in this segment comprised approximately 25% of our annual sales in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SEGMENT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National Association of Home Builders forecasts a 6% decrease in manufactured home shipments from 2023 to 2024. We currently supply approximately 45.0% of the trusses used in manufactured housing and we will strive to maintain our market share of trusses produced for this market. Sales of our Factory Built business unit within our Construction segment comprised approximately 12% of our annual sales in 2022.</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Mortgage Bankers Association of America forecasts national housing starts of 1.54 million in 2024 and the National Association of Home Builders forecasts starts of 1.3 million in 2024. The consensus estimate of all housing starts is 1.36 million, a 7% increase from 2023. As a result of our conservative approach to adding capacity to serve this market and focus on managing potential channel conflicts with certain customers, our growth may trail the market in future years. Sales of our Site Built business unit within our Construction segment comprised approximately 14% of our annual sales in 2022.</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Non-residential construction spending is a market indicator that should be considered when evaluating future demand for our products in our Commercial and Concrete Forming business units within our Construction segment. Sales in these business units comprised approximately 4% and 3%, respectively, of our annual sales in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believe the following factors may impact our gross profits and margins in the future:</w:t>
      </w:r>
    </w:p>
    <w:p>
      <w:pPr>
        <w:spacing w:after="0" w:line="225" w:lineRule="exact"/>
        <w:rPr>
          <w:sz w:val="20"/>
          <w:szCs w:val="20"/>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market demand and our ability to grow and leverage fixed costs and price our products based on the value we offer our customers.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0"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implementation of our strategy to focus and manage our operations around the markets we serve.</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89" w:lineRule="auto"/>
        <w:tabs>
          <w:tab w:leader="none" w:pos="7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w:t>
      </w:r>
    </w:p>
    <w:p>
      <w:pPr>
        <w:spacing w:after="0" w:line="157"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mix of value-added and commodity products.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relative level of the Lumber Market and trends in the market price of lumber. (See "Impact of the Lumber Market on our Operating Results.")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and transportation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labor and benefit costs.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achieve productivity improvements as our unit sales increase and planned cost reductions through continuous improvement activities, automation, and other initiatives.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income tax rates and the cost of complying with new or increased government regulations.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recent years, selling, general and administrative (SG&amp;A) expenses have increased due to acquisitions and added personnel hired to take advantage of growth opportunities and execute our initiatives intended to increase our sales of new products and improve our sales mix of value-added products. We anticipate our trend of increases in these costs will continue; however, our objective is to reduce these costs on a per unit basis and as a percentage of gross profits as we grow through the improved productivity of our people and as a result of fixed costs. In addition, bonus and other incentive expenses is based on our profitability and the effective management of our assets and will continue to fluctuate based on our results. See Note H — Common Stock for discussion of future compensation costs related to long-term share-based bonus awards.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 long-term basis, we expect that our SG&amp;A expenses will primarily be impacted by:</w:t>
      </w:r>
    </w:p>
    <w:p>
      <w:pPr>
        <w:spacing w:after="0" w:line="225" w:lineRule="exact"/>
        <w:rPr>
          <w:sz w:val="20"/>
          <w:szCs w:val="20"/>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in sales to the packaging and the construction segments. Our sales to these segments require a higher ratio of SG&amp;A costs due, in part, to product design and engineering requirements.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products and value-added, branded products to the retail segment, which generally require higher product development, marketing, advertising, and other selling costs.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compensation programs which are tied to gross profits, pre-bonus earnings from operations and threshold levels of return on investment.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success in achieving continuous improvement objectives designed to improve our productivity and leverage our fixed costs as we grow.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cash cycle will continue to be impacted in the future by our mix of sales by segment. Sales from our Construction and Packaging segments require a greater investment in receivables than sales to our Retail segment, while our Retail segment generally requires a greater investment in inventory. Also, our net investment in trade receivables, inventory, and accounts payable will continue to be impacted by the level of lumber prices.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Additionally, we expect to spend approximately $200 million to $225 million on capital expenditures, incur depreciation of approximately $120 million, and incur amortization and other non-cash expenses of approximately $35 million in 2023.</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31, 2022, we had outstanding purchase commitments on capital projects of approximately $63.2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dividend rates are reviewed and approved at each of our February, April, July, and October board meetings and payments are made in March, June, September, and December of each year. Our board considers our dividend yield, payout ratios relative to earnings and operating cash flow, and potential variability of future results, among other factors, as part of its decision-making process.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a share repurchase program approved by our Board of Directors, and as of March 1, 2023 we have remaining authorization to buy back approximately 2 million shares. In the past, we have repurchased shares in order to offset the effect of issuances resulting from our employee benefit plans and at opportune times when our stock price falls to predetermined levels.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9"/>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UFP Industries,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UFP Industries, Inc.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1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9"/>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UFP Industries, Inc.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UFP Industries, Inc. and subsidiaries (the "Company") as of December 31, 2022 and December 25, 2021, the related consolidated statements of earnings and comprehensive income, shareholders'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December 25, 2021, and the results of its operations and its cash flows for each of the three years in the period ended December 31, 2022, in conformity with accounting principles generally accepted in the United States of America.</w:t>
      </w:r>
    </w:p>
    <w:p>
      <w:pPr>
        <w:spacing w:after="0" w:line="13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1, 2023, expressed an unqualified opinion on the Company's internal control over financial reporting.</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Accounting for Unconsolidated Variable Interest Entities - Refer to Note C, Business Combinations, to the financial statements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171"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periodically purchases a partial ownership interest in other entities. The agreements related to such purchases can be complex, requiring management to evaluate whether the entities should be accounted for under the equity method or consolidated. In addition, management must also evaluate whether the acquired interest in the entity represents a variable interest entity (“VIE”) and if so, whether the Company is the primary beneficiary. This assessment requires judgment by management.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identified the equity method or consolidation accounting and the related VIE primary beneficiary assessment of the Company’s partial ownership interest acquisitions as a critical audit matter given the judgment required by management. This required a higher degree of auditor judgment and an increased extent of audit effort due to the complexity of the entity structures and agreements.</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171"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determination of equity method or consolidation accounting, inclusive of VIE primary beneficiary assessment, included the following, among others:</w:t>
      </w:r>
    </w:p>
    <w:p>
      <w:pPr>
        <w:spacing w:after="0" w:line="108"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accounting assessment of acquisitions.</w:t>
      </w:r>
    </w:p>
    <w:p>
      <w:pPr>
        <w:spacing w:after="0" w:line="63" w:lineRule="exact"/>
        <w:rPr>
          <w:rFonts w:ascii="Times New Roman" w:cs="Times New Roman" w:eastAsia="Times New Roman" w:hAnsi="Times New Roman"/>
          <w:sz w:val="18"/>
          <w:szCs w:val="18"/>
          <w:color w:val="auto"/>
        </w:rPr>
      </w:pPr>
    </w:p>
    <w:p>
      <w:pPr>
        <w:ind w:left="720" w:right="79" w:hanging="319"/>
        <w:spacing w:after="0" w:line="28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Company’s accounting conclusions related to equity method or consolidation accounting for a partial ownership interest entity by:</w:t>
      </w:r>
    </w:p>
    <w:p>
      <w:pPr>
        <w:spacing w:after="0" w:line="1" w:lineRule="exact"/>
        <w:rPr>
          <w:rFonts w:ascii="Times New Roman" w:cs="Times New Roman" w:eastAsia="Times New Roman" w:hAnsi="Times New Roman"/>
          <w:sz w:val="18"/>
          <w:szCs w:val="18"/>
          <w:color w:val="auto"/>
        </w:rPr>
      </w:pPr>
    </w:p>
    <w:p>
      <w:pPr>
        <w:ind w:left="1380" w:right="79" w:hanging="331"/>
        <w:spacing w:after="0" w:line="281" w:lineRule="auto"/>
        <w:tabs>
          <w:tab w:leader="none" w:pos="13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the acquisition agreement and other related documents and evaluating the structure and terms of the agreements to determine if the acquired ownership interest should be classified as a VIE.</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entity is determined to be a VIE, considered whether the Company appropriately determined the primary beneficiary by evaluating the contractual arrangements of the entity to determine if the Company has the power to direct activities, and if the Company has the obligation to absorb losses of the entity or the right to receive benefits from the entity that could be significant to the VIE.</w:t>
      </w:r>
    </w:p>
    <w:p>
      <w:pPr>
        <w:spacing w:after="0" w:line="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Consulted with our internal firm specialists to assist in auditing management’s equity method or consolidation accounting conclusion inclusive of the VIE primary beneficiary assessment.</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 2023</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49"/>
        </w:trPr>
        <w:tc>
          <w:tcPr>
            <w:tcW w:w="6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0" w:type="dxa"/>
            <w:vAlign w:val="bottom"/>
          </w:tcPr>
          <w:p>
            <w:pPr>
              <w:spacing w:after="0"/>
              <w:rPr>
                <w:sz w:val="1"/>
                <w:szCs w:val="1"/>
                <w:color w:val="auto"/>
              </w:rPr>
            </w:pPr>
          </w:p>
        </w:tc>
      </w:tr>
      <w:tr>
        <w:trPr>
          <w:trHeight w:val="148"/>
        </w:trPr>
        <w:tc>
          <w:tcPr>
            <w:tcW w:w="6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36,495</w:t>
            </w:r>
          </w:p>
        </w:tc>
        <w:tc>
          <w:tcPr>
            <w:tcW w:w="0" w:type="dxa"/>
            <w:vAlign w:val="bottom"/>
          </w:tcPr>
          <w:p>
            <w:pPr>
              <w:spacing w:after="0"/>
              <w:rPr>
                <w:sz w:val="1"/>
                <w:szCs w:val="1"/>
                <w:color w:val="auto"/>
              </w:rPr>
            </w:pPr>
          </w:p>
        </w:tc>
      </w:tr>
      <w:tr>
        <w:trPr>
          <w:trHeight w:val="148"/>
        </w:trPr>
        <w:tc>
          <w:tcPr>
            <w:tcW w:w="6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617,604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737,805</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416,043</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574,429</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547,277</w:t>
            </w:r>
          </w:p>
        </w:tc>
        <w:tc>
          <w:tcPr>
            <w:tcW w:w="0" w:type="dxa"/>
            <w:vAlign w:val="bottom"/>
          </w:tcPr>
          <w:p>
            <w:pPr>
              <w:spacing w:after="0"/>
              <w:rPr>
                <w:sz w:val="1"/>
                <w:szCs w:val="1"/>
                <w:color w:val="auto"/>
              </w:rPr>
            </w:pPr>
          </w:p>
        </w:tc>
      </w:tr>
      <w:tr>
        <w:trPr>
          <w:trHeight w:val="135"/>
        </w:trPr>
        <w:tc>
          <w:tcPr>
            <w:tcW w:w="620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973,227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963,320</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33,126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4,806</w:t>
            </w:r>
          </w:p>
        </w:tc>
        <w:tc>
          <w:tcPr>
            <w:tcW w:w="0" w:type="dxa"/>
            <w:vAlign w:val="bottom"/>
          </w:tcPr>
          <w:p>
            <w:pPr>
              <w:spacing w:after="0"/>
              <w:rPr>
                <w:sz w:val="1"/>
                <w:szCs w:val="1"/>
                <w:color w:val="auto"/>
              </w:rPr>
            </w:pPr>
          </w:p>
        </w:tc>
      </w:tr>
      <w:tr>
        <w:trPr>
          <w:trHeight w:val="155"/>
        </w:trPr>
        <w:tc>
          <w:tcPr>
            <w:tcW w:w="62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42,520</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39,827</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2,262,113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2,073,476</w:t>
            </w:r>
          </w:p>
        </w:tc>
        <w:tc>
          <w:tcPr>
            <w:tcW w:w="0" w:type="dxa"/>
            <w:vAlign w:val="bottom"/>
          </w:tcPr>
          <w:p>
            <w:pPr>
              <w:spacing w:after="0"/>
              <w:rPr>
                <w:sz w:val="1"/>
                <w:szCs w:val="1"/>
                <w:color w:val="auto"/>
              </w:rPr>
            </w:pPr>
          </w:p>
        </w:tc>
      </w:tr>
      <w:tr>
        <w:trPr>
          <w:trHeight w:val="149"/>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3,462</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19,310</w:t>
            </w: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96,703</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101,262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31,876</w:t>
            </w: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337,320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315,038</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7,369</w:t>
            </w: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109,017</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1,379,968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1,212,113</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(690,986)</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(623,093)</w:t>
            </w:r>
          </w:p>
        </w:tc>
        <w:tc>
          <w:tcPr>
            <w:tcW w:w="0" w:type="dxa"/>
            <w:vAlign w:val="bottom"/>
          </w:tcPr>
          <w:p>
            <w:pPr>
              <w:spacing w:after="0"/>
              <w:rPr>
                <w:sz w:val="1"/>
                <w:szCs w:val="1"/>
                <w:color w:val="auto"/>
              </w:rPr>
            </w:pPr>
          </w:p>
        </w:tc>
      </w:tr>
      <w:tr>
        <w:trPr>
          <w:trHeight w:val="143"/>
        </w:trPr>
        <w:tc>
          <w:tcPr>
            <w:tcW w:w="620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688,982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589,020</w:t>
            </w:r>
          </w:p>
        </w:tc>
        <w:tc>
          <w:tcPr>
            <w:tcW w:w="0" w:type="dxa"/>
            <w:vAlign w:val="bottom"/>
          </w:tcPr>
          <w:p>
            <w:pPr>
              <w:spacing w:after="0"/>
              <w:rPr>
                <w:sz w:val="1"/>
                <w:szCs w:val="1"/>
                <w:color w:val="auto"/>
              </w:rPr>
            </w:pPr>
          </w:p>
        </w:tc>
      </w:tr>
      <w:tr>
        <w:trPr>
          <w:trHeight w:val="148"/>
        </w:trPr>
        <w:tc>
          <w:tcPr>
            <w:tcW w:w="62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3,672,073</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3,245,271</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overdraft</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17,030</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206,941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319,125</w:t>
            </w:r>
          </w:p>
        </w:tc>
        <w:tc>
          <w:tcPr>
            <w:tcW w:w="0" w:type="dxa"/>
            <w:vAlign w:val="bottom"/>
          </w:tcPr>
          <w:p>
            <w:pPr>
              <w:spacing w:after="0"/>
              <w:rPr>
                <w:sz w:val="1"/>
                <w:szCs w:val="1"/>
                <w:color w:val="auto"/>
              </w:rPr>
            </w:pPr>
          </w:p>
        </w:tc>
      </w:tr>
      <w:tr>
        <w:trPr>
          <w:trHeight w:val="148"/>
        </w:trPr>
        <w:tc>
          <w:tcPr>
            <w:tcW w:w="6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296,120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289,196</w:t>
            </w:r>
          </w:p>
        </w:tc>
        <w:tc>
          <w:tcPr>
            <w:tcW w:w="0" w:type="dxa"/>
            <w:vAlign w:val="bottom"/>
          </w:tcPr>
          <w:p>
            <w:pPr>
              <w:spacing w:after="0"/>
              <w:rPr>
                <w:sz w:val="1"/>
                <w:szCs w:val="1"/>
                <w:color w:val="auto"/>
              </w:rPr>
            </w:pPr>
          </w:p>
        </w:tc>
      </w:tr>
      <w:tr>
        <w:trPr>
          <w:trHeight w:val="149"/>
        </w:trPr>
        <w:tc>
          <w:tcPr>
            <w:tcW w:w="62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80,255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84,853</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25,577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23,155</w:t>
            </w:r>
          </w:p>
        </w:tc>
        <w:tc>
          <w:tcPr>
            <w:tcW w:w="0" w:type="dxa"/>
            <w:vAlign w:val="bottom"/>
          </w:tcPr>
          <w:p>
            <w:pPr>
              <w:spacing w:after="0"/>
              <w:rPr>
                <w:sz w:val="1"/>
                <w:szCs w:val="1"/>
                <w:color w:val="auto"/>
              </w:rPr>
            </w:pPr>
          </w:p>
        </w:tc>
      </w:tr>
      <w:tr>
        <w:trPr>
          <w:trHeight w:val="155"/>
        </w:trPr>
        <w:tc>
          <w:tcPr>
            <w:tcW w:w="62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2,942</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42,683</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611,835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776,042</w:t>
            </w:r>
          </w:p>
        </w:tc>
        <w:tc>
          <w:tcPr>
            <w:tcW w:w="0" w:type="dxa"/>
            <w:vAlign w:val="bottom"/>
          </w:tcPr>
          <w:p>
            <w:pPr>
              <w:spacing w:after="0"/>
              <w:rPr>
                <w:sz w:val="1"/>
                <w:szCs w:val="1"/>
                <w:color w:val="auto"/>
              </w:rPr>
            </w:pPr>
          </w:p>
        </w:tc>
      </w:tr>
      <w:tr>
        <w:trPr>
          <w:trHeight w:val="148"/>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277,567</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85,419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76,632</w:t>
            </w:r>
          </w:p>
        </w:tc>
        <w:tc>
          <w:tcPr>
            <w:tcW w:w="0" w:type="dxa"/>
            <w:vAlign w:val="bottom"/>
          </w:tcPr>
          <w:p>
            <w:pPr>
              <w:spacing w:after="0"/>
              <w:rPr>
                <w:sz w:val="1"/>
                <w:szCs w:val="1"/>
                <w:color w:val="auto"/>
              </w:rPr>
            </w:pPr>
          </w:p>
        </w:tc>
      </w:tr>
      <w:tr>
        <w:trPr>
          <w:trHeight w:val="149"/>
        </w:trPr>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60,964</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44,697</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37,497</w:t>
            </w:r>
          </w:p>
        </w:tc>
        <w:tc>
          <w:tcPr>
            <w:tcW w:w="0" w:type="dxa"/>
            <w:vAlign w:val="bottom"/>
          </w:tcPr>
          <w:p>
            <w:pPr>
              <w:spacing w:after="0"/>
              <w:rPr>
                <w:sz w:val="1"/>
                <w:szCs w:val="1"/>
                <w:color w:val="auto"/>
              </w:rPr>
            </w:pPr>
          </w:p>
        </w:tc>
      </w:tr>
      <w:tr>
        <w:trPr>
          <w:trHeight w:val="135"/>
        </w:trPr>
        <w:tc>
          <w:tcPr>
            <w:tcW w:w="620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1,068,370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1,228,702</w:t>
            </w:r>
          </w:p>
        </w:tc>
        <w:tc>
          <w:tcPr>
            <w:tcW w:w="0" w:type="dxa"/>
            <w:vAlign w:val="bottom"/>
          </w:tcPr>
          <w:p>
            <w:pPr>
              <w:spacing w:after="0"/>
              <w:rPr>
                <w:sz w:val="1"/>
                <w:szCs w:val="1"/>
                <w:color w:val="auto"/>
              </w:rPr>
            </w:pPr>
          </w:p>
        </w:tc>
      </w:tr>
      <w:tr>
        <w:trPr>
          <w:trHeight w:val="149"/>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 outstanding, none</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620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 outstanding, 61,618,193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61,618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61,902</w:t>
            </w:r>
          </w:p>
        </w:tc>
        <w:tc>
          <w:tcPr>
            <w:tcW w:w="0" w:type="dxa"/>
            <w:vAlign w:val="bottom"/>
          </w:tcPr>
          <w:p>
            <w:pPr>
              <w:spacing w:after="0"/>
              <w:rPr>
                <w:sz w:val="1"/>
                <w:szCs w:val="1"/>
                <w:color w:val="auto"/>
              </w:rPr>
            </w:pPr>
          </w:p>
        </w:tc>
      </w:tr>
      <w:tr>
        <w:trPr>
          <w:trHeight w:val="171"/>
        </w:trPr>
        <w:tc>
          <w:tcPr>
            <w:tcW w:w="62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and 61,901,851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294,029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243,995</w:t>
            </w:r>
          </w:p>
        </w:tc>
        <w:tc>
          <w:tcPr>
            <w:tcW w:w="0" w:type="dxa"/>
            <w:vAlign w:val="bottom"/>
          </w:tcPr>
          <w:p>
            <w:pPr>
              <w:spacing w:after="0"/>
              <w:rPr>
                <w:sz w:val="1"/>
                <w:szCs w:val="1"/>
                <w:color w:val="auto"/>
              </w:rPr>
            </w:pPr>
          </w:p>
        </w:tc>
      </w:tr>
      <w:tr>
        <w:trPr>
          <w:trHeight w:val="149"/>
        </w:trPr>
        <w:tc>
          <w:tcPr>
            <w:tcW w:w="62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2,217,410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1,678,121</w:t>
            </w:r>
          </w:p>
        </w:tc>
        <w:tc>
          <w:tcPr>
            <w:tcW w:w="0" w:type="dxa"/>
            <w:vAlign w:val="bottom"/>
          </w:tcPr>
          <w:p>
            <w:pPr>
              <w:spacing w:after="0"/>
              <w:rPr>
                <w:sz w:val="1"/>
                <w:szCs w:val="1"/>
                <w:color w:val="auto"/>
              </w:rPr>
            </w:pPr>
          </w:p>
        </w:tc>
      </w:tr>
      <w:tr>
        <w:trPr>
          <w:trHeight w:val="168"/>
        </w:trPr>
        <w:tc>
          <w:tcPr>
            <w:tcW w:w="620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(9,075)</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(5,405)</w:t>
            </w:r>
          </w:p>
        </w:tc>
        <w:tc>
          <w:tcPr>
            <w:tcW w:w="0" w:type="dxa"/>
            <w:vAlign w:val="bottom"/>
          </w:tcPr>
          <w:p>
            <w:pPr>
              <w:spacing w:after="0"/>
              <w:rPr>
                <w:sz w:val="1"/>
                <w:szCs w:val="1"/>
                <w:color w:val="auto"/>
              </w:rPr>
            </w:pPr>
          </w:p>
        </w:tc>
      </w:tr>
      <w:tr>
        <w:trPr>
          <w:trHeight w:val="135"/>
        </w:trPr>
        <w:tc>
          <w:tcPr>
            <w:tcW w:w="620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2,563,982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1,978,613</w:t>
            </w:r>
          </w:p>
        </w:tc>
        <w:tc>
          <w:tcPr>
            <w:tcW w:w="0" w:type="dxa"/>
            <w:vAlign w:val="bottom"/>
          </w:tcPr>
          <w:p>
            <w:pPr>
              <w:spacing w:after="0"/>
              <w:rPr>
                <w:sz w:val="1"/>
                <w:szCs w:val="1"/>
                <w:color w:val="auto"/>
              </w:rPr>
            </w:pPr>
          </w:p>
        </w:tc>
      </w:tr>
      <w:tr>
        <w:trPr>
          <w:trHeight w:val="169"/>
        </w:trPr>
        <w:tc>
          <w:tcPr>
            <w:tcW w:w="620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32,841</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37,956</w:t>
            </w:r>
          </w:p>
        </w:tc>
        <w:tc>
          <w:tcPr>
            <w:tcW w:w="0" w:type="dxa"/>
            <w:vAlign w:val="bottom"/>
          </w:tcPr>
          <w:p>
            <w:pPr>
              <w:spacing w:after="0"/>
              <w:rPr>
                <w:sz w:val="1"/>
                <w:szCs w:val="1"/>
                <w:color w:val="auto"/>
              </w:rPr>
            </w:pPr>
          </w:p>
        </w:tc>
      </w:tr>
      <w:tr>
        <w:trPr>
          <w:trHeight w:val="143"/>
        </w:trPr>
        <w:tc>
          <w:tcPr>
            <w:tcW w:w="6200" w:type="dxa"/>
            <w:vAlign w:val="bottom"/>
            <w:tcBorders>
              <w:bottom w:val="single" w:sz="8" w:color="CCEEFF"/>
            </w:tcBorders>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2,596,823</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2,016,569</w:t>
            </w:r>
          </w:p>
        </w:tc>
        <w:tc>
          <w:tcPr>
            <w:tcW w:w="0" w:type="dxa"/>
            <w:vAlign w:val="bottom"/>
          </w:tcPr>
          <w:p>
            <w:pPr>
              <w:spacing w:after="0"/>
              <w:rPr>
                <w:sz w:val="1"/>
                <w:szCs w:val="1"/>
                <w:color w:val="auto"/>
              </w:rPr>
            </w:pPr>
          </w:p>
        </w:tc>
      </w:tr>
      <w:tr>
        <w:trPr>
          <w:trHeight w:val="148"/>
        </w:trPr>
        <w:tc>
          <w:tcPr>
            <w:tcW w:w="62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3,672,073</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3,245,271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5"/>
                <w:szCs w:val="15"/>
                <w:color w:val="auto"/>
              </w:rPr>
            </w:pPr>
          </w:p>
        </w:tc>
      </w:tr>
      <w:tr>
        <w:trPr>
          <w:trHeight w:val="124"/>
        </w:trPr>
        <w:tc>
          <w:tcPr>
            <w:tcW w:w="558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80"/>
        </w:trPr>
        <w:tc>
          <w:tcPr>
            <w:tcW w:w="5580" w:type="dxa"/>
            <w:vAlign w:val="bottom"/>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98"/>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SALES</w:t>
            </w:r>
          </w:p>
        </w:tc>
        <w:tc>
          <w:tcPr>
            <w:tcW w:w="5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9,626,739</w:t>
            </w:r>
          </w:p>
        </w:tc>
        <w:tc>
          <w:tcPr>
            <w:tcW w:w="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8,636,134</w:t>
            </w:r>
          </w:p>
        </w:tc>
        <w:tc>
          <w:tcPr>
            <w:tcW w:w="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5,153,998</w:t>
            </w:r>
          </w:p>
        </w:tc>
        <w:tc>
          <w:tcPr>
            <w:tcW w:w="0" w:type="dxa"/>
            <w:vAlign w:val="bottom"/>
          </w:tcPr>
          <w:p>
            <w:pPr>
              <w:spacing w:after="0"/>
              <w:rPr>
                <w:sz w:val="1"/>
                <w:szCs w:val="1"/>
                <w:color w:val="auto"/>
              </w:rPr>
            </w:pPr>
          </w:p>
        </w:tc>
      </w:tr>
      <w:tr>
        <w:trPr>
          <w:trHeight w:val="241"/>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7,837,278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7,229,167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1,789,461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 (GAINS), NET</w:t>
            </w: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950,184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737,554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INVESTEE</w:t>
            </w: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340,983</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704,964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552,364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LESS NET EARNINGS ATTRIBUTABLE TO NONCONTROLLING</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ATTRIBUTABLE TO CONTROLLING INTEREST</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253,882</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702,466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LESS COMPREHENSIVE INCOME ATTRIBUTABLE TO</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CONTROLLING</w:t>
            </w:r>
          </w:p>
        </w:tc>
        <w:tc>
          <w:tcPr>
            <w:tcW w:w="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vMerge w:val="continue"/>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688,981</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532,029</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58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w w:val="97"/>
              </w:rPr>
              <w:t>Controlling Interest Shareholders’ Equity</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15"/>
        </w:trPr>
        <w:tc>
          <w:tcPr>
            <w:tcW w:w="3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3"/>
          </w:tcPr>
          <w:p>
            <w:pPr>
              <w:ind w:left="120"/>
              <w:spacing w:after="0" w:line="115" w:lineRule="exact"/>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3160" w:type="dxa"/>
            <w:vAlign w:val="bottom"/>
          </w:tcPr>
          <w:p>
            <w:pPr>
              <w:spacing w:after="0"/>
              <w:rPr>
                <w:sz w:val="11"/>
                <w:szCs w:val="11"/>
                <w:color w:val="auto"/>
              </w:rPr>
            </w:pP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6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Temporary</w:t>
            </w:r>
          </w:p>
        </w:tc>
      </w:tr>
      <w:tr>
        <w:trPr>
          <w:trHeight w:val="162"/>
        </w:trPr>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Interest (NCI)</w:t>
            </w:r>
          </w:p>
        </w:tc>
        <w:tc>
          <w:tcPr>
            <w:tcW w:w="140" w:type="dxa"/>
            <w:vAlign w:val="bottom"/>
          </w:tcPr>
          <w:p>
            <w:pPr>
              <w:spacing w:after="0"/>
              <w:rPr>
                <w:sz w:val="14"/>
                <w:szCs w:val="14"/>
                <w:color w:val="auto"/>
              </w:rPr>
            </w:pP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5"/>
        </w:trPr>
        <w:tc>
          <w:tcPr>
            <w:tcW w:w="316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on December 28, 2019</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2"/>
              </w:rPr>
              <w:t>$ 61,409</w:t>
            </w: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$ 192,173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995,022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tcBorders>
            <w:shd w:val="clear" w:color="auto" w:fill="CCEEFF"/>
          </w:tcPr>
          <w:p>
            <w:pPr>
              <w:jc w:val="center"/>
              <w:ind w:left="5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(4,889)</w:t>
            </w:r>
          </w:p>
        </w:tc>
        <w:tc>
          <w:tcPr>
            <w:tcW w:w="1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14,018</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3"/>
              </w:rPr>
              <w:t>$ 1,257,733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earnings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246,778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7,104</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253,882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left="517"/>
              <w:spacing w:after="0" w:line="135" w:lineRule="exact"/>
              <w:rPr>
                <w:sz w:val="20"/>
                <w:szCs w:val="20"/>
                <w:color w:val="auto"/>
              </w:rPr>
            </w:pPr>
            <w:r>
              <w:rPr>
                <w:rFonts w:ascii="Times New Roman" w:cs="Times New Roman" w:eastAsia="Times New Roman" w:hAnsi="Times New Roman"/>
                <w:sz w:val="13"/>
                <w:szCs w:val="13"/>
                <w:color w:val="auto"/>
                <w:w w:val="95"/>
              </w:rPr>
              <w:t>1,373</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2,872</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4,245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debt securities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517"/>
              <w:spacing w:after="0" w:line="135" w:lineRule="exact"/>
              <w:rPr>
                <w:sz w:val="20"/>
                <w:szCs w:val="20"/>
                <w:color w:val="auto"/>
              </w:rPr>
            </w:pPr>
            <w:r>
              <w:rPr>
                <w:rFonts w:ascii="Times New Roman" w:cs="Times New Roman" w:eastAsia="Times New Roman" w:hAnsi="Times New Roman"/>
                <w:sz w:val="13"/>
                <w:szCs w:val="13"/>
                <w:color w:val="auto"/>
                <w:w w:val="95"/>
              </w:rPr>
              <w:t>1,722</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NCI</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(933)</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NCI related to business combinations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dividends - $0.50 per share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(30,669)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(30,669)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7"/>
        </w:trPr>
        <w:tc>
          <w:tcPr>
            <w:tcW w:w="31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35,133 shares under employee stock purchase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plan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390,720 shares under stock grant programs</w:t>
            </w: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390</w:t>
            </w: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12,535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7"/>
              </w:rPr>
              <w:t>Issuance of 127,735 shares under deferred compensation plan</w:t>
            </w: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756,397 shares</w:t>
            </w: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(756)</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(28,456)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(29,212)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7"/>
        </w:trPr>
        <w:tc>
          <w:tcPr>
            <w:tcW w:w="31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Expense associated with share-based compensation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arrangements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3,905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8,644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8,644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22"/>
        </w:trPr>
        <w:tc>
          <w:tcPr>
            <w:tcW w:w="316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Balance on December 26, 2020</w:t>
            </w:r>
          </w:p>
        </w:tc>
        <w:tc>
          <w:tcPr>
            <w:tcW w:w="8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2"/>
              </w:rPr>
              <w:t>$ 61,206</w:t>
            </w:r>
          </w:p>
        </w:tc>
        <w:tc>
          <w:tcPr>
            <w:tcW w:w="6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6"/>
              </w:rPr>
              <w:t>$ 218,224</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1,182,680</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tcBorders>
          </w:tcPr>
          <w:p>
            <w:pPr>
              <w:jc w:val="center"/>
              <w:ind w:left="557"/>
              <w:spacing w:after="0" w:line="122" w:lineRule="exact"/>
              <w:rPr>
                <w:sz w:val="20"/>
                <w:szCs w:val="20"/>
                <w:color w:val="auto"/>
              </w:rPr>
            </w:pPr>
            <w:r>
              <w:rPr>
                <w:rFonts w:ascii="Times New Roman" w:cs="Times New Roman" w:eastAsia="Times New Roman" w:hAnsi="Times New Roman"/>
                <w:sz w:val="13"/>
                <w:szCs w:val="13"/>
                <w:b w:val="1"/>
                <w:bCs w:val="1"/>
                <w:color w:val="auto"/>
                <w:w w:val="94"/>
              </w:rPr>
              <w:t>(1,794)</w:t>
            </w:r>
          </w:p>
        </w:tc>
        <w:tc>
          <w:tcPr>
            <w:tcW w:w="14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22,836</w:t>
            </w:r>
          </w:p>
        </w:tc>
        <w:tc>
          <w:tcPr>
            <w:tcW w:w="140" w:type="dxa"/>
            <w:vAlign w:val="bottom"/>
            <w:tcBorders>
              <w:top w:val="single" w:sz="8" w:color="CCEEFF"/>
            </w:tcBorders>
          </w:tcPr>
          <w:p>
            <w:pPr>
              <w:spacing w:after="0"/>
              <w:rPr>
                <w:sz w:val="10"/>
                <w:szCs w:val="10"/>
                <w:color w:val="auto"/>
              </w:rPr>
            </w:pPr>
          </w:p>
        </w:tc>
        <w:tc>
          <w:tcPr>
            <w:tcW w:w="6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3"/>
              </w:rPr>
              <w:t>$ 1,483,152</w:t>
            </w: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earnings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535,640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16,724</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552,364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557"/>
              <w:spacing w:after="0" w:line="135" w:lineRule="exact"/>
              <w:rPr>
                <w:sz w:val="20"/>
                <w:szCs w:val="20"/>
                <w:color w:val="auto"/>
              </w:rPr>
            </w:pPr>
            <w:r>
              <w:rPr>
                <w:rFonts w:ascii="Times New Roman" w:cs="Times New Roman" w:eastAsia="Times New Roman" w:hAnsi="Times New Roman"/>
                <w:sz w:val="13"/>
                <w:szCs w:val="13"/>
                <w:color w:val="auto"/>
                <w:w w:val="94"/>
              </w:rPr>
              <w:t>(2,584)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(1,685)</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(4,269)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investments and other</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left="557"/>
              <w:spacing w:after="0" w:line="135" w:lineRule="exact"/>
              <w:rPr>
                <w:sz w:val="20"/>
                <w:szCs w:val="20"/>
                <w:color w:val="auto"/>
              </w:rPr>
            </w:pPr>
            <w:r>
              <w:rPr>
                <w:rFonts w:ascii="Times New Roman" w:cs="Times New Roman" w:eastAsia="Times New Roman" w:hAnsi="Times New Roman"/>
                <w:sz w:val="13"/>
                <w:szCs w:val="13"/>
                <w:color w:val="auto"/>
                <w:w w:val="94"/>
              </w:rPr>
              <w:t>(1,027)</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NCI</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(6,750)</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(6,750)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NCI related to business combinations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6,831</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dividends - $0.65 per share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(40,209)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(40,209)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7"/>
        </w:trPr>
        <w:tc>
          <w:tcPr>
            <w:tcW w:w="31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33,104 shares under employee stock purchase</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5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546,235 shares under stock grant programs</w:t>
            </w: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546</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3,506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4,062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7"/>
              </w:rPr>
              <w:t>Issuance of 116,732 shares under deferred compensation plan</w:t>
            </w: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7"/>
        </w:trPr>
        <w:tc>
          <w:tcPr>
            <w:tcW w:w="31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Expense associated with share-based compensation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arrangements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11,071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11,071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9,228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9,228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22"/>
        </w:trPr>
        <w:tc>
          <w:tcPr>
            <w:tcW w:w="316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Balance on December 25, 2021</w:t>
            </w:r>
          </w:p>
        </w:tc>
        <w:tc>
          <w:tcPr>
            <w:tcW w:w="8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2"/>
              </w:rPr>
              <w:t>$ 61,902</w:t>
            </w:r>
          </w:p>
        </w:tc>
        <w:tc>
          <w:tcPr>
            <w:tcW w:w="6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6"/>
              </w:rPr>
              <w:t>$ 243,995</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1,678,121</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tcBorders>
          </w:tcPr>
          <w:p>
            <w:pPr>
              <w:jc w:val="center"/>
              <w:ind w:left="557"/>
              <w:spacing w:after="0" w:line="122" w:lineRule="exact"/>
              <w:rPr>
                <w:sz w:val="20"/>
                <w:szCs w:val="20"/>
                <w:color w:val="auto"/>
              </w:rPr>
            </w:pPr>
            <w:r>
              <w:rPr>
                <w:rFonts w:ascii="Times New Roman" w:cs="Times New Roman" w:eastAsia="Times New Roman" w:hAnsi="Times New Roman"/>
                <w:sz w:val="13"/>
                <w:szCs w:val="13"/>
                <w:b w:val="1"/>
                <w:bCs w:val="1"/>
                <w:color w:val="auto"/>
                <w:w w:val="94"/>
              </w:rPr>
              <w:t>(5,405)</w:t>
            </w:r>
          </w:p>
        </w:tc>
        <w:tc>
          <w:tcPr>
            <w:tcW w:w="14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37,956</w:t>
            </w:r>
          </w:p>
        </w:tc>
        <w:tc>
          <w:tcPr>
            <w:tcW w:w="140" w:type="dxa"/>
            <w:vAlign w:val="bottom"/>
            <w:tcBorders>
              <w:top w:val="single" w:sz="8" w:color="CCEEFF"/>
            </w:tcBorders>
          </w:tcPr>
          <w:p>
            <w:pPr>
              <w:spacing w:after="0"/>
              <w:rPr>
                <w:sz w:val="10"/>
                <w:szCs w:val="10"/>
                <w:color w:val="auto"/>
              </w:rPr>
            </w:pPr>
          </w:p>
        </w:tc>
        <w:tc>
          <w:tcPr>
            <w:tcW w:w="6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3"/>
              </w:rPr>
              <w:t>$ 2,016,569</w:t>
            </w: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earnings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692,651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12,210</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704,861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557"/>
              <w:spacing w:after="0" w:line="135" w:lineRule="exact"/>
              <w:rPr>
                <w:sz w:val="20"/>
                <w:szCs w:val="20"/>
                <w:color w:val="auto"/>
              </w:rPr>
            </w:pPr>
            <w:r>
              <w:rPr>
                <w:rFonts w:ascii="Times New Roman" w:cs="Times New Roman" w:eastAsia="Times New Roman" w:hAnsi="Times New Roman"/>
                <w:sz w:val="13"/>
                <w:szCs w:val="13"/>
                <w:color w:val="auto"/>
                <w:w w:val="94"/>
              </w:rPr>
              <w:t>(1,841)</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1,802</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w:t>
            </w: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investments and other</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left="557"/>
              <w:spacing w:after="0" w:line="135" w:lineRule="exact"/>
              <w:rPr>
                <w:sz w:val="20"/>
                <w:szCs w:val="20"/>
                <w:color w:val="auto"/>
              </w:rPr>
            </w:pPr>
            <w:r>
              <w:rPr>
                <w:rFonts w:ascii="Times New Roman" w:cs="Times New Roman" w:eastAsia="Times New Roman" w:hAnsi="Times New Roman"/>
                <w:sz w:val="13"/>
                <w:szCs w:val="13"/>
                <w:color w:val="auto"/>
                <w:w w:val="94"/>
              </w:rPr>
              <w:t>(1,829)</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NCI</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(12,024)</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Contributions to NCI</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538</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NCI related to business combinations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w:t>
            </w: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Redeemable NCI</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(7,641)</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(7,641)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7,641</w:t>
            </w: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dividends - $0.95 per share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(58,860)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(58,860)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7"/>
        </w:trPr>
        <w:tc>
          <w:tcPr>
            <w:tcW w:w="31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44,012 shares under employee stock purchase</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5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805,562 shares under stock grant programs</w:t>
            </w: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806</w:t>
            </w: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10,750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7"/>
              </w:rPr>
              <w:t>Issuance of 113,384 shares under deferred compensation plan</w:t>
            </w: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1,246,616 shares</w:t>
            </w: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(94,527)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(95,774)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7"/>
        </w:trPr>
        <w:tc>
          <w:tcPr>
            <w:tcW w:w="31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Expense associated with share-based compensation</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5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arrangements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2"/>
        </w:trPr>
        <w:tc>
          <w:tcPr>
            <w:tcW w:w="3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9,516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9,516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316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on December 31, 2022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2"/>
              </w:rPr>
              <w:t>$ 61,618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$ 294,029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2,217,410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bottom w:val="single" w:sz="8" w:color="auto"/>
            </w:tcBorders>
            <w:shd w:val="clear" w:color="auto" w:fill="CCEEFF"/>
          </w:tcPr>
          <w:p>
            <w:pPr>
              <w:jc w:val="center"/>
              <w:ind w:left="5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(9,075)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32,841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3"/>
              </w:rPr>
              <w:t>$ 2,596,823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6,880</w:t>
            </w: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100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10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8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704,964</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552,364</w:t>
            </w:r>
          </w:p>
        </w:tc>
        <w:tc>
          <w:tcPr>
            <w:tcW w:w="80" w:type="dxa"/>
            <w:vAlign w:val="bottom"/>
          </w:tcPr>
          <w:p>
            <w:pPr>
              <w:spacing w:after="0"/>
              <w:rPr>
                <w:sz w:val="12"/>
                <w:szCs w:val="12"/>
                <w:color w:val="auto"/>
              </w:rPr>
            </w:pPr>
          </w:p>
        </w:tc>
        <w:tc>
          <w:tcPr>
            <w:tcW w:w="30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253,882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 (credit)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loss (gain) on investments and other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loss of investee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(gain) on sale and disposition of assets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(11,992)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goodwill and other intangibles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(85,439)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(260,301)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(137,907)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98,448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Borders>
              <w:top w:val="single" w:sz="8" w:color="CCEEFF"/>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5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831,567</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512,477</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336,477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(174,124)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(151,166)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 and purchase of equity method investment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(180,151)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(475,960)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(19,875)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(23,797)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Borders>
              <w:top w:val="single" w:sz="8" w:color="CCEEFF"/>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(353,936)</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(611,187)</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(154,718)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FINANCING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892,072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(607,549)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(888,695)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(38,719)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(3,176)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long-term debt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(58,860)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(40,209)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(6,750)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(95,774)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Borders>
              <w:top w:val="single" w:sz="8" w:color="CCEEFF"/>
            </w:tcBorders>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5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(210,210)</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(45,006)</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85,221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5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268,400</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(145,385)</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267,942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291,223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436,608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559,623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291,223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436,608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780" w:type="dxa"/>
            <w:vAlign w:val="bottom"/>
            <w:gridSpan w:val="2"/>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436,507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291,223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436,608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780" w:type="dxa"/>
            <w:vAlign w:val="bottom"/>
            <w:gridSpan w:val="2"/>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559,623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291,223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436,608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78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13,953</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14,077</w:t>
            </w:r>
          </w:p>
        </w:tc>
        <w:tc>
          <w:tcPr>
            <w:tcW w:w="80" w:type="dxa"/>
            <w:vAlign w:val="bottom"/>
          </w:tcPr>
          <w:p>
            <w:pPr>
              <w:spacing w:after="0"/>
              <w:rPr>
                <w:sz w:val="12"/>
                <w:szCs w:val="12"/>
                <w:color w:val="auto"/>
              </w:rPr>
            </w:pPr>
          </w:p>
        </w:tc>
        <w:tc>
          <w:tcPr>
            <w:tcW w:w="30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77,964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780" w:type="dxa"/>
            <w:vAlign w:val="bottom"/>
            <w:gridSpan w:val="2"/>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right="3619" w:hanging="10"/>
        <w:spacing w:after="0" w:line="503" w:lineRule="auto"/>
        <w:tabs>
          <w:tab w:leader="none" w:pos="70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OPERATIONS</w:t>
      </w: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are a holding company whose subsidiaries supply products primarily manufactured from wood, wood and non-wood composites, metals, and other materials to three markets: retail, construction and packaging. Founded in 1955, we are headquartered in Grand Rapids, Michigan, with affiliates throughout North America, Europe, Asia and Australia.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with the rules and regulations of the Securities and Exchange Commission (the "SEC"), represent our assets and liabilities and operating results. The consolidated financial statements include our accounts and those of our wholly-owned and majority-owned subsidiaries and partnerships. All significant intercompany balances and transactions have been eliminated in consolidation.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fiscal year is a 52 or 53 week period, ending on the last Saturday of December. Unless otherwise stated, references to 2022, 2021, and 2020 relate to the fiscal years ended December 31, 2022, December 25, 2021, and December 26, 2020, respectively. Fiscal year 2022 was comprised of 53 weeks and fiscal years 2021 and 2020 were comprised of 52 weeks.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DISCLOSURES OF FINANCIAL INSTRUMENTS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follow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82" w:lineRule="exact"/>
        <w:rPr>
          <w:sz w:val="20"/>
          <w:szCs w:val="20"/>
          <w:color w:val="auto"/>
        </w:rPr>
      </w:pPr>
    </w:p>
    <w:p>
      <w:pPr>
        <w:ind w:left="4420" w:right="1159" w:hanging="4019"/>
        <w:spacing w:after="0" w:line="783" w:lineRule="auto"/>
        <w:tabs>
          <w:tab w:leader="none" w:pos="7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Financial instruments with unadjusted, quoted prices listed on active market exchanges.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720" w:right="79" w:hanging="319"/>
        <w:spacing w:after="0" w:line="261"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Financial instruments not actively traded on a market exchange and there is little, if any, market activity. Values are determined using significant unobservable inputs or valuation techniques.</w:t>
      </w:r>
    </w:p>
    <w:p>
      <w:pPr>
        <w:spacing w:after="0" w:line="16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investment portfolio includes restricted investments within our wholly-owned subsidiary, Ardellis Insurance Ltd. There are $19.9 million of restricted investments recorded as of December 31, 2022.</w:t>
      </w: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purchased with an original maturity of three months or less.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Investments are deemed to be "available for sale" and are, accordingly, carried at fair value being the quoted market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base our allowances related to receivables on historical credit and collections experience, reasonable and supportable forecasts,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activity in our accounts receivable allowances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25, 2021: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26, 2020: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380" w:hanging="330"/>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accounts charged off, discounts given to customers and actual customer returns and allowances.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record estimated sales returns, discounts, and other applicable adjustments as a reduction of net sales in the same period revenue is recognized.</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retainage amounts related to long term construction contracts totaled $8.0 million and $7.8 million as of December 31, 2022 and December 25, 2021, respectively. All amounts are expected to be collected within 18 months. Concentration of accounts receivable related to our two largest customers totaled $131.0 million and $87.6 million as of December 31, 2022 and December 25,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ASU requires that an acquirer recognize and measure contract assets and contract liabilities in a business combination in accordance with Topic 606. The ASU is effective for fiscal years beginning after December 15, 2022, including interim periods within those fiscal years and will be applied prospectively to all business combinations occurring after this date.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 We have inventory on consignment at customer locations valued at $27.9 million as of December 31, 2022 and $37.8 million as of December 25, 2021.</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There was no lower of cost or net realizable value adjustment to inventory as of December 31, 2022 and December 25,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renewals and betterments are capitalized, and maintenance and repairs are expensed as incurred. The components of property, plant and equipment as of December 31, 2022 and and December 25, 2021 were as follows: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24"/>
        </w:trPr>
        <w:tc>
          <w:tcPr>
            <w:tcW w:w="6920" w:type="dxa"/>
            <w:vAlign w:val="bottom"/>
          </w:tcPr>
          <w:p>
            <w:pPr>
              <w:spacing w:after="0"/>
              <w:rPr>
                <w:sz w:val="10"/>
                <w:szCs w:val="10"/>
                <w:color w:val="auto"/>
              </w:rPr>
            </w:pPr>
          </w:p>
        </w:tc>
        <w:tc>
          <w:tcPr>
            <w:tcW w:w="106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80"/>
        </w:trPr>
        <w:tc>
          <w:tcPr>
            <w:tcW w:w="6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163,289</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329,698</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632,864</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w:t>
            </w:r>
          </w:p>
        </w:tc>
      </w:tr>
      <w:tr>
        <w:trPr>
          <w:trHeight w:val="236"/>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62,199</w:t>
            </w:r>
          </w:p>
        </w:tc>
      </w:tr>
      <w:tr>
        <w:trPr>
          <w:trHeight w:val="203"/>
        </w:trPr>
        <w:tc>
          <w:tcPr>
            <w:tcW w:w="6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Property, Plant and Equipment, Gross</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1,379,968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1,212,113</w:t>
            </w: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Amortization of assets held under finance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15 years</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32 years</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office furniture</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20 years</w:t>
            </w:r>
          </w:p>
        </w:tc>
      </w:tr>
    </w:tbl>
    <w:p>
      <w:pPr>
        <w:spacing w:after="0" w:line="198"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Software costs are included in machinery and equipment on the balance sheet with gross amounts and accumulated amortization totaling $5.7 million and $5.4 million as of December 31, 2022, and $6.0 million and $5.3 million as of December 25, 2021,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of acquired businesses. Goodwill and intangible assets deemed to have indefinite lives are not amortized and are subject to impairment tests at least annually in accordance with ASC 350, Intangibles-Goodwill and Other. We review the carrying amounts of goodwill and other non-amortizable intangibles by reporting unit to determine if such assets may be impaired. As of the date of the most recent goodwill impairment test, which utilized data and assumptions as of September 24, 2022, it was determined that the carrying value of the Italian reporting unit exceeded its fair value and we recorded a non-cash goodwill impairment charge of $2.5 million as of December 31, 2022, which represented the entire amount of the goodwill recorded within the reporting unit. For the remaining reporting units, the fair values exceed the carrying values and there were no indicators for impairment. In the fourth quarter of 2020, we recorded a non-cash goodwill impairment charge of $11.5 million related to the commercial reporting unit within our construction segment. We believe we have sufficient available information, both current and historical, to support our assumptions, judgments and estimates used in the goodwill impairment test.</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annual testing date for evaluating goodwill and indefinite-lived intangible asset impairment is the first day of our fourth fiscal quarter for all reporting units. Additionally, we review various triggering events throughout the year to determine whether a mid-year impairment analysis is required.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of which are included in the consolidated financial statements as of December 31, 2022 and December 25, 2021.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providing coverage for the Company, Ardellis provides Excess Loss Insurance (primarily medical and prescription drug) and Excess General Liability and Property Insurance to certain third parties. As of December 31, 2022, Ardellis had 70 such contracts in place. Reserves associated with these contracts were $5.0 million at December 31, 2022, and $7.1 million at December 25, 2021, and are accrued based on third party actuarial valuations of the expected future liabilities.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Within the three primary segments (Retail, Packaging,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89"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0"/>
                <w:szCs w:val="10"/>
                <w:color w:val="auto"/>
              </w:rPr>
            </w:pPr>
          </w:p>
        </w:tc>
        <w:tc>
          <w:tcPr>
            <w:tcW w:w="11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20" w:type="dxa"/>
            <w:vAlign w:val="bottom"/>
          </w:tcPr>
          <w:p>
            <w:pPr>
              <w:spacing w:after="0"/>
              <w:rPr>
                <w:sz w:val="10"/>
                <w:szCs w:val="10"/>
                <w:color w:val="auto"/>
              </w:rPr>
            </w:pPr>
          </w:p>
        </w:tc>
        <w:tc>
          <w:tcPr>
            <w:tcW w:w="1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1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0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2021 vs. 2020</w:t>
            </w:r>
          </w:p>
        </w:tc>
        <w:tc>
          <w:tcPr>
            <w:tcW w:w="20" w:type="dxa"/>
            <w:vAlign w:val="bottom"/>
          </w:tcPr>
          <w:p>
            <w:pPr>
              <w:spacing w:after="0"/>
              <w:rPr>
                <w:sz w:val="10"/>
                <w:szCs w:val="10"/>
                <w:color w:val="auto"/>
              </w:rPr>
            </w:pPr>
          </w:p>
        </w:tc>
      </w:tr>
      <w:tr>
        <w:trPr>
          <w:trHeight w:val="180"/>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9,442,794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8,512,012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5,025,895</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Pr>
          <w:p>
            <w:pPr>
              <w:spacing w:after="0"/>
              <w:rPr>
                <w:sz w:val="18"/>
                <w:szCs w:val="18"/>
                <w:color w:val="auto"/>
              </w:rPr>
            </w:pPr>
          </w:p>
        </w:tc>
      </w:tr>
      <w:tr>
        <w:trPr>
          <w:trHeight w:val="22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183,945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128,103</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r>
      <w:tr>
        <w:trPr>
          <w:trHeight w:val="21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9,626,739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8,636,134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5,153,998</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on December 31, 2022 and December 25, 2021 which are included in “Other current assets” and “Accrued liabilities: Other”, respectively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80"/>
        </w:trPr>
        <w:tc>
          <w:tcPr>
            <w:tcW w:w="67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SHIPPING AND HANDLING OF PRODUCT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requires recognition of share-based compensation costs in financial statements based on fair value. Compensation cost is recognized over the period during which an employee is required to provide services in exchange for the award (the requisite service period). Forfeitures are recognized as they occur.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Earnings per share (“EPS”) is computed using the two-class method. The two-class method determines EPS for each class of common stock and participating securities according to dividends and their respective participation rights in undistributed earnings. Participating securities include non-vested shares of restricted stock in which the participants have non-forfeitable rights to dividends during the performance period. EPS, basic and diluted, is calculated by dividing net earnings attributable to controlling interest, net of applicable taxes, by the weighted average number of shares of common stock outstanding for the period. The computation of EPS is as follows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80"/>
        </w:trPr>
        <w:tc>
          <w:tcPr>
            <w:tcW w:w="5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692,651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535,640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246,778</w:t>
            </w:r>
          </w:p>
        </w:tc>
      </w:tr>
      <w:tr>
        <w:trPr>
          <w:trHeight w:val="23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for earnings allocated to non-vested restricted common stock</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(27,488)</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(17,342)</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43"/>
        </w:trPr>
        <w:tc>
          <w:tcPr>
            <w:tcW w:w="5840" w:type="dxa"/>
            <w:vAlign w:val="bottom"/>
            <w:tcBorders>
              <w:top w:val="single" w:sz="8" w:color="CCEEFF"/>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665,163</w:t>
            </w:r>
          </w:p>
        </w:tc>
        <w:tc>
          <w:tcPr>
            <w:tcW w:w="1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518,298</w:t>
            </w:r>
          </w:p>
        </w:tc>
        <w:tc>
          <w:tcPr>
            <w:tcW w:w="1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239,875</w:t>
            </w:r>
          </w:p>
        </w:tc>
      </w:tr>
      <w:tr>
        <w:trPr>
          <w:trHeight w:val="197"/>
        </w:trPr>
        <w:tc>
          <w:tcPr>
            <w:tcW w:w="5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61,632</w:t>
            </w:r>
          </w:p>
        </w:tc>
      </w:tr>
      <w:tr>
        <w:trPr>
          <w:trHeight w:val="23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03"/>
        </w:trPr>
        <w:tc>
          <w:tcPr>
            <w:tcW w:w="584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60,180</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60,195</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59,908</w:t>
            </w:r>
          </w:p>
        </w:tc>
      </w:tr>
      <w:tr>
        <w:trPr>
          <w:trHeight w:val="236"/>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restricted common stock</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84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60,653</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60,354</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59,928</w:t>
            </w:r>
          </w:p>
        </w:tc>
      </w:tr>
      <w:tr>
        <w:trPr>
          <w:trHeight w:val="196"/>
        </w:trPr>
        <w:tc>
          <w:tcPr>
            <w:tcW w:w="5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ACCOUNTING ESTIMATES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w:t>
      </w:r>
    </w:p>
    <w:p>
      <w:pPr>
        <w:spacing w:after="0" w:line="227"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 assets and liabilities measured at fair value. Assets and liabilities measured at fair value are as follows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5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9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88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88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40" w:type="dxa"/>
            <w:vAlign w:val="bottom"/>
            <w:gridSpan w:val="2"/>
            <w:vMerge w:val="continue"/>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52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$ 390,219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$ 391,505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0" w:type="dxa"/>
            <w:vAlign w:val="bottom"/>
          </w:tcPr>
          <w:p>
            <w:pPr>
              <w:spacing w:after="0"/>
              <w:rPr>
                <w:sz w:val="1"/>
                <w:szCs w:val="1"/>
                <w:color w:val="auto"/>
              </w:rPr>
            </w:pPr>
          </w:p>
        </w:tc>
      </w:tr>
      <w:tr>
        <w:trPr>
          <w:trHeight w:val="203"/>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18,578</w:t>
            </w: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securities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03"/>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20,163</w:t>
            </w:r>
          </w:p>
        </w:tc>
        <w:tc>
          <w:tcPr>
            <w:tcW w:w="0" w:type="dxa"/>
            <w:vAlign w:val="bottom"/>
          </w:tcPr>
          <w:p>
            <w:pPr>
              <w:spacing w:after="0"/>
              <w:rPr>
                <w:sz w:val="1"/>
                <w:szCs w:val="1"/>
                <w:color w:val="auto"/>
              </w:rPr>
            </w:pPr>
          </w:p>
        </w:tc>
      </w:tr>
      <w:tr>
        <w:trPr>
          <w:trHeight w:val="181"/>
        </w:trPr>
        <w:tc>
          <w:tcPr>
            <w:tcW w:w="15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w:t>
            </w:r>
          </w:p>
        </w:tc>
        <w:tc>
          <w:tcPr>
            <w:tcW w:w="0" w:type="dxa"/>
            <w:vAlign w:val="bottom"/>
          </w:tcPr>
          <w:p>
            <w:pPr>
              <w:spacing w:after="0"/>
              <w:rPr>
                <w:sz w:val="1"/>
                <w:szCs w:val="1"/>
                <w:color w:val="auto"/>
              </w:rPr>
            </w:pPr>
          </w:p>
        </w:tc>
      </w:tr>
      <w:tr>
        <w:trPr>
          <w:trHeight w:val="203"/>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5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10,910</w:t>
            </w:r>
          </w:p>
        </w:tc>
        <w:tc>
          <w:tcPr>
            <w:tcW w:w="0" w:type="dxa"/>
            <w:vAlign w:val="bottom"/>
          </w:tcPr>
          <w:p>
            <w:pPr>
              <w:spacing w:after="0"/>
              <w:rPr>
                <w:sz w:val="1"/>
                <w:szCs w:val="1"/>
                <w:color w:val="auto"/>
              </w:rPr>
            </w:pPr>
          </w:p>
        </w:tc>
      </w:tr>
      <w:tr>
        <w:trPr>
          <w:trHeight w:val="181"/>
        </w:trPr>
        <w:tc>
          <w:tcPr>
            <w:tcW w:w="15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3"/>
        </w:trPr>
        <w:tc>
          <w:tcPr>
            <w:tcW w:w="1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23"/>
        </w:trPr>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Alternative 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0" w:type="dxa"/>
            <w:vAlign w:val="bottom"/>
          </w:tcPr>
          <w:p>
            <w:pPr>
              <w:spacing w:after="0"/>
              <w:rPr>
                <w:sz w:val="1"/>
                <w:szCs w:val="1"/>
                <w:color w:val="auto"/>
              </w:rPr>
            </w:pPr>
          </w:p>
        </w:tc>
      </w:tr>
      <w:tr>
        <w:trPr>
          <w:trHeight w:val="196"/>
        </w:trPr>
        <w:tc>
          <w:tcPr>
            <w:tcW w:w="1520" w:type="dxa"/>
            <w:vAlign w:val="bottom"/>
            <w:tcBorders>
              <w:top w:val="single" w:sz="8" w:color="CCEEFF"/>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Total mutual funds</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15,093</w:t>
            </w:r>
          </w:p>
        </w:tc>
        <w:tc>
          <w:tcPr>
            <w:tcW w:w="18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15,093</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13,249</w:t>
            </w:r>
          </w:p>
        </w:tc>
        <w:tc>
          <w:tcPr>
            <w:tcW w:w="18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13,249</w:t>
            </w:r>
          </w:p>
        </w:tc>
        <w:tc>
          <w:tcPr>
            <w:tcW w:w="0" w:type="dxa"/>
            <w:vAlign w:val="bottom"/>
          </w:tcPr>
          <w:p>
            <w:pPr>
              <w:spacing w:after="0"/>
              <w:rPr>
                <w:sz w:val="1"/>
                <w:szCs w:val="1"/>
                <w:color w:val="auto"/>
              </w:rPr>
            </w:pPr>
          </w:p>
        </w:tc>
      </w:tr>
      <w:tr>
        <w:trPr>
          <w:trHeight w:val="203"/>
        </w:trPr>
        <w:tc>
          <w:tcPr>
            <w:tcW w:w="1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$ 425,586</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$ 447,666</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35,441</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From the assets measured at fair value as of December 31, 2022, listed in the table above, $391.2 million of money market funds are held in Cash and Cash Equivalents, $36.1 million of mutual funds, equity securities, and alternative investments are held in Investments, $0.5 million of money market and mutual funds are held in Other Assets for our deferred compensation plan, and $19.6 million of fixed income funds and $0.3 million of money market funds are held in Restricted Investments.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2018, we purchased a private real estate income trust which is valued as a Level 3 asset and is categorized as an “Alternative Investment.”</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company, Ardellis Insurance Ltd. ("Ardellis"), maintains an investment portfolio, totaling $55.6 million and 55.4 million as of December 31, 2022 and December 25, 2021, respectively, which has been included in the aforementioned table of total investments. This portfolio consists of domestic and international equity securities, alternative investments, and fixed income bonds.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0"/>
                <w:szCs w:val="10"/>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$ 21,399</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$ 19,286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$ 18,169</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$ 18,578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Treasury Securities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0" w:type="dxa"/>
            <w:vAlign w:val="bottom"/>
          </w:tcPr>
          <w:p>
            <w:pPr>
              <w:spacing w:after="0"/>
              <w:rPr>
                <w:sz w:val="1"/>
                <w:szCs w:val="1"/>
                <w:color w:val="auto"/>
              </w:rPr>
            </w:pPr>
          </w:p>
        </w:tc>
      </w:tr>
      <w:tr>
        <w:trPr>
          <w:trHeight w:val="23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$ 54,039</w:t>
            </w: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1,603</w:t>
            </w:r>
          </w:p>
        </w:tc>
        <w:tc>
          <w:tcPr>
            <w:tcW w:w="160" w:type="dxa"/>
            <w:vAlign w:val="bottom"/>
            <w:tcBorders>
              <w:top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$ 55,642</w:t>
            </w: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$ 45,932</w:t>
            </w:r>
          </w:p>
        </w:tc>
        <w:tc>
          <w:tcPr>
            <w:tcW w:w="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9,483</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$ 55,415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was $1.6 million for the year ended December 31, 2022. Carrying amounts above are recorded in the investments and restricted investments line items within the balance sheet as of December 31, 2022 and December 25, 2021.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completed the following business combinations in fiscal 2022 and 2021, which were accounted for using the purchase or equity method (in thousands).</w:t>
      </w:r>
    </w:p>
    <w:p>
      <w:pPr>
        <w:spacing w:after="0" w:line="65"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20" w:type="dxa"/>
            <w:vAlign w:val="bottom"/>
            <w:tcBorders>
              <w:top w:val="single" w:sz="8" w:color="auto"/>
              <w:left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1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7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40" w:type="dxa"/>
            <w:vAlign w:val="bottom"/>
          </w:tcPr>
          <w:p>
            <w:pPr>
              <w:spacing w:after="0"/>
              <w:rPr>
                <w:sz w:val="17"/>
                <w:szCs w:val="17"/>
                <w:color w:val="auto"/>
              </w:rPr>
            </w:pPr>
          </w:p>
        </w:tc>
        <w:tc>
          <w:tcPr>
            <w:tcW w:w="92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22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243"/>
        </w:trPr>
        <w:tc>
          <w:tcPr>
            <w:tcW w:w="252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6, 2022</w:t>
            </w: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$71,009 cash paid for</w:t>
            </w:r>
          </w:p>
        </w:tc>
        <w:tc>
          <w:tcPr>
            <w:tcW w:w="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48,812</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22,197</w:t>
            </w:r>
          </w:p>
        </w:tc>
        <w:tc>
          <w:tcPr>
            <w:tcW w:w="11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Packaging</w:t>
            </w:r>
          </w:p>
        </w:tc>
        <w:tc>
          <w:tcPr>
            <w:tcW w:w="0" w:type="dxa"/>
            <w:vAlign w:val="bottom"/>
          </w:tcPr>
          <w:p>
            <w:pPr>
              <w:spacing w:after="0"/>
              <w:rPr>
                <w:sz w:val="1"/>
                <w:szCs w:val="1"/>
                <w:color w:val="auto"/>
              </w:rPr>
            </w:pPr>
          </w:p>
        </w:tc>
      </w:tr>
      <w:tr>
        <w:trPr>
          <w:trHeight w:val="162"/>
        </w:trPr>
        <w:tc>
          <w:tcPr>
            <w:tcW w:w="25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Titan Corrugated, Inc. (Titan) and All</w:t>
            </w:r>
          </w:p>
        </w:tc>
        <w:tc>
          <w:tcPr>
            <w:tcW w:w="1400" w:type="dxa"/>
            <w:vAlign w:val="bottom"/>
            <w:tcBorders>
              <w:bottom w:val="single" w:sz="8" w:color="auto"/>
              <w:right w:val="single" w:sz="8" w:color="auto"/>
            </w:tcBorders>
            <w:shd w:val="clear" w:color="auto" w:fill="CCEBFF"/>
          </w:tcPr>
          <w:p>
            <w:pPr>
              <w:spacing w:after="0"/>
              <w:rPr>
                <w:sz w:val="14"/>
                <w:szCs w:val="14"/>
                <w:color w:val="auto"/>
              </w:rPr>
            </w:pPr>
          </w:p>
        </w:tc>
        <w:tc>
          <w:tcPr>
            <w:tcW w:w="1700" w:type="dxa"/>
            <w:vAlign w:val="bottom"/>
            <w:tcBorders>
              <w:bottom w:val="single" w:sz="8" w:color="auto"/>
              <w:right w:val="single" w:sz="8" w:color="auto"/>
            </w:tcBorders>
            <w:shd w:val="clear" w:color="auto" w:fill="CCEB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100% asset purchase</w:t>
            </w:r>
          </w:p>
        </w:tc>
        <w:tc>
          <w:tcPr>
            <w:tcW w:w="120" w:type="dxa"/>
            <w:vAlign w:val="bottom"/>
            <w:tcBorders>
              <w:bottom w:val="single" w:sz="8" w:color="auto"/>
            </w:tcBorders>
            <w:shd w:val="clear" w:color="auto" w:fill="CCEBFF"/>
          </w:tcPr>
          <w:p>
            <w:pPr>
              <w:spacing w:after="0"/>
              <w:rPr>
                <w:sz w:val="14"/>
                <w:szCs w:val="14"/>
                <w:color w:val="auto"/>
              </w:rPr>
            </w:pPr>
          </w:p>
        </w:tc>
        <w:tc>
          <w:tcPr>
            <w:tcW w:w="960" w:type="dxa"/>
            <w:vAlign w:val="bottom"/>
            <w:tcBorders>
              <w:bottom w:val="single" w:sz="8" w:color="auto"/>
              <w:right w:val="single" w:sz="8" w:color="auto"/>
            </w:tcBorders>
            <w:shd w:val="clear" w:color="auto" w:fill="CCEBFF"/>
          </w:tcPr>
          <w:p>
            <w:pPr>
              <w:spacing w:after="0"/>
              <w:rPr>
                <w:sz w:val="14"/>
                <w:szCs w:val="14"/>
                <w:color w:val="auto"/>
              </w:rPr>
            </w:pPr>
          </w:p>
        </w:tc>
        <w:tc>
          <w:tcPr>
            <w:tcW w:w="140" w:type="dxa"/>
            <w:vAlign w:val="bottom"/>
            <w:tcBorders>
              <w:bottom w:val="single" w:sz="8" w:color="auto"/>
            </w:tcBorders>
            <w:shd w:val="clear" w:color="auto" w:fill="CCEBFF"/>
          </w:tcPr>
          <w:p>
            <w:pPr>
              <w:spacing w:after="0"/>
              <w:rPr>
                <w:sz w:val="14"/>
                <w:szCs w:val="14"/>
                <w:color w:val="auto"/>
              </w:rPr>
            </w:pPr>
          </w:p>
        </w:tc>
        <w:tc>
          <w:tcPr>
            <w:tcW w:w="920" w:type="dxa"/>
            <w:vAlign w:val="bottom"/>
            <w:tcBorders>
              <w:bottom w:val="single" w:sz="8" w:color="auto"/>
              <w:right w:val="single" w:sz="8" w:color="auto"/>
            </w:tcBorders>
            <w:shd w:val="clear" w:color="auto" w:fill="CCEBFF"/>
          </w:tcPr>
          <w:p>
            <w:pPr>
              <w:spacing w:after="0"/>
              <w:rPr>
                <w:sz w:val="14"/>
                <w:szCs w:val="14"/>
                <w:color w:val="auto"/>
              </w:rPr>
            </w:pPr>
          </w:p>
        </w:tc>
        <w:tc>
          <w:tcPr>
            <w:tcW w:w="116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2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400" w:type="dxa"/>
            <w:vAlign w:val="bottom"/>
            <w:tcBorders>
              <w:right w:val="single" w:sz="8" w:color="auto"/>
            </w:tcBorders>
            <w:gridSpan w:val="7"/>
            <w:shd w:val="clear" w:color="auto" w:fill="CCEBFF"/>
          </w:tcPr>
          <w:p>
            <w:pPr>
              <w:spacing w:after="0" w:line="169" w:lineRule="exact"/>
              <w:rPr>
                <w:sz w:val="20"/>
                <w:szCs w:val="20"/>
                <w:color w:val="auto"/>
              </w:rPr>
            </w:pPr>
            <w:r>
              <w:rPr>
                <w:rFonts w:ascii="Times New Roman" w:cs="Times New Roman" w:eastAsia="Times New Roman" w:hAnsi="Times New Roman"/>
                <w:sz w:val="16"/>
                <w:szCs w:val="16"/>
                <w:color w:val="auto"/>
              </w:rPr>
              <w:t>Located in Flower Mound, TX and founded in 2003, Titan’s primary products include boxes used</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Boxed Up, LLC</w:t>
            </w: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in moving and storage, jumbo boxes for industrial products, corrugated shipping containers, and</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point-of-purchase displays. All Boxed Up distributes common box sizes manufactured by Titan</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throughout the United States. The combined companies had trailing 12-month sales through</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10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Times New Roman" w:cs="Times New Roman" w:eastAsia="Times New Roman" w:hAnsi="Times New Roman"/>
                <w:sz w:val="16"/>
                <w:szCs w:val="16"/>
                <w:color w:val="auto"/>
              </w:rPr>
              <w:t>October 2022 of approximately $46.5 million.</w:t>
            </w:r>
          </w:p>
        </w:tc>
        <w:tc>
          <w:tcPr>
            <w:tcW w:w="120" w:type="dxa"/>
            <w:vAlign w:val="bottom"/>
            <w:tcBorders>
              <w:bottom w:val="single" w:sz="8" w:color="auto"/>
            </w:tcBorders>
            <w:shd w:val="clear" w:color="auto" w:fill="CCEBFF"/>
          </w:tcPr>
          <w:p>
            <w:pPr>
              <w:spacing w:after="0"/>
              <w:rPr>
                <w:sz w:val="19"/>
                <w:szCs w:val="19"/>
                <w:color w:val="auto"/>
              </w:rPr>
            </w:pP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20" w:type="dxa"/>
            <w:vAlign w:val="bottom"/>
            <w:tcBorders>
              <w:bottom w:val="single" w:sz="8" w:color="auto"/>
              <w:right w:val="single" w:sz="8" w:color="CCEBFF"/>
            </w:tcBorders>
            <w:shd w:val="clear" w:color="auto" w:fill="CCEBFF"/>
          </w:tcPr>
          <w:p>
            <w:pPr>
              <w:spacing w:after="0"/>
              <w:rPr>
                <w:sz w:val="19"/>
                <w:szCs w:val="19"/>
                <w:color w:val="auto"/>
              </w:rPr>
            </w:pPr>
          </w:p>
        </w:tc>
        <w:tc>
          <w:tcPr>
            <w:tcW w:w="11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2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27, 2022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$69,791 cash paid for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34,552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35,239</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Packaging</w:t>
            </w:r>
          </w:p>
        </w:tc>
        <w:tc>
          <w:tcPr>
            <w:tcW w:w="0" w:type="dxa"/>
            <w:vAlign w:val="bottom"/>
          </w:tcPr>
          <w:p>
            <w:pPr>
              <w:spacing w:after="0"/>
              <w:rPr>
                <w:sz w:val="1"/>
                <w:szCs w:val="1"/>
                <w:color w:val="auto"/>
              </w:rPr>
            </w:pPr>
          </w:p>
        </w:tc>
      </w:tr>
      <w:tr>
        <w:trPr>
          <w:trHeight w:val="162"/>
        </w:trPr>
        <w:tc>
          <w:tcPr>
            <w:tcW w:w="2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Dempsey Wood Products, Inc.</w:t>
            </w:r>
          </w:p>
        </w:tc>
        <w:tc>
          <w:tcPr>
            <w:tcW w:w="140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equity method investment</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20" w:type="dxa"/>
            <w:vAlign w:val="bottom"/>
            <w:tcBorders>
              <w:left w:val="single" w:sz="8" w:color="auto"/>
              <w:right w:val="single" w:sz="8" w:color="auto"/>
            </w:tcBorders>
            <w:vMerge w:val="continue"/>
          </w:tcPr>
          <w:p>
            <w:pPr>
              <w:spacing w:after="0"/>
              <w:rPr>
                <w:sz w:val="14"/>
                <w:szCs w:val="14"/>
                <w:color w:val="auto"/>
              </w:rPr>
            </w:pPr>
          </w:p>
        </w:tc>
        <w:tc>
          <w:tcPr>
            <w:tcW w:w="640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6"/>
                <w:szCs w:val="16"/>
                <w:color w:val="auto"/>
              </w:rPr>
              <w:t>Located in Orangeburg, South Carolina and founded in 1988, Dempsey is a sawmill which</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(Dempsey)</w:t>
            </w: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produces products such as kiln dried finished lumber, industrial lumber, green cut stock lumber,</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pine chips and shavings, landscaping mulch, and sawdust. The Company had sales of</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tcPr>
          <w:p>
            <w:pPr>
              <w:spacing w:after="0"/>
              <w:rPr>
                <w:sz w:val="19"/>
                <w:szCs w:val="19"/>
                <w:color w:val="auto"/>
              </w:rPr>
            </w:pPr>
          </w:p>
        </w:tc>
        <w:tc>
          <w:tcPr>
            <w:tcW w:w="3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approximately $69 million in 2021.</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$15,398</w:t>
            </w:r>
          </w:p>
        </w:tc>
        <w:tc>
          <w:tcPr>
            <w:tcW w:w="12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20" w:type="dxa"/>
            <w:vAlign w:val="bottom"/>
            <w:tcBorders>
              <w:right w:val="single" w:sz="8" w:color="auto"/>
            </w:tcBorders>
            <w:shd w:val="clear" w:color="auto" w:fill="CCEBFF"/>
          </w:tcPr>
          <w:p>
            <w:pPr>
              <w:spacing w:after="0"/>
              <w:rPr>
                <w:sz w:val="16"/>
                <w:szCs w:val="16"/>
                <w:color w:val="auto"/>
              </w:rPr>
            </w:pPr>
          </w:p>
        </w:tc>
        <w:tc>
          <w:tcPr>
            <w:tcW w:w="11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May 9, 2022</w:t>
            </w: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10,577</w:t>
            </w:r>
          </w:p>
        </w:tc>
        <w:tc>
          <w:tcPr>
            <w:tcW w:w="11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Retail</w:t>
            </w: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Cedar Poly, LLC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0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20" w:type="dxa"/>
            <w:vAlign w:val="bottom"/>
            <w:tcBorders>
              <w:bottom w:val="single" w:sz="8" w:color="auto"/>
              <w:right w:val="single" w:sz="8" w:color="auto"/>
            </w:tcBorders>
            <w:shd w:val="clear" w:color="auto" w:fill="CCEBFF"/>
          </w:tcPr>
          <w:p>
            <w:pPr>
              <w:spacing w:after="0"/>
              <w:rPr>
                <w:sz w:val="18"/>
                <w:szCs w:val="18"/>
                <w:color w:val="auto"/>
              </w:rPr>
            </w:pPr>
          </w:p>
        </w:tc>
        <w:tc>
          <w:tcPr>
            <w:tcW w:w="11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Tipton, Iowa, Cedar Poly is a full-service recycler of high-density and low-density</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polyethylene (HDPE and LDPE) flakes and pellets used in various products, including composite</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decking. The company also recycles corrugate and operates its own transportation fleet. Cedar</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Poly had 2021 sales of approximately $17.3 million and will operate in UFP’s Deckorators</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40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business unit.</w:t>
            </w:r>
          </w:p>
        </w:tc>
        <w:tc>
          <w:tcPr>
            <w:tcW w:w="170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20" w:type="dxa"/>
            <w:vAlign w:val="bottom"/>
            <w:tcBorders>
              <w:bottom w:val="single" w:sz="8" w:color="auto"/>
              <w:right w:val="single" w:sz="8" w:color="CCEBFF"/>
            </w:tcBorders>
            <w:shd w:val="clear" w:color="auto" w:fill="CCEBFF"/>
          </w:tcPr>
          <w:p>
            <w:pPr>
              <w:spacing w:after="0"/>
              <w:rPr>
                <w:sz w:val="19"/>
                <w:szCs w:val="19"/>
                <w:color w:val="auto"/>
              </w:rPr>
            </w:pPr>
          </w:p>
        </w:tc>
        <w:tc>
          <w:tcPr>
            <w:tcW w:w="11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$24,057</w:t>
            </w:r>
          </w:p>
        </w:tc>
        <w:tc>
          <w:tcPr>
            <w:tcW w:w="1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stock</w:t>
            </w: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52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27, 2021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 net of 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Retail</w:t>
            </w:r>
          </w:p>
        </w:tc>
        <w:tc>
          <w:tcPr>
            <w:tcW w:w="0" w:type="dxa"/>
            <w:vAlign w:val="bottom"/>
          </w:tcPr>
          <w:p>
            <w:pPr>
              <w:spacing w:after="0"/>
              <w:rPr>
                <w:sz w:val="1"/>
                <w:szCs w:val="1"/>
                <w:color w:val="auto"/>
              </w:rPr>
            </w:pPr>
          </w:p>
        </w:tc>
      </w:tr>
      <w:tr>
        <w:trPr>
          <w:trHeight w:val="148"/>
        </w:trPr>
        <w:tc>
          <w:tcPr>
            <w:tcW w:w="252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cash and $2,000</w:t>
            </w: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estimated contingent</w:t>
            </w: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Ultra Aluminum Manufacturing, Inc.</w:t>
            </w:r>
          </w:p>
        </w:tc>
        <w:tc>
          <w:tcPr>
            <w:tcW w:w="14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consideration</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20" w:type="dxa"/>
            <w:vAlign w:val="bottom"/>
            <w:tcBorders>
              <w:left w:val="single" w:sz="8" w:color="auto"/>
              <w:right w:val="single" w:sz="8" w:color="auto"/>
            </w:tcBorders>
            <w:vMerge w:val="continue"/>
          </w:tcPr>
          <w:p>
            <w:pPr>
              <w:spacing w:after="0"/>
              <w:rPr>
                <w:sz w:val="14"/>
                <w:szCs w:val="14"/>
                <w:color w:val="auto"/>
              </w:rPr>
            </w:pPr>
          </w:p>
        </w:tc>
        <w:tc>
          <w:tcPr>
            <w:tcW w:w="6400" w:type="dxa"/>
            <w:vAlign w:val="bottom"/>
            <w:tcBorders>
              <w:right w:val="single" w:sz="8" w:color="auto"/>
            </w:tcBorders>
            <w:gridSpan w:val="7"/>
          </w:tcPr>
          <w:p>
            <w:pPr>
              <w:spacing w:after="0" w:line="171" w:lineRule="exact"/>
              <w:rPr>
                <w:sz w:val="20"/>
                <w:szCs w:val="20"/>
                <w:color w:val="auto"/>
              </w:rPr>
            </w:pPr>
            <w:r>
              <w:rPr>
                <w:rFonts w:ascii="Times New Roman" w:cs="Times New Roman" w:eastAsia="Times New Roman" w:hAnsi="Times New Roman"/>
                <w:sz w:val="16"/>
                <w:szCs w:val="16"/>
                <w:color w:val="auto"/>
              </w:rPr>
              <w:t>Located in Howell, Michigan and founded in 1996, Ultra is a leading manufacturer of aluminum</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(Ultra)</w:t>
            </w: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fencing, gates and railing. The company designs and produces an extensive selection of</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ornamental aluminum fence and railing products for contractors, landscapers, fence dealers and</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tcPr>
          <w:p>
            <w:pPr>
              <w:spacing w:after="0"/>
              <w:rPr>
                <w:sz w:val="19"/>
                <w:szCs w:val="19"/>
                <w:color w:val="auto"/>
              </w:rPr>
            </w:pPr>
          </w:p>
        </w:tc>
        <w:tc>
          <w:tcPr>
            <w:tcW w:w="52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wholesalers. The Company had sales of approximately $45 million in 2021.</w:t>
            </w:r>
          </w:p>
        </w:tc>
        <w:tc>
          <w:tcPr>
            <w:tcW w:w="1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$23,154</w:t>
            </w:r>
          </w:p>
        </w:tc>
        <w:tc>
          <w:tcPr>
            <w:tcW w:w="12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20" w:type="dxa"/>
            <w:vAlign w:val="bottom"/>
            <w:tcBorders>
              <w:right w:val="single" w:sz="8" w:color="auto"/>
            </w:tcBorders>
            <w:shd w:val="clear" w:color="auto" w:fill="CCEBFF"/>
          </w:tcPr>
          <w:p>
            <w:pPr>
              <w:spacing w:after="0"/>
              <w:rPr>
                <w:sz w:val="16"/>
                <w:szCs w:val="16"/>
                <w:color w:val="auto"/>
              </w:rPr>
            </w:pPr>
          </w:p>
        </w:tc>
        <w:tc>
          <w:tcPr>
            <w:tcW w:w="11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20" w:type="dxa"/>
            <w:vAlign w:val="bottom"/>
            <w:tcBorders>
              <w:left w:val="single" w:sz="8" w:color="auto"/>
              <w:right w:val="single" w:sz="8" w:color="auto"/>
            </w:tcBorders>
            <w:shd w:val="clear" w:color="auto" w:fill="CCEBFF"/>
          </w:tcPr>
          <w:p>
            <w:pPr>
              <w:spacing w:after="0"/>
              <w:rPr>
                <w:sz w:val="22"/>
                <w:szCs w:val="22"/>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20, 2021</w:t>
            </w: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stock</w:t>
            </w:r>
          </w:p>
        </w:tc>
        <w:tc>
          <w:tcPr>
            <w:tcW w:w="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13,817</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9,337</w:t>
            </w:r>
          </w:p>
        </w:tc>
        <w:tc>
          <w:tcPr>
            <w:tcW w:w="11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Packaging</w:t>
            </w:r>
          </w:p>
        </w:tc>
        <w:tc>
          <w:tcPr>
            <w:tcW w:w="0" w:type="dxa"/>
            <w:vAlign w:val="bottom"/>
          </w:tcPr>
          <w:p>
            <w:pPr>
              <w:spacing w:after="0"/>
              <w:rPr>
                <w:sz w:val="1"/>
                <w:szCs w:val="1"/>
                <w:color w:val="auto"/>
              </w:rPr>
            </w:pPr>
          </w:p>
        </w:tc>
      </w:tr>
      <w:tr>
        <w:trPr>
          <w:trHeight w:val="148"/>
        </w:trPr>
        <w:tc>
          <w:tcPr>
            <w:tcW w:w="2520" w:type="dxa"/>
            <w:vAlign w:val="bottom"/>
            <w:tcBorders>
              <w:left w:val="single" w:sz="8" w:color="auto"/>
              <w:right w:val="single" w:sz="8" w:color="auto"/>
            </w:tcBorders>
            <w:shd w:val="clear" w:color="auto" w:fill="CCEBFF"/>
          </w:tcPr>
          <w:p>
            <w:pPr>
              <w:spacing w:after="0"/>
              <w:rPr>
                <w:sz w:val="12"/>
                <w:szCs w:val="12"/>
                <w:color w:val="auto"/>
              </w:rPr>
            </w:pPr>
          </w:p>
        </w:tc>
        <w:tc>
          <w:tcPr>
            <w:tcW w:w="1400" w:type="dxa"/>
            <w:vAlign w:val="bottom"/>
            <w:tcBorders>
              <w:right w:val="single" w:sz="8" w:color="auto"/>
            </w:tcBorders>
            <w:shd w:val="clear" w:color="auto" w:fill="CCEBFF"/>
          </w:tcPr>
          <w:p>
            <w:pPr>
              <w:spacing w:after="0"/>
              <w:rPr>
                <w:sz w:val="12"/>
                <w:szCs w:val="12"/>
                <w:color w:val="auto"/>
              </w:rPr>
            </w:pPr>
          </w:p>
        </w:tc>
        <w:tc>
          <w:tcPr>
            <w:tcW w:w="1700" w:type="dxa"/>
            <w:vAlign w:val="bottom"/>
            <w:tcBorders>
              <w:right w:val="single" w:sz="8" w:color="auto"/>
            </w:tcBorders>
            <w:shd w:val="clear" w:color="auto" w:fill="CCEBFF"/>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shd w:val="clear" w:color="auto" w:fill="CCEBFF"/>
          </w:tcPr>
          <w:p>
            <w:pPr>
              <w:spacing w:after="0"/>
              <w:rPr>
                <w:sz w:val="12"/>
                <w:szCs w:val="12"/>
                <w:color w:val="auto"/>
              </w:rPr>
            </w:pPr>
          </w:p>
        </w:tc>
        <w:tc>
          <w:tcPr>
            <w:tcW w:w="960" w:type="dxa"/>
            <w:vAlign w:val="bottom"/>
            <w:tcBorders>
              <w:right w:val="single" w:sz="8" w:color="auto"/>
            </w:tcBorders>
            <w:shd w:val="clear" w:color="auto" w:fill="CCEBFF"/>
          </w:tcPr>
          <w:p>
            <w:pPr>
              <w:spacing w:after="0"/>
              <w:rPr>
                <w:sz w:val="12"/>
                <w:szCs w:val="12"/>
                <w:color w:val="auto"/>
              </w:rPr>
            </w:pPr>
          </w:p>
        </w:tc>
        <w:tc>
          <w:tcPr>
            <w:tcW w:w="140" w:type="dxa"/>
            <w:vAlign w:val="bottom"/>
            <w:shd w:val="clear" w:color="auto" w:fill="CCEBFF"/>
          </w:tcPr>
          <w:p>
            <w:pPr>
              <w:spacing w:after="0"/>
              <w:rPr>
                <w:sz w:val="12"/>
                <w:szCs w:val="12"/>
                <w:color w:val="auto"/>
              </w:rPr>
            </w:pPr>
          </w:p>
        </w:tc>
        <w:tc>
          <w:tcPr>
            <w:tcW w:w="920" w:type="dxa"/>
            <w:vAlign w:val="bottom"/>
            <w:tcBorders>
              <w:right w:val="single" w:sz="8" w:color="auto"/>
            </w:tcBorders>
            <w:shd w:val="clear" w:color="auto" w:fill="CCEBFF"/>
          </w:tcPr>
          <w:p>
            <w:pPr>
              <w:spacing w:after="0"/>
              <w:rPr>
                <w:sz w:val="12"/>
                <w:szCs w:val="12"/>
                <w:color w:val="auto"/>
              </w:rPr>
            </w:pPr>
          </w:p>
        </w:tc>
        <w:tc>
          <w:tcPr>
            <w:tcW w:w="1160" w:type="dxa"/>
            <w:vAlign w:val="bottom"/>
            <w:tcBorders>
              <w:right w:val="single" w:sz="8" w:color="auto"/>
            </w:tcBorders>
            <w:shd w:val="clear" w:color="auto" w:fill="CCEB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Advantage Labels &amp; Packaging, Inc.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0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20" w:type="dxa"/>
            <w:vAlign w:val="bottom"/>
            <w:tcBorders>
              <w:bottom w:val="single" w:sz="8" w:color="auto"/>
              <w:right w:val="single" w:sz="8" w:color="auto"/>
            </w:tcBorders>
            <w:shd w:val="clear" w:color="auto" w:fill="CCEBFF"/>
          </w:tcPr>
          <w:p>
            <w:pPr>
              <w:spacing w:after="0"/>
              <w:rPr>
                <w:sz w:val="18"/>
                <w:szCs w:val="18"/>
                <w:color w:val="auto"/>
              </w:rPr>
            </w:pPr>
          </w:p>
        </w:tc>
        <w:tc>
          <w:tcPr>
            <w:tcW w:w="11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2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400" w:type="dxa"/>
            <w:vAlign w:val="bottom"/>
            <w:tcBorders>
              <w:right w:val="single" w:sz="8" w:color="auto"/>
            </w:tcBorders>
            <w:gridSpan w:val="7"/>
            <w:shd w:val="clear" w:color="auto" w:fill="CCEBFF"/>
          </w:tcPr>
          <w:p>
            <w:pPr>
              <w:spacing w:after="0" w:line="171" w:lineRule="exact"/>
              <w:rPr>
                <w:sz w:val="20"/>
                <w:szCs w:val="20"/>
                <w:color w:val="auto"/>
              </w:rPr>
            </w:pPr>
            <w:r>
              <w:rPr>
                <w:rFonts w:ascii="Times New Roman" w:cs="Times New Roman" w:eastAsia="Times New Roman" w:hAnsi="Times New Roman"/>
                <w:sz w:val="16"/>
                <w:szCs w:val="16"/>
                <w:color w:val="auto"/>
              </w:rPr>
              <w:t>Based in Grand Rapids, Michigan, Advantage provides blank and customized labels, printers,</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(Advantage)</w:t>
            </w: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label applicators and other packaging supplies. Key industries served by the company include beer</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and beverage; body armor; food production and processing; greenhouse and nursery; hobby and</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craft; manufacturing; and automotive. The company had trailing 12-month sales through</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20" w:type="dxa"/>
            <w:vAlign w:val="bottom"/>
            <w:tcBorders>
              <w:bottom w:val="single" w:sz="8" w:color="auto"/>
            </w:tcBorders>
            <w:gridSpan w:val="3"/>
            <w:shd w:val="clear" w:color="auto" w:fill="CCEBFF"/>
          </w:tcPr>
          <w:p>
            <w:pPr>
              <w:spacing w:after="0"/>
              <w:rPr>
                <w:sz w:val="20"/>
                <w:szCs w:val="20"/>
                <w:color w:val="auto"/>
              </w:rPr>
            </w:pPr>
            <w:r>
              <w:rPr>
                <w:rFonts w:ascii="Times New Roman" w:cs="Times New Roman" w:eastAsia="Times New Roman" w:hAnsi="Times New Roman"/>
                <w:sz w:val="16"/>
                <w:szCs w:val="16"/>
                <w:color w:val="auto"/>
              </w:rPr>
              <w:t>November 2021 of approximately $19.8 million.</w:t>
            </w: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20" w:type="dxa"/>
            <w:vAlign w:val="bottom"/>
            <w:tcBorders>
              <w:bottom w:val="single" w:sz="8" w:color="auto"/>
              <w:right w:val="single" w:sz="8" w:color="CCEBFF"/>
            </w:tcBorders>
            <w:shd w:val="clear" w:color="auto" w:fill="CCEBFF"/>
          </w:tcPr>
          <w:p>
            <w:pPr>
              <w:spacing w:after="0"/>
              <w:rPr>
                <w:sz w:val="19"/>
                <w:szCs w:val="19"/>
                <w:color w:val="auto"/>
              </w:rPr>
            </w:pPr>
          </w:p>
        </w:tc>
        <w:tc>
          <w:tcPr>
            <w:tcW w:w="11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252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1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7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22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$10,831</w:t>
            </w:r>
          </w:p>
        </w:tc>
        <w:tc>
          <w:tcPr>
            <w:tcW w:w="12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1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spacing w:after="0"/>
              <w:rPr>
                <w:sz w:val="17"/>
                <w:szCs w:val="17"/>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70% stock</w:t>
            </w:r>
          </w:p>
        </w:tc>
        <w:tc>
          <w:tcPr>
            <w:tcW w:w="120" w:type="dxa"/>
            <w:vAlign w:val="bottom"/>
            <w:shd w:val="clear" w:color="auto" w:fill="CCEBFF"/>
          </w:tcPr>
          <w:p>
            <w:pPr>
              <w:spacing w:after="0"/>
              <w:rPr>
                <w:sz w:val="17"/>
                <w:szCs w:val="17"/>
                <w:color w:val="auto"/>
              </w:rPr>
            </w:pPr>
          </w:p>
        </w:tc>
        <w:tc>
          <w:tcPr>
            <w:tcW w:w="960" w:type="dxa"/>
            <w:vAlign w:val="bottom"/>
            <w:tcBorders>
              <w:right w:val="single" w:sz="8" w:color="auto"/>
            </w:tcBorders>
            <w:shd w:val="clear" w:color="auto" w:fill="CCEBFF"/>
          </w:tcPr>
          <w:p>
            <w:pPr>
              <w:spacing w:after="0"/>
              <w:rPr>
                <w:sz w:val="17"/>
                <w:szCs w:val="17"/>
                <w:color w:val="auto"/>
              </w:rPr>
            </w:pPr>
          </w:p>
        </w:tc>
        <w:tc>
          <w:tcPr>
            <w:tcW w:w="140" w:type="dxa"/>
            <w:vAlign w:val="bottom"/>
            <w:shd w:val="clear" w:color="auto" w:fill="CCEBFF"/>
          </w:tcPr>
          <w:p>
            <w:pPr>
              <w:spacing w:after="0"/>
              <w:rPr>
                <w:sz w:val="17"/>
                <w:szCs w:val="17"/>
                <w:color w:val="auto"/>
              </w:rPr>
            </w:pPr>
          </w:p>
        </w:tc>
        <w:tc>
          <w:tcPr>
            <w:tcW w:w="940" w:type="dxa"/>
            <w:vAlign w:val="bottom"/>
            <w:tcBorders>
              <w:right w:val="single" w:sz="8" w:color="auto"/>
            </w:tcBorders>
            <w:shd w:val="clear" w:color="auto" w:fill="CCEBFF"/>
          </w:tcPr>
          <w:p>
            <w:pPr>
              <w:spacing w:after="0"/>
              <w:rPr>
                <w:sz w:val="17"/>
                <w:szCs w:val="17"/>
                <w:color w:val="auto"/>
              </w:rPr>
            </w:pPr>
          </w:p>
        </w:tc>
        <w:tc>
          <w:tcPr>
            <w:tcW w:w="1140" w:type="dxa"/>
            <w:vAlign w:val="bottom"/>
            <w:tcBorders>
              <w:right w:val="single" w:sz="8" w:color="auto"/>
            </w:tcBorders>
            <w:shd w:val="clear" w:color="auto" w:fill="CCEB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November 22, 2021</w:t>
            </w: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 and</w:t>
            </w:r>
          </w:p>
        </w:tc>
        <w:tc>
          <w:tcPr>
            <w:tcW w:w="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1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spacing w:after="0"/>
              <w:rPr>
                <w:sz w:val="17"/>
                <w:szCs w:val="17"/>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shd w:val="clear" w:color="auto" w:fill="CCEBFF"/>
          </w:tcPr>
          <w:p>
            <w:pPr>
              <w:spacing w:after="0"/>
              <w:rPr>
                <w:sz w:val="17"/>
                <w:szCs w:val="17"/>
                <w:color w:val="auto"/>
              </w:rPr>
            </w:pPr>
          </w:p>
        </w:tc>
        <w:tc>
          <w:tcPr>
            <w:tcW w:w="960" w:type="dxa"/>
            <w:vAlign w:val="bottom"/>
            <w:tcBorders>
              <w:right w:val="single" w:sz="8" w:color="auto"/>
            </w:tcBorders>
            <w:shd w:val="clear" w:color="auto" w:fill="CCEBFF"/>
          </w:tcPr>
          <w:p>
            <w:pPr>
              <w:spacing w:after="0"/>
              <w:rPr>
                <w:sz w:val="17"/>
                <w:szCs w:val="17"/>
                <w:color w:val="auto"/>
              </w:rPr>
            </w:pPr>
          </w:p>
        </w:tc>
        <w:tc>
          <w:tcPr>
            <w:tcW w:w="140" w:type="dxa"/>
            <w:vAlign w:val="bottom"/>
            <w:shd w:val="clear" w:color="auto" w:fill="CCEBFF"/>
          </w:tcPr>
          <w:p>
            <w:pPr>
              <w:spacing w:after="0"/>
              <w:rPr>
                <w:sz w:val="17"/>
                <w:szCs w:val="17"/>
                <w:color w:val="auto"/>
              </w:rPr>
            </w:pPr>
          </w:p>
        </w:tc>
        <w:tc>
          <w:tcPr>
            <w:tcW w:w="940" w:type="dxa"/>
            <w:vAlign w:val="bottom"/>
            <w:tcBorders>
              <w:right w:val="single" w:sz="8" w:color="auto"/>
            </w:tcBorders>
            <w:shd w:val="clear" w:color="auto" w:fill="CCEBFF"/>
          </w:tcPr>
          <w:p>
            <w:pPr>
              <w:spacing w:after="0"/>
              <w:rPr>
                <w:sz w:val="17"/>
                <w:szCs w:val="17"/>
                <w:color w:val="auto"/>
              </w:rPr>
            </w:pPr>
          </w:p>
        </w:tc>
        <w:tc>
          <w:tcPr>
            <w:tcW w:w="1140" w:type="dxa"/>
            <w:vAlign w:val="bottom"/>
            <w:tcBorders>
              <w:right w:val="single" w:sz="8" w:color="auto"/>
            </w:tcBorders>
            <w:shd w:val="clear" w:color="auto" w:fill="CCEB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Ficus Pax Private Limited (Ficus)</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0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net of acquired cash</w:t>
            </w:r>
          </w:p>
        </w:tc>
        <w:tc>
          <w:tcPr>
            <w:tcW w:w="12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1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Headquartered in Bangalore, India, Ficus manufactures mixed-material cases and crates, nail-less</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plywood boxes, wooden pallets and other packaging products through 10 facilities located in</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major industrial markets throughout southern India. Ficus also owns a majority stake in Wadpack,</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 manufacturer of corrugated fiber board containers, corrugated pallets and display solutions. The</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40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Company had trailing 12-month sales through August 2021 of approximately $39 million USD.</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$5,984</w:t>
            </w:r>
          </w:p>
        </w:tc>
        <w:tc>
          <w:tcPr>
            <w:tcW w:w="1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2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1, 2021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148"/>
        </w:trPr>
        <w:tc>
          <w:tcPr>
            <w:tcW w:w="252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Boxpack Packaging (Boxpack)</w:t>
            </w:r>
          </w:p>
        </w:tc>
        <w:tc>
          <w:tcPr>
            <w:tcW w:w="14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Based near Melbourne, Australia, Boxpack specializes in flexographic and lithographic cardboard</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packaging, using the latest CAD design and finishing techniques. Boxpack serves multiple</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industries, including food and beverage, confectionary, pharmaceutical, industrial and agricultural.</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The Company had trailing 12-month sales through June 30, 2021, of $6.2 million USD ($8.2</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million AUD).</w:t>
            </w:r>
          </w:p>
        </w:tc>
        <w:tc>
          <w:tcPr>
            <w:tcW w:w="1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$6,443</w:t>
            </w:r>
          </w:p>
        </w:tc>
        <w:tc>
          <w:tcPr>
            <w:tcW w:w="12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1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20" w:type="dxa"/>
            <w:vAlign w:val="bottom"/>
            <w:tcBorders>
              <w:left w:val="single" w:sz="8" w:color="auto"/>
              <w:right w:val="single" w:sz="8" w:color="auto"/>
            </w:tcBorders>
            <w:shd w:val="clear" w:color="auto" w:fill="CCEBFF"/>
          </w:tcPr>
          <w:p>
            <w:pPr>
              <w:spacing w:after="0"/>
              <w:rPr>
                <w:sz w:val="22"/>
                <w:szCs w:val="22"/>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September 27, 2021</w:t>
            </w: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1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c>
          <w:tcPr>
            <w:tcW w:w="0" w:type="dxa"/>
            <w:vAlign w:val="bottom"/>
          </w:tcPr>
          <w:p>
            <w:pPr>
              <w:spacing w:after="0"/>
              <w:rPr>
                <w:sz w:val="1"/>
                <w:szCs w:val="1"/>
                <w:color w:val="auto"/>
              </w:rPr>
            </w:pPr>
          </w:p>
        </w:tc>
      </w:tr>
      <w:tr>
        <w:trPr>
          <w:trHeight w:val="148"/>
        </w:trPr>
        <w:tc>
          <w:tcPr>
            <w:tcW w:w="2520" w:type="dxa"/>
            <w:vAlign w:val="bottom"/>
            <w:tcBorders>
              <w:left w:val="single" w:sz="8" w:color="auto"/>
              <w:right w:val="single" w:sz="8" w:color="auto"/>
            </w:tcBorders>
            <w:shd w:val="clear" w:color="auto" w:fill="CCEBFF"/>
          </w:tcPr>
          <w:p>
            <w:pPr>
              <w:spacing w:after="0"/>
              <w:rPr>
                <w:sz w:val="12"/>
                <w:szCs w:val="12"/>
                <w:color w:val="auto"/>
              </w:rPr>
            </w:pPr>
          </w:p>
        </w:tc>
        <w:tc>
          <w:tcPr>
            <w:tcW w:w="1400" w:type="dxa"/>
            <w:vAlign w:val="bottom"/>
            <w:tcBorders>
              <w:right w:val="single" w:sz="8" w:color="auto"/>
            </w:tcBorders>
            <w:shd w:val="clear" w:color="auto" w:fill="CCEBFF"/>
          </w:tcPr>
          <w:p>
            <w:pPr>
              <w:spacing w:after="0"/>
              <w:rPr>
                <w:sz w:val="12"/>
                <w:szCs w:val="12"/>
                <w:color w:val="auto"/>
              </w:rPr>
            </w:pPr>
          </w:p>
        </w:tc>
        <w:tc>
          <w:tcPr>
            <w:tcW w:w="1700" w:type="dxa"/>
            <w:vAlign w:val="bottom"/>
            <w:tcBorders>
              <w:right w:val="single" w:sz="8" w:color="auto"/>
            </w:tcBorders>
            <w:shd w:val="clear" w:color="auto" w:fill="CCEBFF"/>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shd w:val="clear" w:color="auto" w:fill="CCEBFF"/>
          </w:tcPr>
          <w:p>
            <w:pPr>
              <w:spacing w:after="0"/>
              <w:rPr>
                <w:sz w:val="12"/>
                <w:szCs w:val="12"/>
                <w:color w:val="auto"/>
              </w:rPr>
            </w:pPr>
          </w:p>
        </w:tc>
        <w:tc>
          <w:tcPr>
            <w:tcW w:w="960" w:type="dxa"/>
            <w:vAlign w:val="bottom"/>
            <w:tcBorders>
              <w:right w:val="single" w:sz="8" w:color="auto"/>
            </w:tcBorders>
            <w:shd w:val="clear" w:color="auto" w:fill="CCEBFF"/>
          </w:tcPr>
          <w:p>
            <w:pPr>
              <w:spacing w:after="0"/>
              <w:rPr>
                <w:sz w:val="12"/>
                <w:szCs w:val="12"/>
                <w:color w:val="auto"/>
              </w:rPr>
            </w:pPr>
          </w:p>
        </w:tc>
        <w:tc>
          <w:tcPr>
            <w:tcW w:w="140" w:type="dxa"/>
            <w:vAlign w:val="bottom"/>
            <w:shd w:val="clear" w:color="auto" w:fill="CCEBFF"/>
          </w:tcPr>
          <w:p>
            <w:pPr>
              <w:spacing w:after="0"/>
              <w:rPr>
                <w:sz w:val="12"/>
                <w:szCs w:val="12"/>
                <w:color w:val="auto"/>
              </w:rPr>
            </w:pPr>
          </w:p>
        </w:tc>
        <w:tc>
          <w:tcPr>
            <w:tcW w:w="940" w:type="dxa"/>
            <w:vAlign w:val="bottom"/>
            <w:tcBorders>
              <w:right w:val="single" w:sz="8" w:color="auto"/>
            </w:tcBorders>
            <w:shd w:val="clear" w:color="auto" w:fill="CCEBFF"/>
          </w:tcPr>
          <w:p>
            <w:pPr>
              <w:spacing w:after="0"/>
              <w:rPr>
                <w:sz w:val="12"/>
                <w:szCs w:val="12"/>
                <w:color w:val="auto"/>
              </w:rPr>
            </w:pPr>
          </w:p>
        </w:tc>
        <w:tc>
          <w:tcPr>
            <w:tcW w:w="1140" w:type="dxa"/>
            <w:vAlign w:val="bottom"/>
            <w:tcBorders>
              <w:right w:val="single" w:sz="8" w:color="auto"/>
            </w:tcBorders>
            <w:shd w:val="clear" w:color="auto" w:fill="CCEB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Shelter Products, Inc. (Shelter)</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0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1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Based in Haleyville, Alabama, Shelter operates its distribution and logistics business from an</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87,800 sq.-ft. warehouse that specializes in manufactured housing industry customers. Shelter’s</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facility is adjacent to a UFP manufacturing facility that supplies trusses to manufactured housing</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builders, and the proximity will enable additional operational synergies. The Company had sales</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10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Times New Roman" w:cs="Times New Roman" w:eastAsia="Times New Roman" w:hAnsi="Times New Roman"/>
                <w:sz w:val="16"/>
                <w:szCs w:val="16"/>
                <w:color w:val="auto"/>
              </w:rPr>
              <w:t>of approximately $11.4 million in 2020.</w:t>
            </w:r>
          </w:p>
        </w:tc>
        <w:tc>
          <w:tcPr>
            <w:tcW w:w="120" w:type="dxa"/>
            <w:vAlign w:val="bottom"/>
            <w:tcBorders>
              <w:bottom w:val="single" w:sz="8" w:color="auto"/>
            </w:tcBorders>
            <w:shd w:val="clear" w:color="auto" w:fill="CCEBFF"/>
          </w:tcPr>
          <w:p>
            <w:pPr>
              <w:spacing w:after="0"/>
              <w:rPr>
                <w:sz w:val="19"/>
                <w:szCs w:val="19"/>
                <w:color w:val="auto"/>
              </w:rPr>
            </w:pP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1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$10,129</w:t>
            </w:r>
          </w:p>
        </w:tc>
        <w:tc>
          <w:tcPr>
            <w:tcW w:w="1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April 29, 2021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Endurable Building Products, LLC</w:t>
            </w:r>
          </w:p>
        </w:tc>
        <w:tc>
          <w:tcPr>
            <w:tcW w:w="14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20" w:type="dxa"/>
            <w:vAlign w:val="bottom"/>
            <w:tcBorders>
              <w:left w:val="single" w:sz="8" w:color="auto"/>
              <w:right w:val="single" w:sz="8" w:color="auto"/>
            </w:tcBorders>
            <w:vMerge w:val="continue"/>
          </w:tcPr>
          <w:p>
            <w:pPr>
              <w:spacing w:after="0"/>
              <w:rPr>
                <w:sz w:val="14"/>
                <w:szCs w:val="14"/>
                <w:color w:val="auto"/>
              </w:rPr>
            </w:pPr>
          </w:p>
        </w:tc>
        <w:tc>
          <w:tcPr>
            <w:tcW w:w="6400" w:type="dxa"/>
            <w:vAlign w:val="bottom"/>
            <w:tcBorders>
              <w:right w:val="single" w:sz="8" w:color="auto"/>
            </w:tcBorders>
            <w:gridSpan w:val="7"/>
          </w:tcPr>
          <w:p>
            <w:pPr>
              <w:spacing w:after="0" w:line="171" w:lineRule="exact"/>
              <w:rPr>
                <w:sz w:val="20"/>
                <w:szCs w:val="20"/>
                <w:color w:val="auto"/>
              </w:rPr>
            </w:pPr>
            <w:r>
              <w:rPr>
                <w:rFonts w:ascii="Times New Roman" w:cs="Times New Roman" w:eastAsia="Times New Roman" w:hAnsi="Times New Roman"/>
                <w:sz w:val="16"/>
                <w:szCs w:val="16"/>
                <w:color w:val="auto"/>
              </w:rPr>
              <w:t>Based near Minneapolis, Minnesota, Endurable is a leading manufacturer of customized structural</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(Endurable)</w:t>
            </w: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aluminum systems and products for exterior purposes, such as deck framing, balconies, sunshades,</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railings and stairs. The company’s trademarked alumiLAST aluminum deck and balcony systems</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are known for their low-maintenance design and ease of installation. Endurable serves general</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contractors in the multifamily market throughout the U.S. and had sales of approximately $15</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million in 2020.</w:t>
            </w:r>
          </w:p>
        </w:tc>
        <w:tc>
          <w:tcPr>
            <w:tcW w:w="1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$8,549</w:t>
            </w:r>
          </w:p>
        </w:tc>
        <w:tc>
          <w:tcPr>
            <w:tcW w:w="12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1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April 19, 2021</w:t>
            </w: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11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Retail</w:t>
            </w: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Walnut Hollow Farm, Inc.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0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1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Walnut Hollow Farm, located in Wisconsin, is engaged in the business of designing,</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manufacturing, selling, and distributing wood products, tools, and accessories for the craft and</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hobby, outdoor sportsman art, personalized home décor, and hardware categories, with sales of</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10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Times New Roman" w:cs="Times New Roman" w:eastAsia="Times New Roman" w:hAnsi="Times New Roman"/>
                <w:sz w:val="16"/>
                <w:szCs w:val="16"/>
                <w:color w:val="auto"/>
              </w:rPr>
              <w:t>approximately $11.6 million in 2020.</w:t>
            </w:r>
          </w:p>
        </w:tc>
        <w:tc>
          <w:tcPr>
            <w:tcW w:w="120" w:type="dxa"/>
            <w:vAlign w:val="bottom"/>
            <w:tcBorders>
              <w:bottom w:val="single" w:sz="8" w:color="auto"/>
            </w:tcBorders>
            <w:shd w:val="clear" w:color="auto" w:fill="CCEBFF"/>
          </w:tcPr>
          <w:p>
            <w:pPr>
              <w:spacing w:after="0"/>
              <w:rPr>
                <w:sz w:val="19"/>
                <w:szCs w:val="19"/>
                <w:color w:val="auto"/>
              </w:rPr>
            </w:pP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1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252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Net</w:t>
            </w:r>
          </w:p>
        </w:tc>
        <w:tc>
          <w:tcPr>
            <w:tcW w:w="11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7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40" w:type="dxa"/>
            <w:vAlign w:val="bottom"/>
          </w:tcPr>
          <w:p>
            <w:pPr>
              <w:spacing w:after="0"/>
              <w:rPr>
                <w:sz w:val="17"/>
                <w:szCs w:val="17"/>
                <w:color w:val="auto"/>
              </w:rPr>
            </w:pPr>
          </w:p>
        </w:tc>
        <w:tc>
          <w:tcPr>
            <w:tcW w:w="9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Tangible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225"/>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$153,462</w:t>
            </w:r>
          </w:p>
        </w:tc>
        <w:tc>
          <w:tcPr>
            <w:tcW w:w="12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20" w:type="dxa"/>
            <w:vAlign w:val="bottom"/>
            <w:tcBorders>
              <w:right w:val="single" w:sz="8" w:color="auto"/>
            </w:tcBorders>
            <w:shd w:val="clear" w:color="auto" w:fill="CCEBFF"/>
          </w:tcPr>
          <w:p>
            <w:pPr>
              <w:spacing w:after="0"/>
              <w:rPr>
                <w:sz w:val="16"/>
                <w:szCs w:val="16"/>
                <w:color w:val="auto"/>
              </w:rPr>
            </w:pPr>
          </w:p>
        </w:tc>
        <w:tc>
          <w:tcPr>
            <w:tcW w:w="11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April 12, 2021</w:t>
            </w: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153,462</w:t>
            </w:r>
          </w:p>
        </w:tc>
        <w:tc>
          <w:tcPr>
            <w:tcW w:w="11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Retail</w:t>
            </w: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Spartanburg Forest Products, Inc.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0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20" w:type="dxa"/>
            <w:vAlign w:val="bottom"/>
            <w:tcBorders>
              <w:bottom w:val="single" w:sz="8" w:color="auto"/>
              <w:right w:val="single" w:sz="8" w:color="auto"/>
            </w:tcBorders>
            <w:shd w:val="clear" w:color="auto" w:fill="CCEBFF"/>
          </w:tcPr>
          <w:p>
            <w:pPr>
              <w:spacing w:after="0"/>
              <w:rPr>
                <w:sz w:val="18"/>
                <w:szCs w:val="18"/>
                <w:color w:val="auto"/>
              </w:rPr>
            </w:pPr>
          </w:p>
        </w:tc>
        <w:tc>
          <w:tcPr>
            <w:tcW w:w="11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Headquartered in Greer, South Carolina, Spartanburg Forest Products and its affiliates are a</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premier wood treating operation in the U.S., with approximately 150 employees and operations in</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five states. Its affiliates include Appalachian Forest Products, Innovative Design Industries, Blue</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Ridge Wood Preserving, Blue Ridge Wood Products, and Tidewater Wood Products and had</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20" w:type="dxa"/>
            <w:vAlign w:val="bottom"/>
            <w:tcBorders>
              <w:bottom w:val="single" w:sz="8" w:color="auto"/>
            </w:tcBorders>
            <w:gridSpan w:val="5"/>
            <w:shd w:val="clear" w:color="auto" w:fill="CCEBFF"/>
          </w:tcPr>
          <w:p>
            <w:pPr>
              <w:spacing w:after="0"/>
              <w:rPr>
                <w:sz w:val="20"/>
                <w:szCs w:val="20"/>
                <w:color w:val="auto"/>
              </w:rPr>
            </w:pPr>
            <w:r>
              <w:rPr>
                <w:rFonts w:ascii="Times New Roman" w:cs="Times New Roman" w:eastAsia="Times New Roman" w:hAnsi="Times New Roman"/>
                <w:sz w:val="16"/>
                <w:szCs w:val="16"/>
                <w:color w:val="auto"/>
              </w:rPr>
              <w:t>combined sales of approximately $543.0 million in 2020.</w:t>
            </w:r>
          </w:p>
        </w:tc>
        <w:tc>
          <w:tcPr>
            <w:tcW w:w="920" w:type="dxa"/>
            <w:vAlign w:val="bottom"/>
            <w:tcBorders>
              <w:bottom w:val="single" w:sz="8" w:color="auto"/>
              <w:right w:val="single" w:sz="8" w:color="CCEBFF"/>
            </w:tcBorders>
            <w:shd w:val="clear" w:color="auto" w:fill="CCEBFF"/>
          </w:tcPr>
          <w:p>
            <w:pPr>
              <w:spacing w:after="0"/>
              <w:rPr>
                <w:sz w:val="19"/>
                <w:szCs w:val="19"/>
                <w:color w:val="auto"/>
              </w:rPr>
            </w:pPr>
          </w:p>
        </w:tc>
        <w:tc>
          <w:tcPr>
            <w:tcW w:w="11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$5,511</w:t>
            </w:r>
          </w:p>
        </w:tc>
        <w:tc>
          <w:tcPr>
            <w:tcW w:w="12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20" w:type="dxa"/>
            <w:vAlign w:val="bottom"/>
            <w:tcBorders>
              <w:left w:val="single" w:sz="8" w:color="auto"/>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 2021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148"/>
        </w:trPr>
        <w:tc>
          <w:tcPr>
            <w:tcW w:w="252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J.C. Gilmore Pty Ltd (Gilmores)</w:t>
            </w:r>
          </w:p>
        </w:tc>
        <w:tc>
          <w:tcPr>
            <w:tcW w:w="14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Founded in 1988 and operating from its distribution facility in Port Melbourne, Australia,</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Gilmores is a leading distributor in the industrial and construction industries of packaging tapes,</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stretch films, packaging equipment, strapping, construction protection products and other items,</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tcPr>
          <w:p>
            <w:pPr>
              <w:spacing w:after="0"/>
              <w:rPr>
                <w:sz w:val="19"/>
                <w:szCs w:val="19"/>
                <w:color w:val="auto"/>
              </w:rPr>
            </w:pPr>
          </w:p>
        </w:tc>
        <w:tc>
          <w:tcPr>
            <w:tcW w:w="4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with 2020 sales of $15 million AUD ($10 million USD).</w:t>
            </w: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$259,011</w:t>
            </w:r>
          </w:p>
        </w:tc>
        <w:tc>
          <w:tcPr>
            <w:tcW w:w="12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20" w:type="dxa"/>
            <w:vAlign w:val="bottom"/>
            <w:tcBorders>
              <w:right w:val="single" w:sz="8" w:color="auto"/>
            </w:tcBorders>
            <w:shd w:val="clear" w:color="auto" w:fill="CCEBFF"/>
          </w:tcPr>
          <w:p>
            <w:pPr>
              <w:spacing w:after="0"/>
              <w:rPr>
                <w:sz w:val="16"/>
                <w:szCs w:val="16"/>
                <w:color w:val="auto"/>
              </w:rPr>
            </w:pPr>
          </w:p>
        </w:tc>
        <w:tc>
          <w:tcPr>
            <w:tcW w:w="11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28, 2020</w:t>
            </w:r>
          </w:p>
        </w:tc>
        <w:tc>
          <w:tcPr>
            <w:tcW w:w="17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stock</w:t>
            </w:r>
          </w:p>
        </w:tc>
        <w:tc>
          <w:tcPr>
            <w:tcW w:w="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79,917</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179,094</w:t>
            </w:r>
          </w:p>
        </w:tc>
        <w:tc>
          <w:tcPr>
            <w:tcW w:w="11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Retail/Packaging</w:t>
            </w:r>
          </w:p>
        </w:tc>
        <w:tc>
          <w:tcPr>
            <w:tcW w:w="0" w:type="dxa"/>
            <w:vAlign w:val="bottom"/>
          </w:tcPr>
          <w:p>
            <w:pPr>
              <w:spacing w:after="0"/>
              <w:rPr>
                <w:sz w:val="1"/>
                <w:szCs w:val="1"/>
                <w:color w:val="auto"/>
              </w:rPr>
            </w:pPr>
          </w:p>
        </w:tc>
      </w:tr>
      <w:tr>
        <w:trPr>
          <w:trHeight w:val="213"/>
        </w:trPr>
        <w:tc>
          <w:tcPr>
            <w:tcW w:w="252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PalletOne, Inc. (PalletOne)</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0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20" w:type="dxa"/>
            <w:vAlign w:val="bottom"/>
            <w:tcBorders>
              <w:bottom w:val="single" w:sz="8" w:color="auto"/>
              <w:right w:val="single" w:sz="8" w:color="auto"/>
            </w:tcBorders>
            <w:shd w:val="clear" w:color="auto" w:fill="CCEBFF"/>
          </w:tcPr>
          <w:p>
            <w:pPr>
              <w:spacing w:after="0"/>
              <w:rPr>
                <w:sz w:val="18"/>
                <w:szCs w:val="18"/>
                <w:color w:val="auto"/>
              </w:rPr>
            </w:pPr>
          </w:p>
        </w:tc>
        <w:tc>
          <w:tcPr>
            <w:tcW w:w="11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Based in Bartow, Florida, PalletOne is a leading manufacturer of new pallets in the U.S., with 17</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pallet manufacturing facilities in the southern and eastern regions of the country. The company</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also supplies other specialized industrial packaging, including custom bins and crates, and its</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Sunbelt Forest Products (Sunbelt) subsidiary operates five pressure-treating facilities in the</w:t>
            </w:r>
          </w:p>
        </w:tc>
        <w:tc>
          <w:tcPr>
            <w:tcW w:w="0" w:type="dxa"/>
            <w:vAlign w:val="bottom"/>
          </w:tcPr>
          <w:p>
            <w:pPr>
              <w:spacing w:after="0"/>
              <w:rPr>
                <w:sz w:val="1"/>
                <w:szCs w:val="1"/>
                <w:color w:val="auto"/>
              </w:rPr>
            </w:pPr>
          </w:p>
        </w:tc>
      </w:tr>
      <w:tr>
        <w:trPr>
          <w:trHeight w:val="223"/>
        </w:trPr>
        <w:tc>
          <w:tcPr>
            <w:tcW w:w="252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5240" w:type="dxa"/>
            <w:vAlign w:val="bottom"/>
            <w:tcBorders>
              <w:bottom w:val="single" w:sz="8" w:color="auto"/>
              <w:right w:val="single" w:sz="8" w:color="CCEBFF"/>
            </w:tcBorders>
            <w:gridSpan w:val="6"/>
            <w:shd w:val="clear" w:color="auto" w:fill="CCEBFF"/>
          </w:tcPr>
          <w:p>
            <w:pPr>
              <w:spacing w:after="0"/>
              <w:rPr>
                <w:sz w:val="20"/>
                <w:szCs w:val="20"/>
                <w:color w:val="auto"/>
              </w:rPr>
            </w:pPr>
            <w:r>
              <w:rPr>
                <w:rFonts w:ascii="Times New Roman" w:cs="Times New Roman" w:eastAsia="Times New Roman" w:hAnsi="Times New Roman"/>
                <w:sz w:val="16"/>
                <w:szCs w:val="16"/>
                <w:color w:val="auto"/>
              </w:rPr>
              <w:t>Southeastern U.S. PalletOne and its affiliates had 2020 sales of $698 million.</w:t>
            </w:r>
          </w:p>
        </w:tc>
        <w:tc>
          <w:tcPr>
            <w:tcW w:w="11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intangible assets for each acquisition were finalized and allocated to their respective identifiable intangible asset and goodwill accounts during 2022, except for the acquisitions of All Boxed Up, Titan and Cedar Poly. In aggregate, acquisitions made during 2022 and 2021, contributed approximately $1.5 billion in net sales and $67.0 million in operating profit during 2022.</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amounts assigned to major intangible classes for the business combinations mentioned above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Non-</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Intangibles -</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Compete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Tradename Goodwill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71"/>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AgreementsPatents</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Boxed Up</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Titan</w:t>
            </w:r>
          </w:p>
        </w:tc>
        <w:tc>
          <w:tcPr>
            <w:tcW w:w="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Cedar Poly</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Ultra</w:t>
            </w:r>
          </w:p>
        </w:tc>
        <w:tc>
          <w:tcPr>
            <w:tcW w:w="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5,020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Advantage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310</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Ficus</w:t>
            </w:r>
          </w:p>
        </w:tc>
        <w:tc>
          <w:tcPr>
            <w:tcW w:w="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2,784</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Boxpack</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821</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Shelter</w:t>
            </w:r>
          </w:p>
        </w:tc>
        <w:tc>
          <w:tcPr>
            <w:tcW w:w="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Endurable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Walnut Hollow</w:t>
            </w:r>
          </w:p>
        </w:tc>
        <w:tc>
          <w:tcPr>
            <w:tcW w:w="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Gilmores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1,631</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PalletOne</w:t>
            </w:r>
          </w:p>
        </w:tc>
        <w:tc>
          <w:tcPr>
            <w:tcW w:w="8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17,450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79,917</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*(estimate)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the Company,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December 31, 2022, the carrying value of our investment in Dempsey is $67.4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business combinations mentioned above were not significant to our operating results individually or in aggregate, and thus pro forma results for 2022 and 2021 are not presented.</w:t>
      </w:r>
    </w:p>
    <w:p>
      <w:pPr>
        <w:spacing w:after="0" w:line="158" w:lineRule="exact"/>
        <w:rPr>
          <w:sz w:val="20"/>
          <w:szCs w:val="20"/>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described in Note M — Segment Reporting, our segment structure is based upon the markets we serve and goodwill has been allocated to the segments using a relative fair value approach. The changes in the net carrying amount of goodwill by reporting segment for the years ended December 31, 2022 and December 25, 2021, are as follows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5"/>
                <w:szCs w:val="15"/>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26, 2020</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$ 61,943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$ 11,694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$ 252,193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2021</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74,503</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2021</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w:t>
            </w: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Net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16"/>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25, 2021</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$ 73,376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$ 24,121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$ 315,038</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34,833</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(2,480)</w:t>
            </w:r>
          </w:p>
        </w:tc>
      </w:tr>
      <w:tr>
        <w:trPr>
          <w:trHeight w:val="23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Net</w:t>
            </w: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03"/>
        </w:trPr>
        <w:tc>
          <w:tcPr>
            <w:tcW w:w="32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31, 2022</w:t>
            </w:r>
          </w:p>
        </w:tc>
        <w:tc>
          <w:tcPr>
            <w:tcW w:w="40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$ 84,640</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148,909</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87,670</w:t>
            </w: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$ 16,101</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$ 337,320</w:t>
            </w:r>
          </w:p>
        </w:tc>
      </w:tr>
      <w:tr>
        <w:trPr>
          <w:trHeight w:val="20"/>
        </w:trPr>
        <w:tc>
          <w:tcPr>
            <w:tcW w:w="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the most recent goodwill impairment test, which utilized data and assumptions as of September 24, 2022, all reporting units had fair values that were substantially in excess of their carrying values, except for the Italian reporting unit. It was determined that the carrying value of the Italian reporting unit exceeded its fair value and we recorded a non-cash goodwill impairment charge of $2.5 million as of December 31, 2022, which represented the entire amount of the goodwill recorded within the reporting unit. During 2020, we experienced significantly lower than expected operating results within our commercial reporting unit, which is within the Construction segment. It was determined that the carrying value of the reporting unit exceeded its fair value and we recorded a non-cash goodwill impairment charge of $11.5 million as of December 26, 2020, which represented the entire amount of the goodwill recorded within the reporting unit, as a result.</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totaled $7.3 million as of December 31, 2022 and $7.4 million December 25, 2021 related to the commercial unit within the construction segment, the international unit within the all other segment, and the Deckorators unit within the retail segment.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amounts were included in other amortizable intangible assets, net as of December 31,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25, 2021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3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gridSpan w:val="3"/>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Net Value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Net Value</w:t>
            </w:r>
          </w:p>
        </w:tc>
        <w:tc>
          <w:tcPr>
            <w:tcW w:w="0" w:type="dxa"/>
            <w:vAlign w:val="bottom"/>
          </w:tcPr>
          <w:p>
            <w:pPr>
              <w:spacing w:after="0"/>
              <w:rPr>
                <w:sz w:val="1"/>
                <w:szCs w:val="1"/>
                <w:color w:val="auto"/>
              </w:rPr>
            </w:pPr>
          </w:p>
        </w:tc>
      </w:tr>
      <w:tr>
        <w:trPr>
          <w:trHeight w:val="180"/>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201,468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Amortization is computed principally by the straight-line method over the estimated useful lives of the intangible assets as follows: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 Type</w:t>
            </w: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0"/>
        </w:trPr>
        <w:tc>
          <w:tcPr>
            <w:tcW w:w="43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15 years</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to 15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 (amortizable)</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 to 25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to 5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intangibles totaled $19.5 million, $13.9 million and $8.7 million in 2022, 2021 and 2020, respectively. The estimated amortization expense for intangibles for each of the five succeeding fiscal years is as follows (in thousands):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w:t>
            </w: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57,403</w:t>
            </w: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143,892</w:t>
            </w:r>
          </w:p>
        </w:tc>
      </w:tr>
      <w:tr>
        <w:trPr>
          <w:trHeight w:val="20"/>
        </w:trPr>
        <w:tc>
          <w:tcPr>
            <w:tcW w:w="4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29" w:lineRule="exact"/>
        <w:rPr>
          <w:sz w:val="20"/>
          <w:szCs w:val="20"/>
          <w:color w:val="auto"/>
        </w:rPr>
      </w:pPr>
    </w:p>
    <w:p>
      <w:pPr>
        <w:ind w:left="60" w:right="119" w:firstLine="648"/>
        <w:spacing w:after="0" w:line="263" w:lineRule="auto"/>
        <w:rPr>
          <w:sz w:val="20"/>
          <w:szCs w:val="20"/>
          <w:color w:val="auto"/>
        </w:rPr>
      </w:pPr>
      <w:r>
        <w:rPr>
          <w:rFonts w:ascii="Times New Roman" w:cs="Times New Roman" w:eastAsia="Times New Roman" w:hAnsi="Times New Roman"/>
          <w:sz w:val="18"/>
          <w:szCs w:val="18"/>
          <w:color w:val="auto"/>
        </w:rPr>
        <w:t>On November 1, 2018, we entered into a five-year, $375 million unsecured revolving credit facility with a syndicate of U.S. banks. On February 28, 2021, this credit agreement was amended to increase the availability from $375 million to $550 million by exercising the accordion feature in the original agreement. On December 6, 2022, a second amendment was filed increasing the availability from $550 million to $750 million. The facilities now include up to $60 million which may be advanced in the form of letters of credit, and up to $100 million (U.S. dollar equivalent) which may be advanced in Canadian dollars, Australian dollars,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15.0 to 30.0 basis points, also determined based upon our performance. The facility fee is payable quarterly in arrears.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August 10, 2020, we entered into an unsecured Note Purchase Agreement under which we issued our 3.04% Series 2020 E Senior Notes, due August 10, 2032, in the aggregate principal amount of $50 million, our 3.08% Series 2020 F Senior Notes, due August 10, 2033, in the aggregate principal amount of $50 million, and our 3.15% Series 2020 G Senior Notes, due August 10, 2035, in the aggregate principal amount of $50 million. Proceeds from the sale of the Series E, F and G Senior Notes were used to fund the acquisition of PalletOne in January 2021.</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Outstanding letters of credit extended on our behalf on December 31, 2022 and December 25, 2021 aggregated $59.0 million and $54.2 million; respectively, which includes approximately $3.3 million related to industrial development revenue bonds. We had an outstanding balance of $5.5 million and $7.8 million, which includes foreign subsidiary borrowings, on the revolver at December 31, 2022, and December 25, 2021, respectively. After considering letters of credit, we had $741.2 million and $535.1 million in remaining availability on the revolver on December 31, 2022, and December 25, 2021, respectively. Letters of credit have one-year terms, include an automatic renewal clause, and are charged an annual interest rate of 112.5 basis points, based upon our financial performance.</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Long-term debt obligations are summarized as follows on December 31, 2022 and December 25, 2021 (amounts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7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 Senior Notes E, due on August 10, 2032, interest payable semi-annually at 3.04%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Series 2020 Senior Notes F, due on August 10, 2033, interest payable semi-annually at 3.08%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 Senior Notes G, due on August 10, 2035, interest payable semi-annually at 3.15%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Series 2018 Senior Notes C, due on June 14, 2028, interest payable semi-annually at 4.20%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2018 Senior Notes D, due on June 14, 2030, interest payable semi-annually at 4.27%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98"/>
        </w:trPr>
        <w:tc>
          <w:tcPr>
            <w:tcW w:w="7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2012 Senior Notes Tranche A, due on December 17, 2022, interest payable semi-</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annually at 3.89%</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98"/>
        </w:trPr>
        <w:tc>
          <w:tcPr>
            <w:tcW w:w="7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2012 Senior Notes Tranche B, due on December 17, 2024, interest payable semi-</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annually at 3.98%</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198"/>
        </w:trPr>
        <w:tc>
          <w:tcPr>
            <w:tcW w:w="7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subsidiary borrowings under revolving credit facility, due on December 6, 2027,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 monthly at a floating rate (4.13% on December 31, 2022 and 1.06% 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December 25, 2021)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198"/>
        </w:trPr>
        <w:tc>
          <w:tcPr>
            <w:tcW w:w="7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1999 Industrial Development Revenue Bonds, due on August 1, 2029, interest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monthly at a floating rate (1.04% on December 31, 2022 and 0.14% on December 25,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198"/>
        </w:trPr>
        <w:tc>
          <w:tcPr>
            <w:tcW w:w="7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2002 Industrial Development Revenue Bonds, due on December 1, 2022, interest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payable monthly at a floating rate (N/A on December 31, 2022 and 0.18% on December 25,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 and foreign affiliate debt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320,362</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(42,683)</w:t>
            </w:r>
          </w:p>
        </w:tc>
      </w:tr>
      <w:tr>
        <w:trPr>
          <w:trHeight w:val="22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277,567</w:t>
            </w:r>
          </w:p>
        </w:tc>
      </w:tr>
      <w:tr>
        <w:trPr>
          <w:trHeight w:val="20"/>
        </w:trPr>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31, 2022 and December 25,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December 31, 2022, the principal maturities of long-term debt and finance lease obligations are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228,689</w:t>
            </w: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278,330</w:t>
            </w:r>
          </w:p>
        </w:tc>
      </w:tr>
      <w:tr>
        <w:trPr>
          <w:trHeight w:val="20"/>
        </w:trPr>
        <w:tc>
          <w:tcPr>
            <w:tcW w:w="4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December 31, 2022, the estimated fair value of our long-term debt, including the current portion, was $242.1 million, which was $36.2 million less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spacing w:after="0" w:line="179" w:lineRule="exact"/>
        <w:rPr>
          <w:sz w:val="20"/>
          <w:szCs w:val="20"/>
          <w:color w:val="auto"/>
        </w:rPr>
      </w:pPr>
    </w:p>
    <w:p>
      <w:pPr>
        <w:ind w:left="700" w:hanging="650"/>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a lease at inception. 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 There were no restrictions or covenants imposed by any lease agreements.</w:t>
      </w:r>
    </w:p>
    <w:p>
      <w:pPr>
        <w:spacing w:after="0" w:line="18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believe finance leases have no significant impact to our consolidated balance sheet and statement of earnings as of December 31, 2022.</w:t>
      </w:r>
    </w:p>
    <w:p>
      <w:pPr>
        <w:spacing w:after="0" w:line="162"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As of December 31, 2022, we have no leases that have not yet commenced that would significantly impact the rights, obligations, and our financial position.</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lease transactions between related parties as of December 31, 2022.</w:t>
      </w:r>
    </w:p>
    <w:p>
      <w:pPr>
        <w:spacing w:after="0" w:line="225"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rates implicit in our leases are primarily not readily available. To determine the discount rate used to present value the lease payments, we utilize the 7-year treasury note rate plus a blend of rate spreads associated with our 10 to 15 year senior notes along with estimated spreads based on current market conditions. We feel the determined rate is a reasonable representation of our lease population.</w:t>
      </w:r>
    </w:p>
    <w:p>
      <w:pPr>
        <w:spacing w:after="0" w:line="180"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Lease costs under non-cancelable operating leases on December 31, 2022 and December 25, 2021 are as follows (in thousands):</w:t>
      </w:r>
    </w:p>
    <w:p>
      <w:pPr>
        <w:sectPr>
          <w:pgSz w:w="11900" w:h="16838" w:orient="portrait"/>
          <w:cols w:equalWidth="0" w:num="1">
            <w:col w:w="9019"/>
          </w:cols>
          <w:pgMar w:left="1440" w:top="513" w:right="1440" w:bottom="1440" w:gutter="0" w:footer="0" w:header="0"/>
        </w:sect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Sublease income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321"/>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7620</wp:posOffset>
            </wp:positionV>
            <wp:extent cx="564896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9" w:lineRule="exact"/>
        <w:rPr>
          <w:sz w:val="20"/>
          <w:szCs w:val="20"/>
          <w:color w:val="auto"/>
        </w:rPr>
      </w:pPr>
    </w:p>
    <w:p>
      <w:pPr>
        <w:ind w:left="261" w:hanging="261"/>
        <w:spacing w:after="0"/>
        <w:tabs>
          <w:tab w:leader="none" w:pos="2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32,458  $  30,054</w:t>
      </w:r>
    </w:p>
    <w:p>
      <w:pPr>
        <w:spacing w:after="0" w:line="19" w:lineRule="exact"/>
        <w:rPr>
          <w:rFonts w:ascii="Times New Roman" w:cs="Times New Roman" w:eastAsia="Times New Roman" w:hAnsi="Times New Roman"/>
          <w:sz w:val="18"/>
          <w:szCs w:val="18"/>
          <w:color w:val="auto"/>
        </w:rPr>
      </w:pPr>
    </w:p>
    <w:p>
      <w:pPr>
        <w:ind w:left="2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10,4905,264</w:t>
      </w:r>
    </w:p>
    <w:p>
      <w:pPr>
        <w:spacing w:after="0" w:line="9" w:lineRule="exact"/>
        <w:rPr>
          <w:rFonts w:ascii="Times New Roman" w:cs="Times New Roman" w:eastAsia="Times New Roman" w:hAnsi="Times New Roman"/>
          <w:sz w:val="18"/>
          <w:szCs w:val="18"/>
          <w:color w:val="auto"/>
        </w:rPr>
      </w:pPr>
    </w:p>
    <w:p>
      <w:pPr>
        <w:ind w:left="3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5,2914,761</w:t>
      </w:r>
    </w:p>
    <w:p>
      <w:pPr>
        <w:spacing w:after="0" w:line="9" w:lineRule="exact"/>
        <w:rPr>
          <w:rFonts w:ascii="Times New Roman" w:cs="Times New Roman" w:eastAsia="Times New Roman" w:hAnsi="Times New Roman"/>
          <w:sz w:val="18"/>
          <w:szCs w:val="18"/>
          <w:color w:val="auto"/>
        </w:rPr>
      </w:pPr>
    </w:p>
    <w:p>
      <w:pPr>
        <w:ind w:left="2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(2,876)</w:t>
      </w:r>
      <w:r>
        <w:rPr>
          <w:rFonts w:ascii="Times New Roman" w:cs="Times New Roman" w:eastAsia="Times New Roman" w:hAnsi="Times New Roman"/>
          <w:sz w:val="17"/>
          <w:szCs w:val="17"/>
          <w:color w:val="auto"/>
        </w:rPr>
        <w:t>(3,109)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-267970</wp:posOffset>
            </wp:positionV>
            <wp:extent cx="56489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-4552315</wp:posOffset>
            </wp:positionH>
            <wp:positionV relativeFrom="paragraph">
              <wp:posOffset>5715</wp:posOffset>
            </wp:positionV>
            <wp:extent cx="564896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ind w:left="1"/>
        <w:spacing w:after="0"/>
        <w:tabs>
          <w:tab w:leader="none" w:pos="240" w:val="left"/>
          <w:tab w:leader="none" w:pos="900" w:val="left"/>
          <w:tab w:leader="none" w:pos="1160" w:val="left"/>
        </w:tabs>
        <w:rPr>
          <w:sz w:val="20"/>
          <w:szCs w:val="20"/>
          <w:color w:val="auto"/>
        </w:rPr>
      </w:pPr>
      <w:r>
        <w:rPr>
          <w:rFonts w:ascii="Times New Roman" w:cs="Times New Roman" w:eastAsia="Times New Roman" w:hAnsi="Times New Roman"/>
          <w:sz w:val="18"/>
          <w:szCs w:val="18"/>
          <w:u w:val="single" w:color="auto"/>
          <w:color w:val="auto"/>
        </w:rPr>
        <w:t>$</w:t>
        <w:tab/>
        <w:t>45,363</w:t>
        <w:tab/>
        <w:t>$</w:t>
        <w:tab/>
        <w:t>36,970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1097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499" w:space="720"/>
            <w:col w:w="1800"/>
          </w:cols>
          <w:pgMar w:left="1440" w:top="513" w:right="1440" w:bottom="1440" w:gutter="0" w:footer="0" w:header="0"/>
          <w:type w:val="continuous"/>
        </w:sectPr>
      </w:pPr>
    </w:p>
    <w:p>
      <w:pPr>
        <w:spacing w:after="0" w:line="52" w:lineRule="exact"/>
        <w:rPr>
          <w:sz w:val="20"/>
          <w:szCs w:val="20"/>
          <w:color w:val="auto"/>
        </w:rPr>
      </w:pPr>
    </w:p>
    <w:p>
      <w:pPr>
        <w:ind w:left="60" w:right="199" w:firstLine="492"/>
        <w:spacing w:after="0" w:line="261" w:lineRule="auto"/>
        <w:rPr>
          <w:sz w:val="20"/>
          <w:szCs w:val="20"/>
          <w:color w:val="auto"/>
        </w:rPr>
      </w:pPr>
      <w:r>
        <w:rPr>
          <w:rFonts w:ascii="Times New Roman" w:cs="Times New Roman" w:eastAsia="Times New Roman" w:hAnsi="Times New Roman"/>
          <w:sz w:val="18"/>
          <w:szCs w:val="18"/>
          <w:color w:val="auto"/>
        </w:rPr>
        <w:t>The amounts paid for operating leases, included in the measurement of lease liabilities, were $30.2 million in the year ended December 31, 2022 and $27.4 million in the year ended December 25, 2021. In addition, right-of-use assets obtained in exchange for new operating lease liabilities were approximately $32.0 million and $46.7 million, respectively, for the years ended December 31, 2022 and December 25, 2021.</w:t>
      </w:r>
    </w:p>
    <w:p>
      <w:pPr>
        <w:sectPr>
          <w:pgSz w:w="11900" w:h="16838" w:orient="portrait"/>
          <w:cols w:equalWidth="0" w:num="1">
            <w:col w:w="9019"/>
          </w:cols>
          <w:pgMar w:left="1440" w:top="513" w:right="1440"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operating leases on December 31, 2022 are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0"/>
        </w:trPr>
        <w:tc>
          <w:tcPr>
            <w:tcW w:w="512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r>
      <w:tr>
        <w:trPr>
          <w:trHeight w:val="223"/>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132,205</w:t>
            </w: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Rent expense was approximately $48.2 million, $40.1 million, and $28.4 million in 2022, 2021, and 2020, respectively.</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25, 2021, the weighted average lease term for operating leases was 6.78 years and 7.33 years, respectively. Similarly, the weighted average discount rate for operating leases was 3.70% and 2.87%, respectively.</w:t>
      </w:r>
    </w:p>
    <w:p>
      <w:pPr>
        <w:spacing w:after="0" w:line="172" w:lineRule="exact"/>
        <w:rPr>
          <w:sz w:val="20"/>
          <w:szCs w:val="20"/>
          <w:color w:val="auto"/>
        </w:rPr>
      </w:pPr>
    </w:p>
    <w:p>
      <w:pPr>
        <w:ind w:left="700" w:hanging="650"/>
        <w:spacing w:after="0"/>
        <w:tabs>
          <w:tab w:leader="none" w:pos="7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DEFERRED COMPENSATION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program whereby certain executives irrevocably elected to defer receipt of certain compensation in 1985 through 1988. Deferred compensation payments to these executives commenced upon their retirement. The remaining deferred compensation liability on December 31, 2022 was $0.1 million and on December 25, 2021 was $0.2 million.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The investment in life insurance contracts as of December 31, 2022 and December 25, 2021, was $11.6 million and $12.7 million, respectively, and is recorded in “Other Assets” on the Consolidated Balance Sheet.</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$0.5 million and $0.7 million on December 31, 2022 and December 25, 2021, respectively, and are included in "Other Assets." Related liabilities totaled $50.4 million and $42.1 million on December 31, 2022 and December 25, 2021, respectively, and are included in "Other Liabilities" and "Shareholders’ Equity." Assets associated with the Plan are recorded at fair market value. The related liabilities are also recorded at fair market value, with the exception of obligations associated with investments in our stock which are recorded at the market value on the date of deferral.</w:t>
      </w:r>
    </w:p>
    <w:p>
      <w:pPr>
        <w:spacing w:after="0" w:line="184" w:lineRule="exact"/>
        <w:rPr>
          <w:sz w:val="20"/>
          <w:szCs w:val="20"/>
          <w:color w:val="auto"/>
        </w:rPr>
      </w:pPr>
    </w:p>
    <w:p>
      <w:pPr>
        <w:ind w:left="700" w:hanging="650"/>
        <w:spacing w:after="0"/>
        <w:tabs>
          <w:tab w:leader="none" w:pos="7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COMMON STOCK</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maintain and administer our shareholder approved Employee Stock Purchase Plan ("Stock Purchase Plan"). The Stock Purchase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maintain and administer our shareholder approved Directors’ Retainer Stock Plan ("Stock Retainer Plan"). The Stock Retainer Plan allows eligible members of the Board of Directors to defer the cash portion of their retainer and committee fees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units is increased by the amount of dividends paid on our common stock. The units are immediately vested as of the grant date, since they are considered payment for services rendered quarterly. We recognized expense for this plan of $2.0 million in 2022, $1.7 million in 2021, and $1.8 million in 2020. Effective January 1, 2017, this plan was amended to allow directors to defer payment of the annual retainer paid in the form of our common stock. The number of shares to be received for their portion of the retainer that is deferred is equal to the amount of shares plus the number of shares attributable to cash dividends payable on those deferred shares.</w:t>
      </w:r>
    </w:p>
    <w:p>
      <w:pPr>
        <w:spacing w:after="0" w:line="19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Finally, we maintain and administer our shareholder approved Long Term Stock Incentive Plan (the "LTSIP”). The LTSIP provides for the grant of stock options, stock appreciation rights, restricted stock, performance shares, sales incentive awards, and other stock-based awards.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Executive Stock Match awards are granted in the year following the requisite service period, which begins at the beginning of each fiscal year, and fully vest on the fifth anniversary of the grant date.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is no unrecognized compensation expense remaining for stock options in 2022, 2021, and 2020.</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Below is a summary of common stock issuances for 2022 and 2021:</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24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4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370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370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88"/>
              </w:rPr>
              <w:t>4</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bonus plan</w:t>
            </w:r>
          </w:p>
        </w:tc>
        <w:tc>
          <w:tcPr>
            <w:tcW w:w="370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370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auto"/>
                <w:w w:val="99"/>
              </w:rPr>
              <w:t>62</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3700" w:type="dxa"/>
            <w:vAlign w:val="bottom"/>
            <w:gridSpan w:val="2"/>
            <w:shd w:val="clear" w:color="auto" w:fill="CCEEFF"/>
          </w:tcPr>
          <w:p>
            <w:pPr>
              <w:jc w:val="center"/>
              <w:ind w:left="2830"/>
              <w:spacing w:after="0"/>
              <w:rPr>
                <w:sz w:val="20"/>
                <w:szCs w:val="20"/>
                <w:color w:val="auto"/>
              </w:rPr>
            </w:pPr>
            <w:r>
              <w:rPr>
                <w:rFonts w:ascii="Times New Roman" w:cs="Times New Roman" w:eastAsia="Times New Roman" w:hAnsi="Times New Roman"/>
                <w:sz w:val="18"/>
                <w:szCs w:val="18"/>
                <w:color w:val="auto"/>
                <w:w w:val="99"/>
              </w:rPr>
              <w:t>(17)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29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370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auto"/>
                <w:w w:val="96"/>
              </w:rPr>
              <w:t>113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24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4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29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7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370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370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color w:val="auto"/>
                <w:w w:val="88"/>
              </w:rPr>
              <w:t>5</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bonus plan</w:t>
            </w:r>
          </w:p>
        </w:tc>
        <w:tc>
          <w:tcPr>
            <w:tcW w:w="3700" w:type="dxa"/>
            <w:vAlign w:val="bottom"/>
            <w:gridSpan w:val="2"/>
            <w:shd w:val="clear" w:color="auto" w:fill="CCEEFF"/>
          </w:tcPr>
          <w:p>
            <w:pPr>
              <w:jc w:val="center"/>
              <w:ind w:left="2810"/>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370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auto"/>
                <w:w w:val="99"/>
              </w:rPr>
              <w:t>77</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3700" w:type="dxa"/>
            <w:vAlign w:val="bottom"/>
            <w:gridSpan w:val="2"/>
            <w:shd w:val="clear" w:color="auto" w:fill="CCEEFF"/>
          </w:tcPr>
          <w:p>
            <w:pPr>
              <w:jc w:val="center"/>
              <w:ind w:left="2830"/>
              <w:spacing w:after="0"/>
              <w:rPr>
                <w:sz w:val="20"/>
                <w:szCs w:val="20"/>
                <w:color w:val="auto"/>
              </w:rPr>
            </w:pPr>
            <w:r>
              <w:rPr>
                <w:rFonts w:ascii="Times New Roman" w:cs="Times New Roman" w:eastAsia="Times New Roman" w:hAnsi="Times New Roman"/>
                <w:sz w:val="18"/>
                <w:szCs w:val="18"/>
                <w:color w:val="auto"/>
                <w:w w:val="99"/>
              </w:rPr>
              <w:t>(24)</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29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370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auto"/>
                <w:w w:val="96"/>
              </w:rPr>
              <w:t>117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nonvested restricted stock awards granted under the LTSIP is as follows: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9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to</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2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20" w:type="dxa"/>
            <w:vAlign w:val="bottom"/>
          </w:tcPr>
          <w:p>
            <w:pPr>
              <w:spacing w:after="0"/>
              <w:rPr>
                <w:sz w:val="12"/>
                <w:szCs w:val="12"/>
                <w:color w:val="auto"/>
              </w:rPr>
            </w:pPr>
          </w:p>
        </w:tc>
        <w:tc>
          <w:tcPr>
            <w:tcW w:w="82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28, 2019</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1,202,895</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29.68</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0.86 years</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348,016</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33.46</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26, 2020</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1,363,794</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35.14</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 years</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560,516</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60.24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(23,007)</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25, 2021</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1,627,032</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45.23</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0.43 years</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815,874</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79.97</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(286,661)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54.07</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2,138,255</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58.70</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51.4</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3.74 years</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Under the Stock Purchase Plan and LTSIP, we recognized share-based compensation expense of $28.2 million, $11.2 million, and $4.0 million and the related total income tax benefits of $6.9 million, $2.7 million, and $1.0 million in 2022, 2021 and 2020, respectively.</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year-ended December 31, 2022, we determined that $54 million of share-based bonus awards, representing 625,658 shares, will be awarded to qualified employees as it relates to the company’s 2022 performance and granted in 2023. Awards granted generally vest after a period of three, five or eight years from the grant date. In addition to the share-based bonus awards, certain employees are eligible to receive performance units equivalent to $2.3 million, or 26,360 shares of stock, if certain performance metrics are achieved after three years. As of December 31, 2022 and December 25, 2021, we recognized approximately $13.8 million and $11.5 million, respectively, of compensation expense related to share-based bonus awards for each of those respective performance years.‬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 Sales Incentive Plan for certain eligible employees. According to the policy, sales incentives are determined and calculated using a formula-based approach and estimated monthly based on specific performance metrics. Beginning July 2022, we modified the Sales Incentive Plan to place a cap on cash payments with the remaining earned incentive being settled in share-based awards. For the year-ended December 31, 2022, we determined that $10.5 million of share-based sales incentive awards, representing 122,022 shares, will be awarded to qualified employees based on the 2022 performance year and granted in 2023. These awards will vest after a period of five years from the grant date. As of December 31, 2022, we recognized approximately $0.9 million of compensation expense related to share-based sales incentive awards for the 2022 performance year.‬</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2022, 2021 and 2020, cash received from share issuances under our plans was $2.8 million, $2.1 million and $1.4 million, respectively.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February 3, 2023, our Board authorized an additional 2 million shares to be repurchased under our existing share repurchase program. We repurchased 1,246,616 shares in 2022 and no shares in 2021 under this program. Following the most recent authorization, the cumulative total authorized shares available for repurchase is approximately 2 million shares which expire in one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RETIREMENT PLANS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a profit sharing and 401(k) plan for the benefit of substantially all of our employees, excluding the employees of certain wholly-owned subsidiaries. Amounts contributed to the plan are made at the discretion of the Board of Directors. We matched 25% of employee contributions in 2022, 2021, and 2020, on a discretionary basis, totaling $11.7 million, $9.2 million, and $7.2 million respectively. Included within the total employee matched contribution was an additional matched contribution for hourly employees of $4.6 million, $3.7 million and $2.9 million for 2022, 2021 and 2020, respectively, based on meeting certain performance goals during those years. The basis for matching contributions may not exceed the lesser of 6% of the employee’s annual compensation or the IRS limitation.</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maintain a retirement plan for certain officers of the Company (who have at least 20 years of service with the Company and at least 10 years of service as an officer) whereby we will pay, upon retirement, certain benefits including health care benefits, for a specified period of time if certain eligibility requirements are met. Approximately $14.8 million and $13.1 million are accrued in “Other Liabilities” for this plan on December 31, 2022 and December 25, 2021, respectively.</w:t>
      </w:r>
    </w:p>
    <w:p>
      <w:pPr>
        <w:spacing w:after="0" w:line="179" w:lineRule="exact"/>
        <w:rPr>
          <w:sz w:val="20"/>
          <w:szCs w:val="20"/>
          <w:color w:val="auto"/>
        </w:rPr>
      </w:pPr>
    </w:p>
    <w:p>
      <w:pPr>
        <w:ind w:left="700" w:hanging="650"/>
        <w:spacing w:after="0"/>
        <w:tabs>
          <w:tab w:leader="none" w:pos="7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Income tax provisions for the years ended December 31, 2022, December 25, 2021, and December 26, 2020 are summarized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Currently Payable:</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$ 181,029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$ 115,077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$ 59,055</w:t>
            </w: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243,011</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166,613</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84,365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23"/>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36"/>
        </w:trPr>
        <w:tc>
          <w:tcPr>
            <w:tcW w:w="6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income tax expense</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$ 229,852</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$ 173,972</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$ 87,101</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earnings before income taxes consist of the following:</w:t>
            </w: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2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$ 876,071</w:t>
            </w:r>
          </w:p>
        </w:tc>
        <w:tc>
          <w:tcPr>
            <w:tcW w:w="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99"/>
              </w:rPr>
              <w:t>$ 645,316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$ 308,167</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58,745</w:t>
            </w: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81,020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32,816</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$ 934,816</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99"/>
              </w:rPr>
              <w:t>$ 726,336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$ 340,983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effective income tax rates are different from the statutory federal income tax rates for the following reasons: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4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21.0 %</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benefits)</w:t>
            </w: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noncontrolling owned interest in earnings of partnerships</w:t>
            </w:r>
          </w:p>
        </w:tc>
        <w:tc>
          <w:tcPr>
            <w:tcW w:w="8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including foreign tax credit</w:t>
            </w: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(0.6)</w:t>
            </w: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 reserve</w:t>
            </w: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6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Effective income tax rate</w:t>
            </w:r>
          </w:p>
        </w:tc>
        <w:tc>
          <w:tcPr>
            <w:tcW w:w="860" w:type="dxa"/>
            <w:vAlign w:val="bottom"/>
            <w:tcBorders>
              <w:bottom w:val="single" w:sz="8" w:color="auto"/>
            </w:tcBorders>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24.6 %</w:t>
            </w:r>
          </w:p>
        </w:tc>
        <w:tc>
          <w:tcPr>
            <w:tcW w:w="840" w:type="dxa"/>
            <w:vAlign w:val="bottom"/>
            <w:tcBorders>
              <w:bottom w:val="single" w:sz="8" w:color="auto"/>
            </w:tcBorders>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23.9 %</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Temporary differences which give rise to deferred income tax assets and (liabilities) on December 31,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25, 2021 are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7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37,893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28,746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6,891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subsidiary capital loss carryforward</w:t>
            </w:r>
          </w:p>
        </w:tc>
        <w:tc>
          <w:tcPr>
            <w:tcW w:w="1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credits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3,732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on receivables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3,273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6,791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10,378</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03"/>
        </w:trPr>
        <w:tc>
          <w:tcPr>
            <w:tcW w:w="7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Gross deferred income tax assets</w:t>
            </w:r>
          </w:p>
        </w:tc>
        <w:tc>
          <w:tcPr>
            <w:tcW w:w="120" w:type="dxa"/>
            <w:vAlign w:val="bottom"/>
          </w:tcPr>
          <w:p>
            <w:pPr>
              <w:spacing w:after="0"/>
              <w:rPr>
                <w:sz w:val="17"/>
                <w:szCs w:val="17"/>
                <w:color w:val="auto"/>
              </w:rPr>
            </w:pPr>
          </w:p>
        </w:tc>
        <w:tc>
          <w:tcPr>
            <w:tcW w:w="820" w:type="dxa"/>
            <w:vAlign w:val="bottom"/>
          </w:tcPr>
          <w:p>
            <w:pPr>
              <w:jc w:val="right"/>
              <w:ind w:right="51"/>
              <w:spacing w:after="0" w:line="203" w:lineRule="exact"/>
              <w:rPr>
                <w:sz w:val="20"/>
                <w:szCs w:val="20"/>
                <w:color w:val="auto"/>
              </w:rPr>
            </w:pPr>
            <w:r>
              <w:rPr>
                <w:rFonts w:ascii="Times New Roman" w:cs="Times New Roman" w:eastAsia="Times New Roman" w:hAnsi="Times New Roman"/>
                <w:sz w:val="18"/>
                <w:szCs w:val="18"/>
                <w:color w:val="auto"/>
              </w:rPr>
              <w:t>98,306</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73,070</w:t>
            </w: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03"/>
        </w:trPr>
        <w:tc>
          <w:tcPr>
            <w:tcW w:w="7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tcPr>
          <w:p>
            <w:pPr>
              <w:spacing w:after="0"/>
              <w:rPr>
                <w:sz w:val="17"/>
                <w:szCs w:val="17"/>
                <w:color w:val="auto"/>
              </w:rPr>
            </w:pPr>
          </w:p>
        </w:tc>
        <w:tc>
          <w:tcPr>
            <w:tcW w:w="820" w:type="dxa"/>
            <w:vAlign w:val="bottom"/>
          </w:tcPr>
          <w:p>
            <w:pPr>
              <w:jc w:val="right"/>
              <w:ind w:right="51"/>
              <w:spacing w:after="0" w:line="203" w:lineRule="exact"/>
              <w:rPr>
                <w:sz w:val="20"/>
                <w:szCs w:val="20"/>
                <w:color w:val="auto"/>
              </w:rPr>
            </w:pPr>
            <w:r>
              <w:rPr>
                <w:rFonts w:ascii="Times New Roman" w:cs="Times New Roman" w:eastAsia="Times New Roman" w:hAnsi="Times New Roman"/>
                <w:sz w:val="18"/>
                <w:szCs w:val="18"/>
                <w:color w:val="auto"/>
              </w:rPr>
              <w:t>93,688</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69,118</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(64,387)</w:t>
            </w: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(38,367)</w:t>
            </w: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(23,866)</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(141,203)</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(126,620)</w:t>
            </w:r>
          </w:p>
        </w:tc>
      </w:tr>
      <w:tr>
        <w:trPr>
          <w:trHeight w:val="216"/>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(57,502)</w:t>
            </w: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we had federal, state and foreign net operating loss carryforwards of $6.9 million and state tax credit carryforwards of $0.1 million, which will expire at various dates.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NOL and credit carryforwards expire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Net Operating Losses</w:t>
            </w:r>
          </w:p>
        </w:tc>
        <w:tc>
          <w:tcPr>
            <w:tcW w:w="140" w:type="dxa"/>
            <w:vAlign w:val="bottom"/>
          </w:tcPr>
          <w:p>
            <w:pPr>
              <w:spacing w:after="0"/>
              <w:rPr>
                <w:sz w:val="15"/>
                <w:szCs w:val="15"/>
                <w:color w:val="auto"/>
              </w:rPr>
            </w:pPr>
          </w:p>
        </w:tc>
        <w:tc>
          <w:tcPr>
            <w:tcW w:w="122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Tax Credits</w:t>
            </w:r>
          </w:p>
        </w:tc>
      </w:tr>
      <w:tr>
        <w:trPr>
          <w:trHeight w:val="155"/>
        </w:trPr>
        <w:tc>
          <w:tcPr>
            <w:tcW w:w="53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State</w:t>
            </w:r>
          </w:p>
        </w:tc>
        <w:tc>
          <w:tcPr>
            <w:tcW w:w="7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State</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2023 - 2027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14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2033 - 2037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1,696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2038 - 2042</w:t>
            </w:r>
          </w:p>
        </w:tc>
        <w:tc>
          <w:tcPr>
            <w:tcW w:w="14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8"/>
              </w:rPr>
              <w:t>1,804</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8"/>
              </w:rPr>
              <w:t>3,772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7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2022, we believe that it is more likely than not that the benefit from certain state and foreign NOL carryforwards will not be realized. In recognition of this risk, we have provided a valuation allowance of $4.1 million against the various NOLs.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83" w:lineRule="exact"/>
        <w:rPr>
          <w:sz w:val="20"/>
          <w:szCs w:val="20"/>
          <w:color w:val="auto"/>
        </w:rPr>
      </w:pPr>
    </w:p>
    <w:p>
      <w:pPr>
        <w:ind w:left="700" w:hanging="650"/>
        <w:spacing w:after="0"/>
        <w:tabs>
          <w:tab w:leader="none" w:pos="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FOR UNCERTAINTY IN INCOME TAXES</w:t>
      </w:r>
    </w:p>
    <w:p>
      <w:pPr>
        <w:spacing w:after="0" w:line="227"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is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both"/>
        <w:ind w:left="60" w:right="2060"/>
        <w:spacing w:after="0" w:line="257" w:lineRule="auto"/>
        <w:rPr>
          <w:sz w:val="20"/>
          <w:szCs w:val="20"/>
          <w:color w:val="auto"/>
        </w:rPr>
      </w:pPr>
      <w:r>
        <w:rPr>
          <w:rFonts w:ascii="Times New Roman" w:cs="Times New Roman" w:eastAsia="Times New Roman" w:hAnsi="Times New Roman"/>
          <w:sz w:val="18"/>
          <w:szCs w:val="18"/>
          <w:color w:val="auto"/>
        </w:rPr>
        <w:t>Gross unrecognized tax benefits beginning of year (Decrease) increase in tax positions for prior years Increase in tax positions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-418465</wp:posOffset>
            </wp:positionV>
            <wp:extent cx="564896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-135890</wp:posOffset>
            </wp:positionV>
            <wp:extent cx="564896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Lapse in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unrecognized tax benefits end of year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8"/>
        </w:trPr>
        <w:tc>
          <w:tcPr>
            <w:tcW w:w="20" w:type="dxa"/>
            <w:vAlign w:val="bottom"/>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53"/>
              <w:spacing w:after="0" w:line="198" w:lineRule="exact"/>
              <w:rPr>
                <w:sz w:val="20"/>
                <w:szCs w:val="20"/>
                <w:color w:val="auto"/>
              </w:rPr>
            </w:pPr>
            <w:r>
              <w:rPr>
                <w:rFonts w:ascii="Times New Roman" w:cs="Times New Roman" w:eastAsia="Times New Roman" w:hAnsi="Times New Roman"/>
                <w:sz w:val="18"/>
                <w:szCs w:val="18"/>
                <w:color w:val="auto"/>
              </w:rPr>
              <w:t>3,603</w:t>
            </w:r>
          </w:p>
        </w:tc>
        <w:tc>
          <w:tcPr>
            <w:tcW w:w="2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line="198" w:lineRule="exact"/>
              <w:rPr>
                <w:sz w:val="20"/>
                <w:szCs w:val="20"/>
                <w:color w:val="auto"/>
              </w:rPr>
            </w:pPr>
            <w:r>
              <w:rPr>
                <w:rFonts w:ascii="Times New Roman" w:cs="Times New Roman" w:eastAsia="Times New Roman" w:hAnsi="Times New Roman"/>
                <w:sz w:val="18"/>
                <w:szCs w:val="18"/>
                <w:color w:val="auto"/>
              </w:rPr>
              <w:t>3,892</w:t>
            </w:r>
          </w:p>
        </w:tc>
        <w:tc>
          <w:tcPr>
            <w:tcW w:w="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4,166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41"/>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3,217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3,603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740" w:space="720"/>
            <w:col w:w="2559"/>
          </w:cols>
          <w:pgMar w:left="1440" w:top="513" w:right="1440" w:bottom="1440" w:gutter="0" w:footer="0" w:header="0"/>
          <w:type w:val="continuous"/>
        </w:sect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 would have been affected by the unrecognized tax benefits had this amount been recognized as a reduction to income tax expense.</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recognized interest and penalties for unrecognized tax benefits in our provision for income taxes. The liability for unrecognized tax benefits included accrued interest and penalties of $0.3 million for the year December 31, 2022 and $0.5 million for each of the years December 25, 2021, and December 26, 2020.</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file income tax returns in the United States and in various state, local and foreign jurisdictions. The federal and a majority of state and foreign jurisdictions are no longer subject to income tax examinations for years before 2017. A number of routine state and local examinations are currently ongoing. Due to the potential for resolution of state examinations, the expiration of various statutes of limitation, and new positions that may be taken, it is reasonably possible that the amount of unrecognized tax benefits that would reverse through the income statement in the next twelve months is $1.2 million.</w:t>
      </w:r>
    </w:p>
    <w:p>
      <w:pPr>
        <w:spacing w:after="0" w:line="183" w:lineRule="exact"/>
        <w:rPr>
          <w:sz w:val="20"/>
          <w:szCs w:val="20"/>
          <w:color w:val="auto"/>
        </w:rPr>
      </w:pPr>
    </w:p>
    <w:p>
      <w:pPr>
        <w:ind w:left="700" w:hanging="650"/>
        <w:spacing w:after="0"/>
        <w:tabs>
          <w:tab w:leader="none" w:pos="7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CONTINGENCIES, AND GUARANTEES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on December 31, 2022,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December 31, 2022, we had outstanding purchase commitments on commenced capital projects of approximately $63.2 million.</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December 31, 2022, we had approximately $15.2 million in outstanding payment and performance bonds for open projects. We had approximately $30.9 million in payment and performance bonds outstanding for completed projects which are still under warranty.</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December 31, 2022, we had outstanding letters of credit totaling $59.0 million, primarily related to certain insurance contracts and industrial development revenue bonds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lenders to guarantee our performance under certain contracts. We currently have irrevocable letters of credit outstanding totaling approximately $51.9 million for these types of arrangements. We have reserves recorded on our balance sheet, in accrued liabilities, that reflect our expected future liabilities under these arrangements.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2022 which would require us to recognize a liability on our balance sheet.</w:t>
      </w:r>
    </w:p>
    <w:p>
      <w:pPr>
        <w:spacing w:after="0" w:line="158" w:lineRule="exact"/>
        <w:rPr>
          <w:sz w:val="20"/>
          <w:szCs w:val="20"/>
          <w:color w:val="auto"/>
        </w:rPr>
      </w:pPr>
    </w:p>
    <w:p>
      <w:pPr>
        <w:ind w:left="700" w:hanging="650"/>
        <w:spacing w:after="0"/>
        <w:tabs>
          <w:tab w:leader="none" w:pos="7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which serve multiple segments, results are allocated and accounted for by segment. Two customers, The Home Depot and Lowes, accounted for approximately 15% and 11%, respectively, of our total net sales in fiscal 2022, 16% and 10%, respectively, of our total net sales in fiscal 2021 and 24% and 4%, respectively, in 2020.</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Mexico, Canada, Europe, India,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“Corporate” includes purchasing, transportation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Ltd, UFP Purchasing, and UFP RMS, LLC. The tables below are presented in thousands.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tcBorders>
            <w:gridSpan w:val="2"/>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920" w:type="dxa"/>
            <w:vAlign w:val="bottom"/>
          </w:tcPr>
          <w:p>
            <w:pPr>
              <w:jc w:val="right"/>
              <w:ind w:right="314"/>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1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0"/>
                <w:szCs w:val="10"/>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5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8"/>
              </w:rPr>
              <w:t>$ 3,650,639</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$ 2,394,681</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$ 3,143,868</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$ 431,611</w:t>
            </w: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9,626,739</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392,740</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78,409</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110,523</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421,406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(1,003,078)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15,045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4,131</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6,925</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3,358</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4,571</w:t>
            </w: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19,898</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28,191</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15,364</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2,992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27,618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94,063</w:t>
            </w:r>
          </w:p>
        </w:tc>
        <w:tc>
          <w:tcPr>
            <w:tcW w:w="0" w:type="dxa"/>
            <w:vAlign w:val="bottom"/>
          </w:tcPr>
          <w:p>
            <w:pPr>
              <w:spacing w:after="0"/>
              <w:rPr>
                <w:sz w:val="1"/>
                <w:szCs w:val="1"/>
                <w:color w:val="auto"/>
              </w:rPr>
            </w:pP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Segment earnings before income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150,165</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333,087</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397,446</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56,813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934,816</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889,417</w:t>
            </w: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885,878</w:t>
            </w: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712,837</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308,688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875,253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3,672,073</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55,806</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55,129</w:t>
            </w: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54,167</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3,968</w:t>
            </w:r>
          </w:p>
        </w:tc>
        <w:tc>
          <w:tcPr>
            <w:tcW w:w="2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5,054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174,124</w:t>
            </w: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920" w:type="dxa"/>
            <w:vAlign w:val="bottom"/>
          </w:tcPr>
          <w:p>
            <w:pPr>
              <w:jc w:val="center"/>
              <w:ind w:left="94"/>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280" w:type="dxa"/>
            <w:vAlign w:val="bottom"/>
          </w:tcPr>
          <w:p>
            <w:pPr>
              <w:spacing w:after="0"/>
              <w:rPr>
                <w:sz w:val="10"/>
                <w:szCs w:val="10"/>
                <w:color w:val="auto"/>
              </w:rPr>
            </w:pPr>
          </w:p>
        </w:tc>
        <w:tc>
          <w:tcPr>
            <w:tcW w:w="8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00" w:type="dxa"/>
            <w:vAlign w:val="bottom"/>
          </w:tcPr>
          <w:p>
            <w:pPr>
              <w:spacing w:after="0"/>
              <w:rPr>
                <w:sz w:val="10"/>
                <w:szCs w:val="10"/>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5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$ 3,418,337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$ 2,148,142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$ 2,698,434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$ 362,473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8,748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8,636,134</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214,400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455,874</w:t>
            </w:r>
          </w:p>
        </w:tc>
        <w:tc>
          <w:tcPr>
            <w:tcW w:w="2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(838,254)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13,519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8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25,765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84,184</w:t>
            </w:r>
          </w:p>
        </w:tc>
        <w:tc>
          <w:tcPr>
            <w:tcW w:w="0" w:type="dxa"/>
            <w:vAlign w:val="bottom"/>
          </w:tcPr>
          <w:p>
            <w:pPr>
              <w:spacing w:after="0"/>
              <w:rPr>
                <w:sz w:val="1"/>
                <w:szCs w:val="1"/>
                <w:color w:val="auto"/>
              </w:rPr>
            </w:pP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Segment earnings before income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124,790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264,958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264,238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80,905</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726,336</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844,189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741,672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343,363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579,890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3,245,271</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80" w:type="dxa"/>
            <w:vAlign w:val="bottom"/>
          </w:tcPr>
          <w:p>
            <w:pPr>
              <w:spacing w:after="0"/>
              <w:rPr>
                <w:sz w:val="20"/>
                <w:szCs w:val="20"/>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40,622</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151,166</w:t>
            </w: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2"/>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920" w:type="dxa"/>
            <w:vAlign w:val="bottom"/>
          </w:tcPr>
          <w:p>
            <w:pPr>
              <w:jc w:val="center"/>
              <w:ind w:left="94"/>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280" w:type="dxa"/>
            <w:vAlign w:val="bottom"/>
          </w:tcPr>
          <w:p>
            <w:pPr>
              <w:spacing w:after="0"/>
              <w:rPr>
                <w:sz w:val="10"/>
                <w:szCs w:val="10"/>
                <w:color w:val="auto"/>
              </w:rPr>
            </w:pPr>
          </w:p>
        </w:tc>
        <w:tc>
          <w:tcPr>
            <w:tcW w:w="8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00" w:type="dxa"/>
            <w:vAlign w:val="bottom"/>
          </w:tcPr>
          <w:p>
            <w:pPr>
              <w:spacing w:after="0"/>
              <w:rPr>
                <w:sz w:val="10"/>
                <w:szCs w:val="10"/>
                <w:color w:val="auto"/>
              </w:rPr>
            </w:pPr>
          </w:p>
        </w:tc>
        <w:tc>
          <w:tcPr>
            <w:tcW w:w="8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5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$ 2,167,122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$ 1,072,117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$ 1,695,684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$ 217,094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5,153,998</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142,839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283,689</w:t>
            </w:r>
          </w:p>
        </w:tc>
        <w:tc>
          <w:tcPr>
            <w:tcW w:w="2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(540,039)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9,197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23,384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63,964</w:t>
            </w:r>
          </w:p>
        </w:tc>
        <w:tc>
          <w:tcPr>
            <w:tcW w:w="0" w:type="dxa"/>
            <w:vAlign w:val="bottom"/>
          </w:tcPr>
          <w:p>
            <w:pPr>
              <w:spacing w:after="0"/>
              <w:rPr>
                <w:sz w:val="1"/>
                <w:szCs w:val="1"/>
                <w:color w:val="auto"/>
              </w:rPr>
            </w:pP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Segment earnings before income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155,364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38,333</w:t>
            </w:r>
          </w:p>
        </w:tc>
        <w:tc>
          <w:tcPr>
            <w:tcW w:w="2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(5,236)</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340,983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416,487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510,972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770,112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2,404,891</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80" w:type="dxa"/>
            <w:vAlign w:val="bottom"/>
          </w:tcPr>
          <w:p>
            <w:pPr>
              <w:spacing w:after="0"/>
              <w:rPr>
                <w:sz w:val="20"/>
                <w:szCs w:val="20"/>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32,604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89,182</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regarding principal geographic areas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04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88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24"/>
        </w:trPr>
        <w:tc>
          <w:tcPr>
            <w:tcW w:w="3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60" w:type="dxa"/>
            <w:vAlign w:val="bottom"/>
            <w:gridSpan w:val="2"/>
            <w:vMerge w:val="continue"/>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$ 9,254,676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$ 770,921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$ 8,395,737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$ 679,757</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$ 5,022,014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$ 478,325</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372,063</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126,840</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240,397</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54,873</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131,984</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36,380</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$ 9,626,739</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$ 897,761</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$ 8,636,134</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$ 734,630</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$ 5,153,998</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$ 514,705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disaggregated net sales (in thousands) by business unit for each segment.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8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326,011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219,930</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Prowood and Outdoor Essentials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2,228,509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2,239,711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1,828,489</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Sunbelt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UFP Edge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114,987</w:t>
            </w:r>
          </w:p>
        </w:tc>
      </w:tr>
      <w:tr>
        <w:trPr>
          <w:trHeight w:val="223"/>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3,650,639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3,418,337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2,167,122</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North </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646,278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615,092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385,132</w:t>
            </w:r>
          </w:p>
        </w:tc>
      </w:tr>
      <w:tr>
        <w:trPr>
          <w:trHeight w:val="216"/>
        </w:trPr>
        <w:tc>
          <w:tcPr>
            <w:tcW w:w="58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Southeast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229,316</w:t>
            </w:r>
          </w:p>
        </w:tc>
      </w:tr>
      <w:tr>
        <w:trPr>
          <w:trHeight w:val="216"/>
        </w:trPr>
        <w:tc>
          <w:tcPr>
            <w:tcW w:w="586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Southwest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468,274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238,643</w:t>
            </w:r>
          </w:p>
        </w:tc>
      </w:tr>
      <w:tr>
        <w:trPr>
          <w:trHeight w:val="216"/>
        </w:trPr>
        <w:tc>
          <w:tcPr>
            <w:tcW w:w="586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West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206,022</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r>
      <w:tr>
        <w:trPr>
          <w:trHeight w:val="203"/>
        </w:trPr>
        <w:tc>
          <w:tcPr>
            <w:tcW w:w="5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2,394,681</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2,148,142</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1,072,117</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1,181,837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1,098,905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597,017</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Site Built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1,361,607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1,190,393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725,899</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221,988</w:t>
            </w:r>
          </w:p>
        </w:tc>
      </w:tr>
      <w:tr>
        <w:trPr>
          <w:trHeight w:val="223"/>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264,126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150,780</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3,143,868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2,698,434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1,695,684</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217,094</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23"/>
        </w:trPr>
        <w:tc>
          <w:tcPr>
            <w:tcW w:w="58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9,626,739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8,636,134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5,153,998</w:t>
            </w: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right="139" w:hanging="10"/>
        <w:spacing w:after="0" w:line="241" w:lineRule="auto"/>
        <w:tabs>
          <w:tab w:leader="none" w:pos="264"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2023, the Packaging segment established new business units as followings: Structural Packaging, PalletOne, and Protective Packaging Solutions. This change will result in the transfer of net sales from the these geographic business units to Structural Packaging and PalletOne in 2023.</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122555</wp:posOffset>
            </wp:positionV>
            <wp:extent cx="1783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Value-Added</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9"/>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6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Commodity-Based</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QUARTERLY FINANCIAL INFORMATION (UNAUDITED)</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for all of the quarters, consisting of 53 weeks during the year ended December 31, 2022 and 52 weeks during the year ended December 25, 2021, (in thousands, except per share data):</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First</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160" w:type="dxa"/>
            <w:vAlign w:val="bottom"/>
          </w:tcPr>
          <w:p>
            <w:pPr>
              <w:spacing w:after="0"/>
              <w:rPr>
                <w:sz w:val="19"/>
                <w:szCs w:val="19"/>
                <w:color w:val="auto"/>
              </w:rPr>
            </w:pPr>
          </w:p>
        </w:tc>
        <w:tc>
          <w:tcPr>
            <w:tcW w:w="188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10"/>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3"/>
        </w:trPr>
        <w:tc>
          <w:tcPr>
            <w:tcW w:w="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$ 2,489,313</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$ 1,825,004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$ 2,900,874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$ 2,700,541</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$ 2,322,855</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$ 2,093,784</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$ 1,913,697</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$ 2,016,805</w:t>
            </w: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478,363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286,554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503,452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421,294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450,176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327,555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357,470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371,564</w:t>
            </w:r>
          </w:p>
        </w:tc>
      </w:tr>
      <w:tr>
        <w:trPr>
          <w:trHeight w:val="20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193,131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104,251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207,853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175,360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125,747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147,006</w:t>
            </w:r>
          </w:p>
        </w:tc>
      </w:tr>
      <w:tr>
        <w:trPr>
          <w:trHeight w:val="189"/>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attributable</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to controlling</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189,703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103,311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203,118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173,382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167,241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121,041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132,589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137,906</w:t>
            </w:r>
          </w:p>
        </w:tc>
      </w:tr>
      <w:tr>
        <w:trPr>
          <w:trHeight w:val="195"/>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189"/>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 FOR OUR COMMON STOCK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trades on The Nasdaq Stock Market (“NASDAQ”) under the symbol UFPI.</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 GRAPH</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following stock price performance graph compares the annual percentage change in the cumulative total return on our common stock with the cumulative total returns of companies comprising the NASDAQ US Benchmark TR index and an industry peer group we selected. The NASDAQ US Benchmark TR index replaces the NASDAQ Stock Market (US Companies) Index in this analysis and going forward, as the CRSP Index data is no longer accessible. The CRSP indexes has been included with data through 2020. The graph assumes an investment of $100 on December 30, 2017,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5554980" cy="2948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555498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companies included in our self-determined industry peer group are as follows: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American Woodmark Corporation</w:t>
            </w:r>
          </w:p>
        </w:tc>
        <w:tc>
          <w:tcPr>
            <w:tcW w:w="3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40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BlueLinx Holdings, Inc.</w:t>
            </w:r>
            <w:r>
              <w:rPr>
                <w:rFonts w:ascii="Times New Roman" w:cs="Times New Roman" w:eastAsia="Times New Roman" w:hAnsi="Times New Roman"/>
                <w:sz w:val="26"/>
                <w:szCs w:val="26"/>
                <w:color w:val="auto"/>
                <w:vertAlign w:val="superscript"/>
              </w:rPr>
              <w:t>*</w:t>
            </w:r>
          </w:p>
        </w:tc>
        <w:tc>
          <w:tcPr>
            <w:tcW w:w="3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Masco Corporation</w:t>
            </w:r>
          </w:p>
        </w:tc>
      </w:tr>
      <w:tr>
        <w:trPr>
          <w:trHeight w:val="3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Boise Cascade Company</w:t>
            </w:r>
          </w:p>
        </w:tc>
        <w:tc>
          <w:tcPr>
            <w:tcW w:w="3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Patrick Industries, Inc.</w:t>
            </w:r>
            <w:r>
              <w:rPr>
                <w:rFonts w:ascii="Times New Roman" w:cs="Times New Roman" w:eastAsia="Times New Roman" w:hAnsi="Times New Roman"/>
                <w:sz w:val="26"/>
                <w:szCs w:val="26"/>
                <w:color w:val="auto"/>
                <w:vertAlign w:val="superscript"/>
              </w:rPr>
              <w:t>**</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Builders FirstSource, Inc.</w:t>
            </w:r>
          </w:p>
        </w:tc>
        <w:tc>
          <w:tcPr>
            <w:tcW w:w="380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Simpson Manufacturing Company, Inc.</w:t>
            </w: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Cornerstone Building Brands, Inc.</w:t>
            </w:r>
            <w:r>
              <w:rPr>
                <w:rFonts w:ascii="Times New Roman" w:cs="Times New Roman" w:eastAsia="Times New Roman" w:hAnsi="Times New Roman"/>
                <w:sz w:val="26"/>
                <w:szCs w:val="26"/>
                <w:color w:val="auto"/>
                <w:vertAlign w:val="superscript"/>
              </w:rPr>
              <w:t>*</w:t>
            </w:r>
          </w:p>
        </w:tc>
        <w:tc>
          <w:tcPr>
            <w:tcW w:w="3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Sonoco Products Company</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Gibraltar Industries, Inc.</w:t>
            </w:r>
          </w:p>
        </w:tc>
        <w:tc>
          <w:tcPr>
            <w:tcW w:w="3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Trex Company, Inc.</w:t>
            </w:r>
          </w:p>
        </w:tc>
      </w:tr>
      <w:tr>
        <w:trPr>
          <w:trHeight w:val="32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Greif, Inc.</w:t>
            </w:r>
          </w:p>
        </w:tc>
        <w:tc>
          <w:tcPr>
            <w:tcW w:w="3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WestRock Company</w:t>
            </w:r>
          </w:p>
        </w:tc>
      </w:tr>
    </w:tbl>
    <w:p>
      <w:pPr>
        <w:spacing w:after="0" w:line="298" w:lineRule="exact"/>
        <w:rPr>
          <w:sz w:val="20"/>
          <w:szCs w:val="20"/>
          <w:color w:val="auto"/>
        </w:rPr>
      </w:pPr>
    </w:p>
    <w:p>
      <w:pPr>
        <w:ind w:left="60" w:right="2839" w:hanging="10"/>
        <w:spacing w:after="0" w:line="386" w:lineRule="auto"/>
        <w:tabs>
          <w:tab w:leader="none" w:pos="16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BlueLinx Holdings, Inc. and Cornerstone Building Brands, Inc.were removed from the current year peer group. ** Patrick Industries, Inc. was added to the current year peer group.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519"/>
        <w:spacing w:after="0"/>
        <w:rPr>
          <w:sz w:val="20"/>
          <w:szCs w:val="20"/>
          <w:color w:val="auto"/>
        </w:rPr>
      </w:pPr>
      <w:r>
        <w:rPr>
          <w:rFonts w:ascii="Times New Roman" w:cs="Times New Roman" w:eastAsia="Times New Roman" w:hAnsi="Times New Roman"/>
          <w:sz w:val="17"/>
          <w:szCs w:val="17"/>
          <w:b w:val="1"/>
          <w:bCs w:val="1"/>
          <w:color w:val="auto"/>
        </w:rPr>
        <w:t>SECTION 16 OFFICERS</w:t>
      </w:r>
    </w:p>
    <w:p>
      <w:pPr>
        <w:spacing w:after="0" w:line="200" w:lineRule="exact"/>
        <w:rPr>
          <w:sz w:val="20"/>
          <w:szCs w:val="20"/>
          <w:color w:val="auto"/>
        </w:rPr>
      </w:pPr>
    </w:p>
    <w:p>
      <w:pPr>
        <w:sectPr>
          <w:pgSz w:w="11900" w:h="16838" w:orient="portrait"/>
          <w:cols w:equalWidth="0" w:num="2">
            <w:col w:w="3800" w:space="720"/>
            <w:col w:w="4499"/>
          </w:cols>
          <w:pgMar w:left="1440" w:top="513" w:right="1440" w:bottom="1440" w:gutter="0" w:footer="0" w:header="0"/>
          <w:type w:val="continuous"/>
        </w:sectPr>
      </w:pP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p>
      <w:pPr>
        <w:spacing w:after="0" w:line="427" w:lineRule="exact"/>
        <w:rPr>
          <w:sz w:val="20"/>
          <w:szCs w:val="20"/>
          <w:color w:val="auto"/>
        </w:rPr>
      </w:pPr>
    </w:p>
    <w:p>
      <w:pPr>
        <w:sectPr>
          <w:pgSz w:w="11900" w:h="16838" w:orient="portrait"/>
          <w:cols w:equalWidth="0" w:num="2">
            <w:col w:w="3800" w:space="720"/>
            <w:col w:w="4499"/>
          </w:cols>
          <w:pgMar w:left="1440" w:top="513" w:right="1440" w:bottom="1440" w:gutter="0" w:footer="0" w:header="0"/>
          <w:type w:val="continuous"/>
        </w:sectPr>
      </w:pP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William G. Currie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UFP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415" w:lineRule="exact"/>
        <w:rPr>
          <w:sz w:val="20"/>
          <w:szCs w:val="20"/>
          <w:color w:val="auto"/>
        </w:rPr>
      </w:pPr>
    </w:p>
    <w:p>
      <w:pPr>
        <w:sectPr>
          <w:pgSz w:w="11900" w:h="16838" w:orient="portrait"/>
          <w:cols w:equalWidth="0" w:num="2">
            <w:col w:w="3800" w:space="720"/>
            <w:col w:w="4499"/>
          </w:cols>
          <w:pgMar w:left="1440" w:top="513" w:right="1440" w:bottom="1440" w:gutter="0" w:footer="0" w:header="0"/>
          <w:type w:val="continuous"/>
        </w:sectPr>
      </w:pP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Thomas W. Rhodes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TWR Enterprises,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Patrick Benton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UFP Construction, LLC</w:t>
      </w:r>
    </w:p>
    <w:p>
      <w:pPr>
        <w:spacing w:after="0" w:line="211" w:lineRule="exact"/>
        <w:rPr>
          <w:sz w:val="20"/>
          <w:szCs w:val="20"/>
          <w:color w:val="auto"/>
        </w:rPr>
      </w:pPr>
    </w:p>
    <w:p>
      <w:pPr>
        <w:sectPr>
          <w:pgSz w:w="11900" w:h="16838" w:orient="portrait"/>
          <w:cols w:equalWidth="0" w:num="2">
            <w:col w:w="3800" w:space="720"/>
            <w:col w:w="4499"/>
          </w:cols>
          <w:pgMar w:left="1440" w:top="513" w:right="1440" w:bottom="1440" w:gutter="0" w:footer="0" w:header="0"/>
          <w:type w:val="continuous"/>
        </w:sectPr>
      </w:pP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Bruce A. Merino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UFP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Scott A. Worthington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UFP Packaging, LLC</w:t>
      </w:r>
    </w:p>
    <w:p>
      <w:pPr>
        <w:spacing w:after="0" w:line="200" w:lineRule="exact"/>
        <w:rPr>
          <w:sz w:val="20"/>
          <w:szCs w:val="20"/>
          <w:color w:val="auto"/>
        </w:rPr>
      </w:pPr>
    </w:p>
    <w:p>
      <w:pPr>
        <w:sectPr>
          <w:pgSz w:w="11900" w:h="16838" w:orient="portrait"/>
          <w:cols w:equalWidth="0" w:num="2">
            <w:col w:w="3800" w:space="720"/>
            <w:col w:w="4499"/>
          </w:cols>
          <w:pgMar w:left="1440" w:top="513" w:right="1440" w:bottom="1440" w:gutter="0" w:footer="0" w:header="0"/>
          <w:type w:val="continuous"/>
        </w:sectPr>
      </w:pP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Mary Tuuk Kuras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UFP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William D. Schwartz,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UFP Retail Solutions, LLC</w:t>
      </w:r>
    </w:p>
    <w:p>
      <w:pPr>
        <w:spacing w:after="0" w:line="200" w:lineRule="exact"/>
        <w:rPr>
          <w:sz w:val="20"/>
          <w:szCs w:val="20"/>
          <w:color w:val="auto"/>
        </w:rPr>
      </w:pPr>
    </w:p>
    <w:p>
      <w:pPr>
        <w:sectPr>
          <w:pgSz w:w="11900" w:h="16838" w:orient="portrait"/>
          <w:cols w:equalWidth="0" w:num="2">
            <w:col w:w="3800" w:space="720"/>
            <w:col w:w="4499"/>
          </w:cols>
          <w:pgMar w:left="1440" w:top="513" w:right="1440" w:bottom="1440" w:gutter="0" w:footer="0" w:header="0"/>
          <w:type w:val="continuous"/>
        </w:sectPr>
      </w:pP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Brian C. Walker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Partner-Strategic Leadership</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Huron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David A. Tutas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Compliance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0" w:lineRule="exact"/>
        <w:rPr>
          <w:sz w:val="20"/>
          <w:szCs w:val="20"/>
          <w:color w:val="auto"/>
        </w:rPr>
      </w:pPr>
    </w:p>
    <w:p>
      <w:pPr>
        <w:sectPr>
          <w:pgSz w:w="11900" w:h="16838" w:orient="portrait"/>
          <w:cols w:equalWidth="0" w:num="2">
            <w:col w:w="3800" w:space="720"/>
            <w:col w:w="4499"/>
          </w:cols>
          <w:pgMar w:left="1440" w:top="513" w:right="1440" w:bottom="1440" w:gutter="0" w:footer="0" w:header="0"/>
          <w:type w:val="continuous"/>
        </w:sectPr>
      </w:pP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Michael G. Wooldridge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Varnum, LLP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Joan A. Budden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Former President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Priority Health</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Benjamin J. McLean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Ruan Transportation Management Systems, Inc.</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2023 Annual Shareholder’s Meeting of UFP Industries, Inc. will be held at 8:30 a.m. on April 26, 2022, at 2880 East Beltline Lane NE, Grand Rapids, MI 49525.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SHAREHOLDER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Shares of our stock are traded under the symbol UFPI on the NASDAQ Stock Market. Our 10-K report, filed with the Securities and Exchange Commission, will be provided free of charge to any shareholder upon written request. For more information contact: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2801 East Beltline 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Web: www.ufpi.com</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COUNSEL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Varnum,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 AGENT/SHAREHOLDER INQUIRIES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American Stock Transfer &amp; Trust Co.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6201 15th Ave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Brooklyn, NY 11219</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(800) 937-5449</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UFP INDUSTRIES®, INC., CORPORATE HEADQUARTERS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2801 East Beltline NE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Facsimile: (616) 364-5558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tbl>
      <w:tblPr>
        <w:tblLayout w:type="fixed"/>
        <w:tblInd w:w="40" w:type="dxa"/>
        <w:tblCellMar>
          <w:top w:w="0" w:type="dxa"/>
          <w:left w:w="0" w:type="dxa"/>
          <w:bottom w:w="0" w:type="dxa"/>
          <w:right w:w="0" w:type="dxa"/>
        </w:tblCellMar>
      </w:tblPr>
      <w:tr>
        <w:trPr>
          <w:trHeight w:val="287"/>
        </w:trPr>
        <w:tc>
          <w:tcPr>
            <w:tcW w:w="7480" w:type="dxa"/>
            <w:vAlign w:val="bottom"/>
            <w:gridSpan w:val="5"/>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LIST OF REGISTRANT'S SUBSIDIARIES AND AFFILIATES</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EXHIBIT 21</w:t>
            </w:r>
          </w:p>
        </w:tc>
        <w:tc>
          <w:tcPr>
            <w:tcW w:w="0" w:type="dxa"/>
            <w:vAlign w:val="bottom"/>
          </w:tcPr>
          <w:p>
            <w:pPr>
              <w:spacing w:after="0"/>
              <w:rPr>
                <w:sz w:val="1"/>
                <w:szCs w:val="1"/>
                <w:color w:val="auto"/>
              </w:rPr>
            </w:pPr>
          </w:p>
        </w:tc>
      </w:tr>
      <w:tr>
        <w:trPr>
          <w:trHeight w:val="164"/>
        </w:trPr>
        <w:tc>
          <w:tcPr>
            <w:tcW w:w="7480" w:type="dxa"/>
            <w:vAlign w:val="bottom"/>
            <w:gridSpan w:val="5"/>
            <w:vMerge w:val="continue"/>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11032 Tidewater Trail,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Concrete Forming Solutions, Inc.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234 Springs Rd., LLC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Construction,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2875 Needmore Rd.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Corrugated,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621 Hall St., LLC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Dallas,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Advantage Label &amp; Packaging, Inc.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Distribution,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Aljoma Holding Company, LLC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Eagan,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Aljoma Lumber, Inc.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Florida</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Eastern Division, Inc.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Ardellis Insurance Ltd.</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Bermuda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Eatonton,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Caliper Building Systems,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Elizabeth City,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Deckorators, Inc.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Elkwood,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Dempsey Wood Products,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Financial Services, Inc.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Enwrap Logistic and Packaging S.r.l.</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Italy</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Folkston,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Eovations,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Franklinton,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Ficus Pax</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India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Gainesville,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Ficus Tegatai Pvt Ltd</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India</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Gear,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Forestal Universal SA de CV</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Global Holdings Limited</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8"/>
              </w:rPr>
              <w:t>England/Wales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Idaho Western, Inc.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Idaho</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Gordon,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(China) Display System Co., Ltd.</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China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Grand Rapids,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(India) Display Private Ltd.</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India</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Grandview,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Amsterdam B.V.</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Amsterdam</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Granger,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Asia Fixtures Limited</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Hong Kong</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Haleyville,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Asia Trading Limited</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Hong Kong</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Hamilton,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Chicago,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Harrisonville,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Corporation</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Hartford,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Wisconsin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Corporation London Limited</w:t>
            </w:r>
          </w:p>
        </w:tc>
        <w:tc>
          <w:tcPr>
            <w:tcW w:w="4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England and WalesUFP Hillsboro,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Holdings, Inc.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Industrial,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Mexico, S. de R.L. de C.V.</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MX</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Industries, Inc.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Shanghai Trading Company Ltd.</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China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International Employment Services,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Innov8 Fund I,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International,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Integra International Pty Ltd</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Australia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Janesville,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Integra Packaging Pty Ltd</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Australia</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Kyle,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Landura, LLC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Texas</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Lafayette,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Metaworld Technologies,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Lansing,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Norpal S. de R.L. de C.V.</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Londonderry,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Atlantic Framing,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Michigan</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Magna,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P1 Catawba Development Company, LLC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North Carolina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McMinnville,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Acquisition of Texas, Inc.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4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Mexico Embalaje y Distribution, S. de R.L. de C. V.Mexico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Manufacturing of Texas, LLC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Texas</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Mexico Investment,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Alabama,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Alabama</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Mid-Atlantic,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Florida, Inc.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Florida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Milwaukee,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Indiana Transportation,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Indiana</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Minneota,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Indiana, Inc.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Indiana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Morristown,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Maine, Inc.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Maine</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Moultrie,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Mobile, LLC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Alabama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NAC,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NE Texas,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Nappanee,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North Carolina, Inc.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North Carolina</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New London,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Texas Holdings, Inc.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New Waverly,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Texas, LP</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Texas</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New Windsor,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Virginia,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Virginia</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New York,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PalletOne of Wisconsin Manufacturing, LLCWisconsin</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Orlando,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Wisconsin, Inc.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Wisconsin</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Packaging,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Inc.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Delaware</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Palm Beach,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Formulation Solutions, LLC</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Illinois</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Parker,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Pinelli Lumber, Inc.</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Texas</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Purchasing, Inc.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Pinelli Universal Chile S.A.</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Ranson,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Pinelli Universal TKT, S de R.L. de C.V.</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UFP Real Estate, LLC</w:t>
            </w:r>
          </w:p>
        </w:tc>
        <w:tc>
          <w:tcPr>
            <w:tcW w:w="1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Pinelli Universal, S de R.L. de C.V.</w:t>
            </w:r>
          </w:p>
        </w:tc>
        <w:tc>
          <w:tcPr>
            <w:tcW w:w="1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Mexico</w:t>
            </w:r>
          </w:p>
        </w:tc>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Retail, LLC</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83" w:name="page84"/>
    <w:bookmarkEnd w:id="8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PR Distribution,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Puerto Rico</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Riverside, LLC</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Michigan</w:t>
            </w:r>
          </w:p>
        </w:tc>
      </w:tr>
      <w:tr>
        <w:trPr>
          <w:trHeight w:val="20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Shawnlee Construction,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RMS,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8"/>
                <w:szCs w:val="18"/>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Shepardville Construction,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Rockingham, LLC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Fixtures Canada Holdings, Inc.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Delaware</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Rockwell,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Sunbelt Acquisition Florida II,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Florida</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Saginaw, LLC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Sunbelt Acquistion Corp.</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Delaware</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Salisbury,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Sunbelt Acqusition Alabama III,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Alabama</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San Antonio, LLC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Sunbelt Forest Georgia,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Georgia</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Sauk Rapids,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Sunbelt Forest Products Alabama,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Florida</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Schertz, LLC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Sunbelt Forest Products Corporation</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Florida</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Shawnee,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SunOne Logistics,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Georgia</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Site Built, LLC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UBEECO Group Pty Ltd</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AUS</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Stafford,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TIBASA Universal Forest Products S. de R.L. de C.V.Mexico</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Stockertown, LLC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Tresstar,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Tampa,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Triangle Systems, Inc.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New York</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Thomaston, LLC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Mexico Holdings, S. de R.L.de CV</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Mexico</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Thornton,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Ashburn,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Transportation, Inc.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Atlantic Division,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Union City,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Auburndale,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Ventures II, Inc.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Aurora,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Warranty Corporation</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Australia Pty Ltd</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Australia</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Warrens, LLC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Australia Real Estate Pty Ltd</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Australia</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Washington,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Barnesville,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Western Division, Inc.</w:t>
            </w:r>
          </w:p>
        </w:tc>
        <w:tc>
          <w:tcPr>
            <w:tcW w:w="13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7"/>
                <w:szCs w:val="17"/>
                <w:color w:val="auto"/>
              </w:rPr>
            </w:pPr>
          </w:p>
        </w:tc>
      </w:tr>
      <w:tr>
        <w:trPr>
          <w:trHeight w:val="23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Belchertown,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White Bear Lake,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19"/>
                <w:szCs w:val="19"/>
                <w:color w:val="auto"/>
              </w:rPr>
            </w:pPr>
          </w:p>
        </w:tc>
      </w:tr>
      <w:tr>
        <w:trPr>
          <w:trHeight w:val="227"/>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Berlin,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UFP Windsor, LLC</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Michigan</w:t>
            </w:r>
          </w:p>
        </w:tc>
      </w:tr>
      <w:tr>
        <w:trPr>
          <w:trHeight w:val="23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Biscoe,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UFP Woodburn,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Michigan</w:t>
            </w:r>
          </w:p>
        </w:tc>
        <w:tc>
          <w:tcPr>
            <w:tcW w:w="20" w:type="dxa"/>
            <w:vAlign w:val="bottom"/>
          </w:tcPr>
          <w:p>
            <w:pPr>
              <w:spacing w:after="0"/>
              <w:rPr>
                <w:sz w:val="20"/>
                <w:szCs w:val="20"/>
                <w:color w:val="auto"/>
              </w:rPr>
            </w:pPr>
          </w:p>
        </w:tc>
      </w:tr>
      <w:tr>
        <w:trPr>
          <w:trHeight w:val="227"/>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Blanchester,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Ultra Aluminum Manufacturing, Inc.</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Michigan</w:t>
            </w:r>
          </w:p>
        </w:tc>
      </w:tr>
      <w:tr>
        <w:trPr>
          <w:trHeight w:val="23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Bonner,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United Lumber &amp; Reman, LLC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Alabama</w:t>
            </w:r>
          </w:p>
        </w:tc>
        <w:tc>
          <w:tcPr>
            <w:tcW w:w="20" w:type="dxa"/>
            <w:vAlign w:val="bottom"/>
          </w:tcPr>
          <w:p>
            <w:pPr>
              <w:spacing w:after="0"/>
              <w:rPr>
                <w:sz w:val="20"/>
                <w:szCs w:val="20"/>
                <w:color w:val="auto"/>
              </w:rPr>
            </w:pPr>
          </w:p>
        </w:tc>
      </w:tr>
      <w:tr>
        <w:trPr>
          <w:trHeight w:val="227"/>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Caldwell,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Universal Forest Products Texas, LLC</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Michigan</w:t>
            </w:r>
          </w:p>
        </w:tc>
      </w:tr>
      <w:tr>
        <w:trPr>
          <w:trHeight w:val="23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Cameron,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Universal Showcase ULC</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Alberta</w:t>
            </w:r>
          </w:p>
        </w:tc>
        <w:tc>
          <w:tcPr>
            <w:tcW w:w="20" w:type="dxa"/>
            <w:vAlign w:val="bottom"/>
          </w:tcPr>
          <w:p>
            <w:pPr>
              <w:spacing w:after="0"/>
              <w:rPr>
                <w:sz w:val="20"/>
                <w:szCs w:val="20"/>
                <w:color w:val="auto"/>
              </w:rPr>
            </w:pPr>
          </w:p>
        </w:tc>
      </w:tr>
      <w:tr>
        <w:trPr>
          <w:trHeight w:val="22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Canada, Inc.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Canada</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Upshur Forest Products, LLC</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Michigan</w:t>
            </w:r>
          </w:p>
        </w:tc>
      </w:tr>
      <w:tr>
        <w:trPr>
          <w:trHeight w:val="23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Chandler, LLC</w:t>
            </w:r>
          </w:p>
        </w:tc>
        <w:tc>
          <w:tcPr>
            <w:tcW w:w="1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Wadpack Pvt. Ltd</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India</w:t>
            </w:r>
          </w:p>
        </w:tc>
        <w:tc>
          <w:tcPr>
            <w:tcW w:w="20" w:type="dxa"/>
            <w:vAlign w:val="bottom"/>
          </w:tcPr>
          <w:p>
            <w:pPr>
              <w:spacing w:after="0"/>
              <w:rPr>
                <w:sz w:val="20"/>
                <w:szCs w:val="20"/>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UFP Chicago, LLC</w:t>
            </w:r>
          </w:p>
        </w:tc>
        <w:tc>
          <w:tcPr>
            <w:tcW w:w="13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Yard &amp; Home, LLC</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Michigan</w:t>
            </w:r>
          </w:p>
        </w:tc>
      </w:tr>
      <w:tr>
        <w:trPr>
          <w:trHeight w:val="783"/>
        </w:trPr>
        <w:tc>
          <w:tcPr>
            <w:tcW w:w="3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33-81128, 333-60630, 333-150345, 333-156596, and 33-84632 on Form S-8 of our reports dated March 1, 2023, relating to the consolidated financial statements of UFP Industries, Inc. and subsidiaries (the “Company”), and the effectiveness of the Company’s internal control over financial reporting appearing in this Annual Report on Form 10-K for the year ended December 31, 2022.</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171" w:lineRule="exact"/>
        <w:rPr>
          <w:sz w:val="20"/>
          <w:szCs w:val="20"/>
          <w:color w:val="auto"/>
        </w:rPr>
      </w:pPr>
    </w:p>
    <w:p>
      <w:pPr>
        <w:ind w:left="680" w:hanging="630"/>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UFP Industries, Inc.;</w:t>
      </w:r>
    </w:p>
    <w:p>
      <w:pPr>
        <w:spacing w:after="0" w:line="171"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239" w:hanging="650"/>
        <w:spacing w:after="0" w:line="266" w:lineRule="auto"/>
        <w:tabs>
          <w:tab w:leader="none" w:pos="67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1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8"/>
          <w:szCs w:val="18"/>
          <w:color w:val="auto"/>
        </w:rPr>
      </w:pPr>
    </w:p>
    <w:p>
      <w:pPr>
        <w:ind w:left="1340" w:right="199" w:hanging="642"/>
        <w:spacing w:after="0" w:line="261" w:lineRule="auto"/>
        <w:tabs>
          <w:tab w:leader="none" w:pos="132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1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2"/>
        <w:spacing w:after="0" w:line="261" w:lineRule="auto"/>
        <w:tabs>
          <w:tab w:leader="none" w:pos="132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jc w:val="both"/>
        <w:ind w:left="700" w:right="559" w:hanging="650"/>
        <w:spacing w:after="0" w:line="266" w:lineRule="auto"/>
        <w:tabs>
          <w:tab w:leader="none" w:pos="67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59" w:hanging="642"/>
        <w:spacing w:after="0" w:line="266" w:lineRule="auto"/>
        <w:tabs>
          <w:tab w:leader="none" w:pos="130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119" w:hanging="642"/>
        <w:spacing w:after="0" w:line="282" w:lineRule="auto"/>
        <w:tabs>
          <w:tab w:leader="none" w:pos="131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2023</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191"/>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2"/>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86" w:name="page87"/>
    <w:bookmarkEnd w:id="8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185" w:lineRule="exact"/>
        <w:rPr>
          <w:sz w:val="20"/>
          <w:szCs w:val="20"/>
          <w:color w:val="auto"/>
        </w:rPr>
      </w:pPr>
    </w:p>
    <w:p>
      <w:pPr>
        <w:ind w:left="680" w:hanging="630"/>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UFP Industries, Inc.;</w:t>
      </w:r>
    </w:p>
    <w:p>
      <w:pPr>
        <w:spacing w:after="0" w:line="198"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39" w:hanging="650"/>
        <w:spacing w:after="0" w:line="266" w:lineRule="auto"/>
        <w:tabs>
          <w:tab w:leader="none" w:pos="6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1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40" w:right="199" w:hanging="642"/>
        <w:spacing w:after="0" w:line="261" w:lineRule="auto"/>
        <w:tabs>
          <w:tab w:leader="none" w:pos="132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1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340" w:right="139" w:hanging="642"/>
        <w:spacing w:after="0" w:line="261" w:lineRule="auto"/>
        <w:tabs>
          <w:tab w:leader="none" w:pos="132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700" w:right="559" w:hanging="650"/>
        <w:spacing w:after="0" w:line="266" w:lineRule="auto"/>
        <w:tabs>
          <w:tab w:leader="none" w:pos="6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59" w:hanging="642"/>
        <w:spacing w:after="0" w:line="266" w:lineRule="auto"/>
        <w:tabs>
          <w:tab w:leader="none" w:pos="130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340" w:right="119" w:hanging="642"/>
        <w:spacing w:after="0" w:line="282" w:lineRule="auto"/>
        <w:tabs>
          <w:tab w:leader="none" w:pos="131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2023</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191"/>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1019"/>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7" w:name="page88"/>
    <w:bookmarkEnd w:id="8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 Matthew J. Missad,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ind w:left="60" w:right="79" w:firstLine="638"/>
        <w:spacing w:after="0" w:line="282" w:lineRule="auto"/>
        <w:tabs>
          <w:tab w:leader="none" w:pos="13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10-K for the year ended December 31, 2022,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4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on Form 10-K for the period ended December 31, 2022 fairly presents, in all material respects, the financial condition and results of operations of Universal Forest Products,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1, 2023</w:t>
            </w: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191"/>
        </w:trPr>
        <w:tc>
          <w:tcPr>
            <w:tcW w:w="580" w:type="dxa"/>
            <w:vAlign w:val="bottom"/>
          </w:tcPr>
          <w:p>
            <w:pPr>
              <w:spacing w:after="0"/>
              <w:rPr>
                <w:sz w:val="16"/>
                <w:szCs w:val="16"/>
                <w:color w:val="auto"/>
              </w:rPr>
            </w:pPr>
          </w:p>
        </w:tc>
        <w:tc>
          <w:tcPr>
            <w:tcW w:w="348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3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16"/>
        </w:trPr>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Its:  Chief Executive Officer and</w:t>
            </w:r>
          </w:p>
        </w:tc>
      </w:tr>
      <w:tr>
        <w:trPr>
          <w:trHeight w:val="234"/>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8" w:name="page89"/>
    <w:bookmarkEnd w:id="8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ind w:left="60" w:right="59" w:firstLine="638"/>
        <w:spacing w:after="0" w:line="282" w:lineRule="auto"/>
        <w:tabs>
          <w:tab w:leader="none" w:pos="142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10-K for the period ended December 31, 2022,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4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on Form 10-K for the period ended December 31, 2022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43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1, 2023</w:t>
            </w: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191"/>
        </w:trPr>
        <w:tc>
          <w:tcPr>
            <w:tcW w:w="480" w:type="dxa"/>
            <w:vAlign w:val="bottom"/>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Its: Chief Financial Officer,</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lowerLetter"/>
      <w:start w:val="1"/>
    </w:lvl>
    <w:lvl w:ilvl="1">
      <w:lvlJc w:val="left"/>
      <w:lvlText w:val="%2."/>
      <w:numFmt w:val="decimal"/>
      <w:start w:val="2"/>
    </w:lvl>
  </w:abstractNum>
  <w:abstractNum w:abstractNumId="7">
    <w:nsid w:val="7724C67E"/>
    <w:multiLevelType w:val="hybridMultilevel"/>
    <w:lvl w:ilvl="0">
      <w:lvlJc w:val="left"/>
      <w:lvlText w:val="(%1)"/>
      <w:numFmt w:val="lowerLetter"/>
      <w:start w:val="2"/>
    </w:lvl>
  </w:abstractNum>
  <w:abstractNum w:abstractNumId="8">
    <w:nsid w:val="5C482A97"/>
    <w:multiLevelType w:val="hybridMultilevel"/>
    <w:lvl w:ilvl="0">
      <w:lvlJc w:val="left"/>
      <w:lvlText w:val="3"/>
      <w:numFmt w:val="bullet"/>
      <w:start w:val="1"/>
    </w:lvl>
    <w:lvl w:ilvl="1">
      <w:lvlJc w:val="left"/>
      <w:lvlText w:val="(%2)"/>
      <w:numFmt w:val="lowerLetter"/>
      <w:start w:val="1"/>
    </w:lvl>
  </w:abstractNum>
  <w:abstractNum w:abstractNumId="9">
    <w:nsid w:val="2463B9EA"/>
    <w:multiLevelType w:val="hybridMultilevel"/>
    <w:lvl w:ilvl="0">
      <w:lvlJc w:val="left"/>
      <w:lvlText w:val="4"/>
      <w:numFmt w:val="bullet"/>
      <w:start w:val="1"/>
    </w:lvl>
    <w:lvl w:ilvl="1">
      <w:lvlJc w:val="left"/>
      <w:lvlText w:val="(%2)"/>
      <w:numFmt w:val="lowerLetter"/>
      <w:start w:val="1"/>
    </w:lvl>
  </w:abstractNum>
  <w:abstractNum w:abstractNumId="10">
    <w:nsid w:val="5E884ADC"/>
    <w:multiLevelType w:val="hybridMultilevel"/>
    <w:lvl w:ilvl="0">
      <w:lvlJc w:val="left"/>
      <w:lvlText w:val="%1"/>
      <w:numFmt w:val="decimal"/>
      <w:start w:val="10"/>
    </w:lvl>
    <w:lvl w:ilvl="1">
      <w:lvlJc w:val="left"/>
      <w:lvlText w:val="(%2)"/>
      <w:numFmt w:val="lowerLetter"/>
      <w:start w:val="1"/>
    </w:lvl>
  </w:abstractNum>
  <w:abstractNum w:abstractNumId="11">
    <w:nsid w:val="51EAD36B"/>
    <w:multiLevelType w:val="hybridMultilevel"/>
    <w:lvl w:ilvl="0">
      <w:lvlJc w:val="left"/>
      <w:lvlText w:val="(%1)"/>
      <w:numFmt w:val="lowerLetter"/>
      <w:start w:val="4"/>
    </w:lvl>
  </w:abstractNum>
  <w:abstractNum w:abstractNumId="12">
    <w:nsid w:val="2D517796"/>
    <w:multiLevelType w:val="hybridMultilevel"/>
    <w:lvl w:ilvl="0">
      <w:lvlJc w:val="left"/>
      <w:lvlText w:val="%1"/>
      <w:numFmt w:val="decimal"/>
      <w:start w:val="101"/>
    </w:lvl>
  </w:abstractNum>
  <w:abstractNum w:abstractNumId="13">
    <w:nsid w:val="580BD78F"/>
    <w:multiLevelType w:val="hybridMultilevel"/>
    <w:lvl w:ilvl="0">
      <w:lvlJc w:val="left"/>
      <w:lvlText w:val="%1"/>
      <w:numFmt w:val="decimal"/>
      <w:start w:val="104"/>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lvl w:ilvl="1">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lvl w:ilvl="1">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lvl w:ilvl="1">
      <w:lvlJc w:val="left"/>
      <w:lvlText w:val="-"/>
      <w:numFmt w:val="bullet"/>
      <w:start w:val="1"/>
    </w:lvl>
  </w:abstractNum>
  <w:abstractNum w:abstractNumId="42">
    <w:nsid w:val="23F9C13C"/>
    <w:multiLevelType w:val="hybridMultilevel"/>
    <w:lvl w:ilvl="0">
      <w:lvlJc w:val="left"/>
      <w:lvlText w:val="%1."/>
      <w:numFmt w:val="upperLetter"/>
      <w:start w:val="1"/>
    </w:lvl>
  </w:abstractNum>
  <w:abstractNum w:abstractNumId="43">
    <w:nsid w:val="649BB77C"/>
    <w:multiLevelType w:val="hybridMultilevel"/>
    <w:lvl w:ilvl="0">
      <w:lvlJc w:val="left"/>
      <w:lvlText w:val="(%1)"/>
      <w:numFmt w:val="lowerRoman"/>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upperLetter"/>
      <w:start w:val="2"/>
    </w:lvl>
  </w:abstractNum>
  <w:abstractNum w:abstractNumId="48">
    <w:nsid w:val="235BA861"/>
    <w:multiLevelType w:val="hybridMultilevel"/>
    <w:lvl w:ilvl="0">
      <w:lvlJc w:val="left"/>
      <w:lvlText w:val="%1."/>
      <w:numFmt w:val="upperLetter"/>
      <w:start w:val="3"/>
    </w:lvl>
  </w:abstractNum>
  <w:abstractNum w:abstractNumId="49">
    <w:nsid w:val="47398C89"/>
    <w:multiLevelType w:val="hybridMultilevel"/>
    <w:lvl w:ilvl="0">
      <w:lvlJc w:val="left"/>
      <w:lvlText w:val="%1."/>
      <w:numFmt w:val="upperLetter"/>
      <w:start w:val="4"/>
    </w:lvl>
  </w:abstractNum>
  <w:abstractNum w:abstractNumId="50">
    <w:nsid w:val="354FE9F9"/>
    <w:multiLevelType w:val="hybridMultilevel"/>
    <w:lvl w:ilvl="0">
      <w:lvlJc w:val="left"/>
      <w:lvlText w:val="%1."/>
      <w:numFmt w:val="upperLetter"/>
      <w:start w:val="5"/>
    </w:lvl>
  </w:abstractNum>
  <w:abstractNum w:abstractNumId="51">
    <w:nsid w:val="15B5AF5C"/>
    <w:multiLevelType w:val="hybridMultilevel"/>
    <w:lvl w:ilvl="0">
      <w:lvlJc w:val="left"/>
      <w:lvlText w:val="%1."/>
      <w:numFmt w:val="upperLetter"/>
      <w:start w:val="6"/>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upperLetter"/>
      <w:start w:val="7"/>
    </w:lvl>
  </w:abstractNum>
  <w:abstractNum w:abstractNumId="54">
    <w:nsid w:val="10233C99"/>
    <w:multiLevelType w:val="hybridMultilevel"/>
    <w:lvl w:ilvl="0">
      <w:lvlJc w:val="left"/>
      <w:lvlText w:val="%1."/>
      <w:numFmt w:val="upperLetter"/>
      <w:start w:val="8"/>
    </w:lvl>
  </w:abstractNum>
  <w:abstractNum w:abstractNumId="55">
    <w:nsid w:val="3F6AB60F"/>
    <w:multiLevelType w:val="hybridMultilevel"/>
    <w:lvl w:ilvl="0">
      <w:lvlJc w:val="left"/>
      <w:lvlText w:val="%1."/>
      <w:numFmt w:val="upperLetter"/>
      <w:start w:val="9"/>
    </w:lvl>
  </w:abstractNum>
  <w:abstractNum w:abstractNumId="56">
    <w:nsid w:val="61574095"/>
    <w:multiLevelType w:val="hybridMultilevel"/>
    <w:lvl w:ilvl="0">
      <w:lvlJc w:val="left"/>
      <w:lvlText w:val="%1."/>
      <w:numFmt w:val="upperLetter"/>
      <w:start w:val="10"/>
    </w:lvl>
  </w:abstractNum>
  <w:abstractNum w:abstractNumId="57">
    <w:nsid w:val="7E0C57B1"/>
    <w:multiLevelType w:val="hybridMultilevel"/>
    <w:lvl w:ilvl="0">
      <w:lvlJc w:val="left"/>
      <w:lvlText w:val="%1."/>
      <w:numFmt w:val="upperLetter"/>
      <w:start w:val="11"/>
    </w:lvl>
  </w:abstractNum>
  <w:abstractNum w:abstractNumId="58">
    <w:nsid w:val="77AE35EB"/>
    <w:multiLevelType w:val="hybridMultilevel"/>
    <w:lvl w:ilvl="0">
      <w:lvlJc w:val="left"/>
      <w:lvlText w:val="%1."/>
      <w:numFmt w:val="upperLetter"/>
      <w:start w:val="12"/>
    </w:lvl>
  </w:abstractNum>
  <w:abstractNum w:abstractNumId="59">
    <w:nsid w:val="579BE4F1"/>
    <w:multiLevelType w:val="hybridMultilevel"/>
    <w:lvl w:ilvl="0">
      <w:lvlJc w:val="left"/>
      <w:lvlText w:val="%1."/>
      <w:numFmt w:val="upperLetter"/>
      <w:start w:val="13"/>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upperLetter"/>
      <w:start w:val="14"/>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jpe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31" Type="http://schemas.openxmlformats.org/officeDocument/2006/relationships/hyperlink" Target="https://www.sec.gov/Archives/edgar/data/912767/000091276717000010/ufpi-20170425ex310598b54.htm" TargetMode="External"/><Relationship Id="rId32" Type="http://schemas.openxmlformats.org/officeDocument/2006/relationships/hyperlink" Target="http://www.sec.gov/Archives/edgar/data/912767/000091276717000007/ufpi-20161231xexhibit3b.htm" TargetMode="External"/><Relationship Id="rId33" Type="http://schemas.openxmlformats.org/officeDocument/2006/relationships/hyperlink" Target="http://www.sec.gov/Archives/edgar/data/912767/000114036112015431/ex10g.htm" TargetMode="External"/><Relationship Id="rId34" Type="http://schemas.openxmlformats.org/officeDocument/2006/relationships/hyperlink" Target="http://www.sec.gov/Archives/edgar/data/912767/000114036112015431/ex10h.htm" TargetMode="External"/><Relationship Id="rId35" Type="http://schemas.openxmlformats.org/officeDocument/2006/relationships/hyperlink" Target="http://www.sec.gov/Archives/edgar/data/912767/000114036114040661/ex10_1.htm" TargetMode="External"/><Relationship Id="rId36" Type="http://schemas.openxmlformats.org/officeDocument/2006/relationships/hyperlink" Target="http://www.sec.gov/Archives/edgar/data/912767/000114036112051611/ex10_k.htm" TargetMode="External"/><Relationship Id="rId37" Type="http://schemas.openxmlformats.org/officeDocument/2006/relationships/hyperlink" Target="http://www.sec.gov/Archives/edgar/data/912767/000155837019001176/ufpi-20181229ex10k2733c1.htm" TargetMode="External"/><Relationship Id="rId38" Type="http://schemas.openxmlformats.org/officeDocument/2006/relationships/hyperlink" Target="https://www.sec.gov/Archives/edgar/data/912767/000095012408001064/k24477ddef14a.htm" TargetMode="External"/><Relationship Id="rId39" Type="http://schemas.openxmlformats.org/officeDocument/2006/relationships/hyperlink" Target="http://www.sec.gov/Archives/edgar/data/912767/000091276717000007/ufpi-20161231xexhibit10m.htm" TargetMode="External"/><Relationship Id="rId40" Type="http://schemas.openxmlformats.org/officeDocument/2006/relationships/hyperlink" Target="http://www.sec.gov/Archives/edgar/data/912767/000114036112013332/formdef14a.htm" TargetMode="External"/><Relationship Id="rId41" Type="http://schemas.openxmlformats.org/officeDocument/2006/relationships/hyperlink" Target="https://www.sec.gov/Archives/edgar/data/912767/000155837021002324/ufpi-20201226xex10dk.htm" TargetMode="External"/><Relationship Id="rId42" Type="http://schemas.openxmlformats.org/officeDocument/2006/relationships/hyperlink" Target="https://www.sec.gov/Archives/edgar/data/912767/000091276722000041/ufpi-20221206xex10.htm" TargetMode="External"/><Relationship Id="rId43" Type="http://schemas.openxmlformats.org/officeDocument/2006/relationships/hyperlink" Target="http://www.sec.gov/Archives/edgar/data/912767/000095012311016476/c12957exv14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2023-03-01T14:07:08Z</dcterms:created>
  <dcterms:modified xsi:type="dcterms:W3CDTF">2023-03-01T14:07:08Z</dcterms:modified>
</cp:coreProperties>
</file>