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20, 2022</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UFP INDUSTRIES, INC.</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6" w:lineRule="exact"/>
        <w:rPr>
          <w:sz w:val="24"/>
          <w:szCs w:val="24"/>
          <w:color w:val="auto"/>
        </w:rPr>
      </w:pPr>
    </w:p>
    <w:tbl>
      <w:tblPr>
        <w:tblLayout w:type="fixed"/>
        <w:tblInd w:w="440" w:type="dxa"/>
        <w:tblCellMar>
          <w:top w:w="0" w:type="dxa"/>
          <w:left w:w="0" w:type="dxa"/>
          <w:bottom w:w="0" w:type="dxa"/>
          <w:right w:w="0" w:type="dxa"/>
        </w:tblCellMar>
      </w:tblPr>
      <w:tr>
        <w:trPr>
          <w:trHeight w:val="221"/>
        </w:trPr>
        <w:tc>
          <w:tcPr>
            <w:tcW w:w="260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17"/>
        </w:trPr>
        <w:tc>
          <w:tcPr>
            <w:tcW w:w="260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right"/>
              <w:ind w:right="970"/>
              <w:spacing w:after="0"/>
              <w:rPr>
                <w:sz w:val="20"/>
                <w:szCs w:val="20"/>
                <w:color w:val="auto"/>
              </w:rPr>
            </w:pPr>
            <w:r>
              <w:rPr>
                <w:rFonts w:ascii="Arial" w:cs="Arial" w:eastAsia="Arial" w:hAnsi="Arial"/>
                <w:sz w:val="18"/>
                <w:szCs w:val="18"/>
                <w:b w:val="1"/>
                <w:bCs w:val="1"/>
                <w:color w:val="auto"/>
              </w:rPr>
              <w:t>0-22684</w:t>
            </w:r>
          </w:p>
        </w:tc>
        <w:tc>
          <w:tcPr>
            <w:tcW w:w="286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 No.)</w:t>
            </w:r>
          </w:p>
        </w:tc>
      </w:tr>
      <w:tr>
        <w:trPr>
          <w:trHeight w:val="485"/>
        </w:trPr>
        <w:tc>
          <w:tcPr>
            <w:tcW w:w="5400" w:type="dxa"/>
            <w:vAlign w:val="bottom"/>
            <w:gridSpan w:val="2"/>
          </w:tcPr>
          <w:p>
            <w:pPr>
              <w:jc w:val="center"/>
              <w:ind w:right="163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86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00" w:type="dxa"/>
            <w:vAlign w:val="bottom"/>
            <w:gridSpan w:val="2"/>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right="93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ind w:left="60" w:right="79"/>
        <w:spacing w:after="0" w:line="31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60" w:right="359" w:hanging="10"/>
        <w:spacing w:after="0" w:line="376"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5"/>
        </w:trPr>
        <w:tc>
          <w:tcPr>
            <w:tcW w:w="314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left="60" w:right="119"/>
        <w:spacing w:after="0" w:line="32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1" w:name="page2"/>
    <w:bookmarkEnd w:id="1"/>
    <w:p>
      <w:pPr>
        <w:ind w:left="6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On October 20, 2022, the Registrant issued a press release announcing its financial results for the quarter-ended September 24, 2022. A copy of the Registrant’s press release is attached as Exhibit 99(a) to this Current Report.</w:t>
      </w:r>
    </w:p>
    <w:p>
      <w:pPr>
        <w:spacing w:after="0" w:line="14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u w:val="single" w:color="auto"/>
          <w:color w:val="0000EE"/>
        </w:rPr>
        <w:t>Press Release dated October 20, 2022</w:t>
      </w:r>
    </w:p>
    <w:p>
      <w:pPr>
        <w:spacing w:after="0" w:line="225" w:lineRule="exact"/>
        <w:rPr>
          <w:sz w:val="20"/>
          <w:szCs w:val="20"/>
          <w:color w:val="auto"/>
        </w:rPr>
      </w:pPr>
    </w:p>
    <w:p>
      <w:pPr>
        <w:ind w:left="1280" w:hanging="582"/>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446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99(a)</w:t>
            </w: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dated October 20, 2022.</w:t>
            </w:r>
          </w:p>
        </w:tc>
        <w:tc>
          <w:tcPr>
            <w:tcW w:w="4280" w:type="dxa"/>
            <w:vAlign w:val="bottom"/>
            <w:gridSpan w:val="2"/>
          </w:tcPr>
          <w:p>
            <w:pPr>
              <w:spacing w:after="0"/>
              <w:rPr>
                <w:sz w:val="24"/>
                <w:szCs w:val="24"/>
                <w:color w:val="auto"/>
              </w:rPr>
            </w:pPr>
          </w:p>
        </w:tc>
      </w:tr>
      <w:tr>
        <w:trPr>
          <w:trHeight w:val="344"/>
        </w:trPr>
        <w:tc>
          <w:tcPr>
            <w:tcW w:w="1400" w:type="dxa"/>
            <w:vAlign w:val="bottom"/>
          </w:tcPr>
          <w:p>
            <w:pPr>
              <w:ind w:left="2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w w:val="94"/>
              </w:rPr>
              <w:t>Cover Page Interactive Data File (the cover page XBRL tags are embedded in the Inline XBRL</w:t>
            </w:r>
          </w:p>
        </w:tc>
      </w:tr>
      <w:tr>
        <w:trPr>
          <w:trHeight w:val="230"/>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Arial" w:cs="Arial" w:eastAsia="Arial" w:hAnsi="Arial"/>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left="60" w:right="79"/>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4720" w:type="dxa"/>
            <w:vAlign w:val="bottom"/>
            <w:gridSpan w:val="2"/>
          </w:tcPr>
          <w:p>
            <w:pPr>
              <w:ind w:left="1260"/>
              <w:spacing w:after="0"/>
              <w:rPr>
                <w:sz w:val="20"/>
                <w:szCs w:val="20"/>
                <w:color w:val="auto"/>
              </w:rPr>
            </w:pPr>
            <w:r>
              <w:rPr>
                <w:rFonts w:ascii="Arial" w:cs="Arial" w:eastAsia="Arial" w:hAnsi="Arial"/>
                <w:sz w:val="18"/>
                <w:szCs w:val="18"/>
                <w:color w:val="auto"/>
              </w:rPr>
              <w:t>UNIVERSAL FOREST PRODUCTS, INC.</w:t>
            </w:r>
          </w:p>
        </w:tc>
      </w:tr>
      <w:tr>
        <w:trPr>
          <w:trHeight w:val="256"/>
        </w:trPr>
        <w:tc>
          <w:tcPr>
            <w:tcW w:w="3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Arial" w:cs="Arial" w:eastAsia="Arial" w:hAnsi="Arial"/>
                <w:sz w:val="18"/>
                <w:szCs w:val="18"/>
                <w:color w:val="auto"/>
              </w:rPr>
              <w:t>(Registrant)</w:t>
            </w:r>
          </w:p>
        </w:tc>
      </w:tr>
      <w:tr>
        <w:trPr>
          <w:trHeight w:val="513"/>
        </w:trPr>
        <w:tc>
          <w:tcPr>
            <w:tcW w:w="3060" w:type="dxa"/>
            <w:vAlign w:val="bottom"/>
          </w:tcPr>
          <w:p>
            <w:pPr>
              <w:spacing w:after="0"/>
              <w:rPr>
                <w:sz w:val="20"/>
                <w:szCs w:val="20"/>
                <w:color w:val="auto"/>
              </w:rPr>
            </w:pPr>
            <w:r>
              <w:rPr>
                <w:rFonts w:ascii="Arial" w:cs="Arial" w:eastAsia="Arial" w:hAnsi="Arial"/>
                <w:sz w:val="18"/>
                <w:szCs w:val="18"/>
                <w:color w:val="auto"/>
              </w:rPr>
              <w:t>Dated: October 20, 2022</w:t>
            </w:r>
          </w:p>
        </w:tc>
        <w:tc>
          <w:tcPr>
            <w:tcW w:w="4720" w:type="dxa"/>
            <w:vAlign w:val="bottom"/>
            <w:gridSpan w:val="2"/>
          </w:tcPr>
          <w:p>
            <w:pPr>
              <w:ind w:left="1260"/>
              <w:spacing w:after="0"/>
              <w:rPr>
                <w:sz w:val="20"/>
                <w:szCs w:val="20"/>
                <w:color w:val="auto"/>
              </w:rPr>
            </w:pPr>
            <w:r>
              <w:rPr>
                <w:rFonts w:ascii="Arial" w:cs="Arial" w:eastAsia="Arial" w:hAnsi="Arial"/>
                <w:sz w:val="18"/>
                <w:szCs w:val="18"/>
                <w:color w:val="auto"/>
              </w:rPr>
              <w:t>By:  /s/ Michael R. Cole</w:t>
            </w:r>
          </w:p>
        </w:tc>
      </w:tr>
      <w:tr>
        <w:trPr>
          <w:trHeight w:val="40"/>
        </w:trPr>
        <w:tc>
          <w:tcPr>
            <w:tcW w:w="30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22"/>
        </w:trPr>
        <w:tc>
          <w:tcPr>
            <w:tcW w:w="3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Michael R. Cole</w:t>
            </w:r>
          </w:p>
        </w:tc>
      </w:tr>
      <w:tr>
        <w:trPr>
          <w:trHeight w:val="230"/>
        </w:trPr>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3"/>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64979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154305</wp:posOffset>
            </wp:positionV>
            <wp:extent cx="263207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0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News release</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THE COMPANY---------------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Dick Gauthier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VP, Communications and Investor Relations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(616) 365-1555</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Thursday, October 20, 2022</w:t>
      </w: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UFP Industries Reports Record Third Quarter Results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Earnings per share increase 37 percent; Unit sales increase 5 percent -</w:t>
      </w:r>
    </w:p>
    <w:p>
      <w:pPr>
        <w:spacing w:after="0" w:line="265" w:lineRule="exact"/>
        <w:rPr>
          <w:sz w:val="20"/>
          <w:szCs w:val="20"/>
          <w:color w:val="auto"/>
        </w:rPr>
      </w:pPr>
    </w:p>
    <w:p>
      <w:pPr>
        <w:ind w:left="320" w:right="160"/>
        <w:spacing w:after="0" w:line="381" w:lineRule="auto"/>
        <w:rPr>
          <w:sz w:val="20"/>
          <w:szCs w:val="20"/>
          <w:color w:val="auto"/>
        </w:rPr>
      </w:pPr>
      <w:r>
        <w:rPr>
          <w:rFonts w:ascii="Arial" w:cs="Arial" w:eastAsia="Arial" w:hAnsi="Arial"/>
          <w:sz w:val="18"/>
          <w:szCs w:val="18"/>
          <w:color w:val="auto"/>
        </w:rPr>
        <w:t>GRAND RAPIDS, Mich., Thursday, October 20, 2022 – UFP Industries, Inc. (Nasdaq: UFPI) today announced record net sales of $2.3 billion and net earnings attributable to controlling interests of $167 million for the third quarter of 2022. The company also reported record earnings per diluted share of $2.66, a 37 percent increase over the third quarter of 2021.</w:t>
      </w:r>
    </w:p>
    <w:p>
      <w:pPr>
        <w:spacing w:after="0" w:line="189" w:lineRule="exact"/>
        <w:rPr>
          <w:sz w:val="20"/>
          <w:szCs w:val="20"/>
          <w:color w:val="auto"/>
        </w:rPr>
      </w:pPr>
    </w:p>
    <w:p>
      <w:pPr>
        <w:ind w:left="320" w:right="60"/>
        <w:spacing w:after="0" w:line="442" w:lineRule="auto"/>
        <w:rPr>
          <w:sz w:val="20"/>
          <w:szCs w:val="20"/>
          <w:color w:val="auto"/>
        </w:rPr>
      </w:pPr>
      <w:r>
        <w:rPr>
          <w:rFonts w:ascii="Arial" w:cs="Arial" w:eastAsia="Arial" w:hAnsi="Arial"/>
          <w:sz w:val="16"/>
          <w:szCs w:val="16"/>
          <w:color w:val="auto"/>
        </w:rPr>
        <w:t>“UFP’s ability to deliver record-setting performance in a challenging economic environment is a direct result of the efforts of our hard-working teammates and a balanced business model that minimizes risk by operating in diverse but complementary markets,” said CEO Matthew J. Missad. “Our market-focused organizational structure helps us to better address customer needs, and our increased commitment to innovation and new, value-added products continues to improve our operating results and set us apart from competitors.”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Third Quarter 2022 Highlights (comparisons on a year-over-year basis):</w:t>
      </w:r>
    </w:p>
    <w:p>
      <w:pPr>
        <w:spacing w:after="0" w:line="229" w:lineRule="exact"/>
        <w:rPr>
          <w:sz w:val="20"/>
          <w:szCs w:val="20"/>
          <w:color w:val="auto"/>
        </w:rPr>
      </w:pPr>
    </w:p>
    <w:p>
      <w:pPr>
        <w:ind w:left="960" w:right="680" w:hanging="322"/>
        <w:spacing w:after="0" w:line="37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$2.3 billion increased 11 percent due to a 6 percent increase in prices and a 5 percent increase in unit sales, including a 2 percent increase in unit sales from acquisitions.</w:t>
      </w:r>
    </w:p>
    <w:p>
      <w:pPr>
        <w:spacing w:after="0" w:line="1" w:lineRule="exact"/>
        <w:rPr>
          <w:rFonts w:ascii="Arial" w:cs="Arial" w:eastAsia="Arial" w:hAnsi="Arial"/>
          <w:sz w:val="18"/>
          <w:szCs w:val="18"/>
          <w:color w:val="auto"/>
        </w:rPr>
      </w:pPr>
    </w:p>
    <w:p>
      <w:pPr>
        <w:ind w:left="960" w:right="140" w:hanging="322"/>
        <w:spacing w:after="0" w:line="37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from operations of $237 million increased 41 percent. In the third quarter of 2021, the company recognized a gain on the sale of real estate of $9 million</w:t>
      </w:r>
    </w:p>
    <w:p>
      <w:pPr>
        <w:spacing w:after="0" w:line="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increased $45 million or 26 percent. SG&amp;A as a percentage of gross profit fell from 52 percent to 48 percent.</w:t>
      </w:r>
    </w:p>
    <w:p>
      <w:pPr>
        <w:spacing w:after="0" w:line="117" w:lineRule="exact"/>
        <w:rPr>
          <w:rFonts w:ascii="Arial" w:cs="Arial" w:eastAsia="Arial" w:hAnsi="Arial"/>
          <w:sz w:val="18"/>
          <w:szCs w:val="18"/>
          <w:color w:val="auto"/>
        </w:rPr>
      </w:pPr>
    </w:p>
    <w:p>
      <w:pPr>
        <w:ind w:left="960" w:right="20" w:hanging="322"/>
        <w:spacing w:after="0" w:line="42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product sales of $178 million increased 38 percent. This excludes new products that were sunset at the end of 2021. New product sales leaders included Deckorators mineral-based composite decking and Strip Pak mixed-material packaging solutions.</w:t>
      </w: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of total sales that are value-added increased to 66 percent from 64 percent.</w:t>
      </w:r>
    </w:p>
    <w:p>
      <w:pPr>
        <w:spacing w:after="0" w:line="117" w:lineRule="exact"/>
        <w:rPr>
          <w:rFonts w:ascii="Arial" w:cs="Arial" w:eastAsia="Arial" w:hAnsi="Arial"/>
          <w:sz w:val="18"/>
          <w:szCs w:val="18"/>
          <w:color w:val="auto"/>
        </w:rPr>
      </w:pPr>
    </w:p>
    <w:p>
      <w:pPr>
        <w:ind w:left="960" w:right="260" w:hanging="322"/>
        <w:spacing w:after="0" w:line="38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$274 million increased 46 percent, and adjusted EBITDA margin improved by 280 basis points to 11.8 percent. Acquisitions completed during 2022 contributed $7.3 million to adjusted EBITDA.</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business segment, the company reported the following third quarter 2022 results (all quarterly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Retail Solutions</w:t>
      </w:r>
    </w:p>
    <w:p>
      <w:pPr>
        <w:spacing w:after="0" w:line="337" w:lineRule="exact"/>
        <w:rPr>
          <w:sz w:val="20"/>
          <w:szCs w:val="20"/>
          <w:color w:val="auto"/>
        </w:rPr>
      </w:pPr>
    </w:p>
    <w:p>
      <w:pPr>
        <w:ind w:left="320" w:right="180"/>
        <w:spacing w:after="0" w:line="378" w:lineRule="auto"/>
        <w:rPr>
          <w:sz w:val="20"/>
          <w:szCs w:val="20"/>
          <w:color w:val="auto"/>
        </w:rPr>
      </w:pPr>
      <w:r>
        <w:rPr>
          <w:rFonts w:ascii="Arial" w:cs="Arial" w:eastAsia="Arial" w:hAnsi="Arial"/>
          <w:sz w:val="18"/>
          <w:szCs w:val="18"/>
          <w:color w:val="auto"/>
        </w:rPr>
        <w:t>$845 million in net sales, up 21 percent over the third quarter of 2021 due to a 15 percent increase in selling prices and a 6 percent increase in unit sales, including a 3 percent increase in unit sales from acquisitions. Unit growth was driven by increases in the company’s pressure-treating operations (Sunbelt Forest Products and ProWood), Deckorators and UFP-Edge. Unit sales growth for the company’s pressure-treating operations benefited from favorable year-over-year comparisons, as orders slowed in the third quarter of 2021 when retailers focused on reducing inventory.</w:t>
      </w:r>
    </w:p>
    <w:p>
      <w:pPr>
        <w:spacing w:after="0" w:line="193" w:lineRule="exact"/>
        <w:rPr>
          <w:sz w:val="20"/>
          <w:szCs w:val="20"/>
          <w:color w:val="auto"/>
        </w:rPr>
      </w:pPr>
    </w:p>
    <w:p>
      <w:pPr>
        <w:jc w:val="both"/>
        <w:ind w:left="320" w:right="320"/>
        <w:spacing w:after="0" w:line="389" w:lineRule="auto"/>
        <w:rPr>
          <w:sz w:val="20"/>
          <w:szCs w:val="20"/>
          <w:color w:val="auto"/>
        </w:rPr>
      </w:pPr>
      <w:r>
        <w:rPr>
          <w:rFonts w:ascii="Arial" w:cs="Arial" w:eastAsia="Arial" w:hAnsi="Arial"/>
          <w:sz w:val="18"/>
          <w:szCs w:val="18"/>
          <w:color w:val="auto"/>
        </w:rPr>
        <w:t>Gross profit for UFP Retail Solutions rose to $77 million, a 615 percent increase over the third quarter of 2021, when rapidly falling lumber prices reduced margins for variable-priced products such as pressure-treated wood. Gross profit margin rose to 9.2 percent in 2022 from 1.6 percent in 2021.</w:t>
      </w:r>
    </w:p>
    <w:p>
      <w:pPr>
        <w:spacing w:after="0" w:line="168" w:lineRule="exact"/>
        <w:rPr>
          <w:sz w:val="20"/>
          <w:szCs w:val="20"/>
          <w:color w:val="auto"/>
        </w:rPr>
      </w:pPr>
    </w:p>
    <w:p>
      <w:pPr>
        <w:ind w:left="320" w:right="60"/>
        <w:spacing w:after="0" w:line="483" w:lineRule="auto"/>
        <w:rPr>
          <w:sz w:val="20"/>
          <w:szCs w:val="20"/>
          <w:color w:val="auto"/>
        </w:rPr>
      </w:pPr>
      <w:r>
        <w:rPr>
          <w:rFonts w:ascii="Arial" w:cs="Arial" w:eastAsia="Arial" w:hAnsi="Arial"/>
          <w:sz w:val="16"/>
          <w:szCs w:val="16"/>
          <w:color w:val="auto"/>
        </w:rPr>
        <w:t>Retail sales accounted for 38 percent of the company’s sales year to date. When evaluating future demand for the segment, the company analyzes data such as the same-store sales growth of national home improvement retailers and forecasts of remodeling activity.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Industrial</w:t>
      </w:r>
    </w:p>
    <w:p>
      <w:pPr>
        <w:spacing w:after="0" w:line="337" w:lineRule="exact"/>
        <w:rPr>
          <w:sz w:val="20"/>
          <w:szCs w:val="20"/>
          <w:color w:val="auto"/>
        </w:rPr>
      </w:pPr>
    </w:p>
    <w:p>
      <w:pPr>
        <w:ind w:left="320" w:right="400"/>
        <w:spacing w:after="0" w:line="378" w:lineRule="auto"/>
        <w:rPr>
          <w:sz w:val="20"/>
          <w:szCs w:val="20"/>
          <w:color w:val="auto"/>
        </w:rPr>
      </w:pPr>
      <w:r>
        <w:rPr>
          <w:rFonts w:ascii="Arial" w:cs="Arial" w:eastAsia="Arial" w:hAnsi="Arial"/>
          <w:sz w:val="18"/>
          <w:szCs w:val="18"/>
          <w:color w:val="auto"/>
        </w:rPr>
        <w:t>$585 million in net sales, up 2 percent from the third quarter of 2021 due to a 3 percent increase in unit sales from acquisitions, a 1 percent increase in selling prices, and a 2 percent decline in organic unit growth. The organic unit sales decline is attributable to an intentional change in product mix, as the segment focuses more on higher-margin products and being selective in taking on new business. New product sales increased 52 percent to $64 million, and the segment’s percentage of value-added sales increased to 74 percent from 69 percent in 2021.</w:t>
      </w:r>
    </w:p>
    <w:p>
      <w:pPr>
        <w:spacing w:after="0" w:line="193" w:lineRule="exact"/>
        <w:rPr>
          <w:sz w:val="20"/>
          <w:szCs w:val="20"/>
          <w:color w:val="auto"/>
        </w:rPr>
      </w:pPr>
    </w:p>
    <w:p>
      <w:pPr>
        <w:ind w:left="320" w:right="20"/>
        <w:spacing w:after="0" w:line="402" w:lineRule="auto"/>
        <w:rPr>
          <w:sz w:val="20"/>
          <w:szCs w:val="20"/>
          <w:color w:val="auto"/>
        </w:rPr>
      </w:pPr>
      <w:r>
        <w:rPr>
          <w:rFonts w:ascii="Arial" w:cs="Arial" w:eastAsia="Arial" w:hAnsi="Arial"/>
          <w:sz w:val="18"/>
          <w:szCs w:val="18"/>
          <w:color w:val="auto"/>
        </w:rPr>
        <w:t>Gross profit rose 14 percent to $144 million and gross profit margin rose 250 basis points, reflecting the company’s ability to pass on the impact of higher operating costs, as well as the successful implementation of value-based selling initiatives.</w:t>
      </w:r>
    </w:p>
    <w:p>
      <w:pPr>
        <w:spacing w:after="0" w:line="171" w:lineRule="exact"/>
        <w:rPr>
          <w:sz w:val="20"/>
          <w:szCs w:val="20"/>
          <w:color w:val="auto"/>
        </w:rPr>
      </w:pPr>
    </w:p>
    <w:p>
      <w:pPr>
        <w:ind w:left="320" w:right="460"/>
        <w:spacing w:after="0" w:line="483" w:lineRule="auto"/>
        <w:rPr>
          <w:sz w:val="20"/>
          <w:szCs w:val="20"/>
          <w:color w:val="auto"/>
        </w:rPr>
      </w:pPr>
      <w:r>
        <w:rPr>
          <w:rFonts w:ascii="Arial" w:cs="Arial" w:eastAsia="Arial" w:hAnsi="Arial"/>
          <w:sz w:val="16"/>
          <w:szCs w:val="16"/>
          <w:color w:val="auto"/>
        </w:rPr>
        <w:t>UFP Industrial sales accounted for 24 percent of the company’s sales year to date. When evaluating future demand, the company considers a number of metrics, including the Purchasing Managers Index (PMI), durable goods manufacturing, and U.S. real GDP.</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UFP Construction</w:t>
      </w:r>
    </w:p>
    <w:p>
      <w:pPr>
        <w:spacing w:after="0" w:line="324" w:lineRule="exact"/>
        <w:rPr>
          <w:sz w:val="20"/>
          <w:szCs w:val="20"/>
          <w:color w:val="auto"/>
        </w:rPr>
      </w:pPr>
    </w:p>
    <w:p>
      <w:pPr>
        <w:ind w:left="320" w:right="20"/>
        <w:spacing w:after="0" w:line="389" w:lineRule="auto"/>
        <w:rPr>
          <w:sz w:val="20"/>
          <w:szCs w:val="20"/>
          <w:color w:val="auto"/>
        </w:rPr>
      </w:pPr>
      <w:r>
        <w:rPr>
          <w:rFonts w:ascii="Arial" w:cs="Arial" w:eastAsia="Arial" w:hAnsi="Arial"/>
          <w:sz w:val="18"/>
          <w:szCs w:val="18"/>
          <w:color w:val="auto"/>
        </w:rPr>
        <w:t>$777 million in net sales, up 8 percent over the third quarter of 2021, due to an 8 percent increase in organic unit sales growth. Unit sales growth was driven by the Factory Built, Commercial and Concrete Forming Services business units. Gross profit increased $46 million or 30 percent to $200 million in the third quarter, led by Site Built and Commercial.</w:t>
      </w:r>
    </w:p>
    <w:p>
      <w:pPr>
        <w:spacing w:after="0" w:line="182" w:lineRule="exact"/>
        <w:rPr>
          <w:sz w:val="20"/>
          <w:szCs w:val="20"/>
          <w:color w:val="auto"/>
        </w:rPr>
      </w:pPr>
    </w:p>
    <w:p>
      <w:pPr>
        <w:ind w:left="320"/>
        <w:spacing w:after="0" w:line="402" w:lineRule="auto"/>
        <w:rPr>
          <w:sz w:val="20"/>
          <w:szCs w:val="20"/>
          <w:color w:val="auto"/>
        </w:rPr>
      </w:pPr>
      <w:r>
        <w:rPr>
          <w:rFonts w:ascii="Arial" w:cs="Arial" w:eastAsia="Arial" w:hAnsi="Arial"/>
          <w:sz w:val="17"/>
          <w:szCs w:val="17"/>
          <w:color w:val="auto"/>
        </w:rPr>
        <w:t>The company’s site-built residential customers have accounted for approximately 14 percent of total company sales year to date. Approximately one-third of site-built customers are multifamily builders. More than 75 percent of the company’s site-built residential housing sales are in areas such as Texas and the Mid-Atlantic, Southeast and Mountain West regions, which have experienced significant population growth through migration from other states and are forecasted to continue to grow in the long term. The company’s factory-built customers have accounted for 13 percent of total company sales year to date. This business, along with the company’s multifamily business, could benefit from higher interest rates as buyers seek more affordable housing alternatives. As a result of these factors, we believe these customers are better insulated from downturns in the housing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294005</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80"/>
          </w:cols>
          <w:pgMar w:left="840" w:top="513" w:right="8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65" w:lineRule="exact"/>
        <w:rPr>
          <w:sz w:val="20"/>
          <w:szCs w:val="20"/>
          <w:color w:val="auto"/>
        </w:rPr>
      </w:pPr>
    </w:p>
    <w:p>
      <w:pPr>
        <w:ind w:left="320" w:right="80"/>
        <w:spacing w:after="0" w:line="381" w:lineRule="auto"/>
        <w:rPr>
          <w:sz w:val="20"/>
          <w:szCs w:val="20"/>
          <w:color w:val="auto"/>
        </w:rPr>
      </w:pPr>
      <w:r>
        <w:rPr>
          <w:rFonts w:ascii="Arial" w:cs="Arial" w:eastAsia="Arial" w:hAnsi="Arial"/>
          <w:sz w:val="18"/>
          <w:szCs w:val="18"/>
          <w:color w:val="auto"/>
        </w:rPr>
        <w:t>UFP Industries maintains a strong balance sheet with nearly $1.5 billion of liquidity as of September 24, 2022, consisting of $456 million of surplus cash, plus availability under its revolving credit facility and shelf agreements with lenders. The company’s diversified and return-focused approach to capital allocation includes the following:</w:t>
      </w:r>
    </w:p>
    <w:p>
      <w:pPr>
        <w:spacing w:after="0" w:line="189" w:lineRule="exact"/>
        <w:rPr>
          <w:sz w:val="20"/>
          <w:szCs w:val="20"/>
          <w:color w:val="auto"/>
        </w:rPr>
      </w:pPr>
    </w:p>
    <w:p>
      <w:pPr>
        <w:jc w:val="both"/>
        <w:ind w:left="980" w:right="140" w:hanging="315"/>
        <w:spacing w:after="0" w:line="397"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targeted $175-225 million for capital expenditures in 2022, an increase over the $151 million spent in 2021. The company’s capital expenditures during the first nine months of 2022 totaled $115 million. Longer lead times required for most equipment and rolling stock may cause the company to fall short of its 2022 expenditures target.</w:t>
      </w:r>
    </w:p>
    <w:p>
      <w:pPr>
        <w:spacing w:after="0" w:line="1" w:lineRule="exact"/>
        <w:rPr>
          <w:rFonts w:ascii="Arial" w:cs="Arial" w:eastAsia="Arial" w:hAnsi="Arial"/>
          <w:sz w:val="17"/>
          <w:szCs w:val="17"/>
          <w:color w:val="auto"/>
        </w:rPr>
      </w:pPr>
    </w:p>
    <w:p>
      <w:pPr>
        <w:ind w:left="980" w:right="40" w:hanging="315"/>
        <w:spacing w:after="0" w:line="37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2022, our Board of Directors authorized an increase in the company’s share repurchase program of up to 2.6 million shares. Through September 24, 2022, the company has purchased approximately 1.2 million shares at an average price of $77.06. The company has issued 911,000 shares in 2022 for share-based compensation programs at an average issue price of $82.69 per share.</w:t>
      </w:r>
    </w:p>
    <w:p>
      <w:pPr>
        <w:spacing w:after="0" w:line="2" w:lineRule="exact"/>
        <w:rPr>
          <w:rFonts w:ascii="Arial" w:cs="Arial" w:eastAsia="Arial" w:hAnsi="Arial"/>
          <w:sz w:val="18"/>
          <w:szCs w:val="18"/>
          <w:color w:val="auto"/>
        </w:rPr>
      </w:pPr>
    </w:p>
    <w:p>
      <w:pPr>
        <w:ind w:left="980" w:right="120" w:hanging="315"/>
        <w:spacing w:after="0" w:line="37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19, 2022, the Board approved a quarterly dividend payment of $0.25 per share, payable on December 15, 2022, to shareholders of record on December 1, 2022. This dividend is 67 percent higher than the dividend of $0.15 per share paid on December 15, 2021.</w:t>
      </w:r>
    </w:p>
    <w:p>
      <w:pPr>
        <w:spacing w:after="0" w:line="1" w:lineRule="exact"/>
        <w:rPr>
          <w:rFonts w:ascii="Arial" w:cs="Arial" w:eastAsia="Arial" w:hAnsi="Arial"/>
          <w:sz w:val="18"/>
          <w:szCs w:val="18"/>
          <w:color w:val="auto"/>
        </w:rPr>
      </w:pPr>
    </w:p>
    <w:p>
      <w:pPr>
        <w:ind w:left="980" w:right="40" w:hanging="315"/>
        <w:spacing w:after="0" w:line="38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continues to seek opportunities to acquire companies that represent a strong strategic fit and allow it to drive new growth and margin improvements, enhance its capabilities, and create more incremental value for its customers and shareholders.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outlook remains largely unchanged from the guidance provided in the second quarter 2022 earnings release.</w:t>
      </w:r>
    </w:p>
    <w:p>
      <w:pPr>
        <w:spacing w:after="0" w:line="225" w:lineRule="exact"/>
        <w:rPr>
          <w:sz w:val="20"/>
          <w:szCs w:val="20"/>
          <w:color w:val="auto"/>
        </w:rPr>
      </w:pPr>
    </w:p>
    <w:p>
      <w:pPr>
        <w:ind w:left="320"/>
        <w:spacing w:after="0" w:line="401" w:lineRule="auto"/>
        <w:rPr>
          <w:sz w:val="20"/>
          <w:szCs w:val="20"/>
          <w:color w:val="auto"/>
        </w:rPr>
      </w:pPr>
      <w:r>
        <w:rPr>
          <w:rFonts w:ascii="Arial" w:cs="Arial" w:eastAsia="Arial" w:hAnsi="Arial"/>
          <w:sz w:val="17"/>
          <w:szCs w:val="17"/>
          <w:color w:val="auto"/>
        </w:rPr>
        <w:t>We expect our balanced business model and operational improvements will continue to help us navigate new external challenges, including rising interest rates and historically high inflation. In the near term, we continue to expect more normalized demand in our largest segment, UFP Retail Solutions. For UFP Industrial, we continue to monitor business activity and the key economic indicators that drive this segment with many of those metrics remaining mixed. Pricing remains healthy as we pass through inflationary costs and benefit from our focus on value-added products. For UFP Construction, we see continued activity in commercial and infrastructure end markets and expect our exposure to a projected softening in the housing market to be somewhat offset by favorable demographic trends in the markets we serve and our participation in more affordable housing and the multifamily market. Our diversified business and strong track record of executing our strategy gives us confidence that we can continue to successfully navigate various market environments while delivering returns to shareholders.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CONFERENCE CALL</w:t>
      </w:r>
    </w:p>
    <w:p>
      <w:pPr>
        <w:spacing w:after="0" w:line="324" w:lineRule="exact"/>
        <w:rPr>
          <w:sz w:val="20"/>
          <w:szCs w:val="20"/>
          <w:color w:val="auto"/>
        </w:rPr>
      </w:pPr>
    </w:p>
    <w:p>
      <w:pPr>
        <w:ind w:left="320" w:right="40"/>
        <w:spacing w:after="0" w:line="384" w:lineRule="auto"/>
        <w:rPr>
          <w:sz w:val="20"/>
          <w:szCs w:val="20"/>
          <w:color w:val="auto"/>
        </w:rPr>
      </w:pPr>
      <w:r>
        <w:rPr>
          <w:rFonts w:ascii="Arial" w:cs="Arial" w:eastAsia="Arial" w:hAnsi="Arial"/>
          <w:sz w:val="18"/>
          <w:szCs w:val="18"/>
          <w:color w:val="auto"/>
        </w:rPr>
        <w:t>UFP Industries will conduct a conference call to discuss information included in this news release and related matters at 4:30 p.m. ET on Thursday, October 20, 2022. The call will be hosted by CEO Matthew J. Missad and CFO Michael Cole, and will be available simultaneously and in its entirety to all interested investors and news media through a webcast at http://www.ufpi.com. A replay of the call will be available through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299720</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UFP Industries, Inc.</w:t>
      </w:r>
    </w:p>
    <w:p>
      <w:pPr>
        <w:spacing w:after="0" w:line="337" w:lineRule="exact"/>
        <w:rPr>
          <w:sz w:val="20"/>
          <w:szCs w:val="20"/>
          <w:color w:val="auto"/>
        </w:rPr>
      </w:pPr>
    </w:p>
    <w:p>
      <w:pPr>
        <w:ind w:left="320"/>
        <w:spacing w:after="0" w:line="404" w:lineRule="auto"/>
        <w:rPr>
          <w:sz w:val="20"/>
          <w:szCs w:val="20"/>
          <w:color w:val="auto"/>
        </w:rPr>
      </w:pPr>
      <w:r>
        <w:rPr>
          <w:rFonts w:ascii="Arial" w:cs="Arial" w:eastAsia="Arial" w:hAnsi="Arial"/>
          <w:sz w:val="17"/>
          <w:szCs w:val="17"/>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UFP Industries is ranked #401 on the Fortune 500 and #149 on Industry Week’s list of America’s Largest Manufacturers. For more about UFP Industries, go to www.ufpi.com.</w:t>
      </w:r>
    </w:p>
    <w:p>
      <w:pPr>
        <w:spacing w:after="0" w:line="65" w:lineRule="exact"/>
        <w:rPr>
          <w:sz w:val="20"/>
          <w:szCs w:val="20"/>
          <w:color w:val="auto"/>
        </w:rPr>
      </w:pPr>
    </w:p>
    <w:p>
      <w:pPr>
        <w:ind w:left="320" w:right="60"/>
        <w:spacing w:after="0" w:line="385" w:lineRule="auto"/>
        <w:rPr>
          <w:sz w:val="20"/>
          <w:szCs w:val="20"/>
          <w:color w:val="auto"/>
        </w:rPr>
      </w:pPr>
      <w:r>
        <w:rPr>
          <w:rFonts w:ascii="Arial" w:cs="Arial" w:eastAsia="Arial" w:hAnsi="Arial"/>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Non-GAAP Financial Information</w:t>
      </w:r>
    </w:p>
    <w:p>
      <w:pPr>
        <w:spacing w:after="0" w:line="204" w:lineRule="exact"/>
        <w:rPr>
          <w:sz w:val="20"/>
          <w:szCs w:val="20"/>
          <w:color w:val="auto"/>
        </w:rPr>
      </w:pPr>
    </w:p>
    <w:p>
      <w:pPr>
        <w:ind w:left="320" w:right="260"/>
        <w:spacing w:after="0" w:line="398" w:lineRule="auto"/>
        <w:rPr>
          <w:sz w:val="20"/>
          <w:szCs w:val="20"/>
          <w:color w:val="auto"/>
        </w:rPr>
      </w:pPr>
      <w:r>
        <w:rPr>
          <w:rFonts w:ascii="Arial" w:cs="Arial" w:eastAsia="Arial" w:hAnsi="Arial"/>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Adjusted EBITDA, a non-GAAP measure, an alternative performance measure which may provide useful information to investors.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Net earnings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Net earnings refers to net earnings attributable to controlling interest unless specifically noted.</w:t>
      </w: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803275</wp:posOffset>
            </wp:positionV>
            <wp:extent cx="6497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Quarter Period</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7"/>
          </w:tcPr>
          <w:p>
            <w:pPr>
              <w:jc w:val="right"/>
              <w:ind w:right="380"/>
              <w:spacing w:after="0"/>
              <w:rPr>
                <w:sz w:val="20"/>
                <w:szCs w:val="20"/>
                <w:color w:val="auto"/>
              </w:rPr>
            </w:pPr>
            <w:r>
              <w:rPr>
                <w:rFonts w:ascii="Arial" w:cs="Arial" w:eastAsia="Arial" w:hAnsi="Arial"/>
                <w:sz w:val="16"/>
                <w:szCs w:val="16"/>
                <w:b w:val="1"/>
                <w:bCs w:val="1"/>
                <w:color w:val="auto"/>
              </w:rPr>
              <w:t>Year to Date</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$ 2,322,855</w:t>
            </w: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2,093,784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89"/>
              </w:rPr>
              <w:t>$ 7,713,042</w:t>
            </w:r>
          </w:p>
        </w:tc>
        <w:tc>
          <w:tcPr>
            <w:tcW w:w="4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6,619,329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COST OF GOODS SOLD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5"/>
              </w:rPr>
              <w:t>1,872,679</w:t>
            </w: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80.6</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1,766,229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89"/>
              </w:rPr>
              <w:t>6,281,051</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4"/>
              <w:spacing w:after="0"/>
              <w:rPr>
                <w:sz w:val="20"/>
                <w:szCs w:val="20"/>
                <w:color w:val="auto"/>
              </w:rPr>
            </w:pPr>
            <w:r>
              <w:rPr>
                <w:rFonts w:ascii="Arial" w:cs="Arial" w:eastAsia="Arial" w:hAnsi="Arial"/>
                <w:sz w:val="16"/>
                <w:szCs w:val="16"/>
                <w:color w:val="auto"/>
              </w:rPr>
              <w:t>81.4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5,583,926</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450,176</w:t>
            </w: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327,555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1,431,991</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4"/>
              <w:spacing w:after="0"/>
              <w:rPr>
                <w:sz w:val="20"/>
                <w:szCs w:val="20"/>
                <w:color w:val="auto"/>
              </w:rPr>
            </w:pPr>
            <w:r>
              <w:rPr>
                <w:rFonts w:ascii="Arial" w:cs="Arial" w:eastAsia="Arial" w:hAnsi="Arial"/>
                <w:sz w:val="16"/>
                <w:szCs w:val="16"/>
                <w:color w:val="auto"/>
              </w:rPr>
              <w:t>18.6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1,035,403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AND ADMINISTRATIVE</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214,327</w:t>
            </w:r>
          </w:p>
        </w:tc>
        <w:tc>
          <w:tcPr>
            <w:tcW w:w="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649,015</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4"/>
              <w:spacing w:after="0"/>
              <w:rPr>
                <w:sz w:val="20"/>
                <w:szCs w:val="20"/>
                <w:color w:val="auto"/>
              </w:rPr>
            </w:pPr>
            <w:r>
              <w:rPr>
                <w:rFonts w:ascii="Arial" w:cs="Arial" w:eastAsia="Arial" w:hAnsi="Arial"/>
                <w:sz w:val="16"/>
                <w:szCs w:val="16"/>
                <w:color w:val="auto"/>
              </w:rPr>
              <w:t>8.4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OTHER (GAINS) LOSSES, NET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6"/>
                <w:szCs w:val="16"/>
                <w:color w:val="auto"/>
              </w:rPr>
              <w:t>(1,195)</w:t>
            </w:r>
          </w:p>
        </w:tc>
        <w:tc>
          <w:tcPr>
            <w:tcW w:w="72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(10,037)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1,341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64"/>
              <w:spacing w:after="0"/>
              <w:rPr>
                <w:sz w:val="20"/>
                <w:szCs w:val="20"/>
                <w:color w:val="auto"/>
              </w:rPr>
            </w:pPr>
            <w:r>
              <w:rPr>
                <w:rFonts w:ascii="Arial" w:cs="Arial" w:eastAsia="Arial" w:hAnsi="Arial"/>
                <w:sz w:val="16"/>
                <w:szCs w:val="16"/>
                <w:color w:val="auto"/>
                <w:w w:val="87"/>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6"/>
                <w:szCs w:val="16"/>
                <w:color w:val="auto"/>
              </w:rPr>
              <w:t>(11,248)</w:t>
            </w:r>
          </w:p>
        </w:tc>
        <w:tc>
          <w:tcPr>
            <w:tcW w:w="6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EARNINGS FROM OPERATIONS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237,044</w:t>
            </w:r>
          </w:p>
        </w:tc>
        <w:tc>
          <w:tcPr>
            <w:tcW w:w="20" w:type="dxa"/>
            <w:vAlign w:val="bottom"/>
          </w:tcPr>
          <w:p>
            <w:pPr>
              <w:spacing w:after="0"/>
              <w:rPr>
                <w:sz w:val="17"/>
                <w:szCs w:val="17"/>
                <w:color w:val="auto"/>
              </w:rPr>
            </w:pPr>
          </w:p>
        </w:tc>
        <w:tc>
          <w:tcPr>
            <w:tcW w:w="7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168,125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781,635</w:t>
            </w:r>
          </w:p>
        </w:tc>
        <w:tc>
          <w:tcPr>
            <w:tcW w:w="40" w:type="dxa"/>
            <w:vAlign w:val="bottom"/>
          </w:tcPr>
          <w:p>
            <w:pPr>
              <w:spacing w:after="0"/>
              <w:rPr>
                <w:sz w:val="17"/>
                <w:szCs w:val="17"/>
                <w:color w:val="auto"/>
              </w:rPr>
            </w:pPr>
          </w:p>
        </w:tc>
        <w:tc>
          <w:tcPr>
            <w:tcW w:w="580" w:type="dxa"/>
            <w:vAlign w:val="bottom"/>
            <w:gridSpan w:val="3"/>
          </w:tcPr>
          <w:p>
            <w:pPr>
              <w:jc w:val="right"/>
              <w:ind w:right="64"/>
              <w:spacing w:after="0"/>
              <w:rPr>
                <w:sz w:val="20"/>
                <w:szCs w:val="20"/>
                <w:color w:val="auto"/>
              </w:rPr>
            </w:pPr>
            <w:r>
              <w:rPr>
                <w:rFonts w:ascii="Arial" w:cs="Arial" w:eastAsia="Arial" w:hAnsi="Arial"/>
                <w:sz w:val="16"/>
                <w:szCs w:val="16"/>
                <w:color w:val="auto"/>
              </w:rPr>
              <w:t>10.1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542,547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bottom w:val="single" w:sz="8" w:color="CCEEFF"/>
            </w:tcBorders>
            <w:gridSpan w:val="5"/>
          </w:tcPr>
          <w:p>
            <w:pPr>
              <w:ind w:left="20"/>
              <w:spacing w:after="0"/>
              <w:rPr>
                <w:sz w:val="20"/>
                <w:szCs w:val="20"/>
                <w:color w:val="auto"/>
              </w:rPr>
            </w:pPr>
            <w:r>
              <w:rPr>
                <w:rFonts w:ascii="Arial" w:cs="Arial" w:eastAsia="Arial" w:hAnsi="Arial"/>
                <w:sz w:val="16"/>
                <w:szCs w:val="16"/>
                <w:b w:val="1"/>
                <w:bCs w:val="1"/>
                <w:color w:val="auto"/>
              </w:rPr>
              <w:t>INTEREST AND OTHER EXPENSE, NET</w:t>
            </w: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6,382</w:t>
            </w: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CCEEFF"/>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19,858</w:t>
            </w: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gridSpan w:val="3"/>
          </w:tcPr>
          <w:p>
            <w:pPr>
              <w:jc w:val="right"/>
              <w:ind w:right="64"/>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9,280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right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230,662</w:t>
            </w:r>
          </w:p>
        </w:tc>
        <w:tc>
          <w:tcPr>
            <w:tcW w:w="20" w:type="dxa"/>
            <w:vAlign w:val="bottom"/>
          </w:tcPr>
          <w:p>
            <w:pPr>
              <w:spacing w:after="0"/>
              <w:rPr>
                <w:sz w:val="17"/>
                <w:szCs w:val="17"/>
                <w:color w:val="auto"/>
              </w:rPr>
            </w:pPr>
          </w:p>
        </w:tc>
        <w:tc>
          <w:tcPr>
            <w:tcW w:w="7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163,375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761,777</w:t>
            </w:r>
          </w:p>
        </w:tc>
        <w:tc>
          <w:tcPr>
            <w:tcW w:w="40" w:type="dxa"/>
            <w:vAlign w:val="bottom"/>
          </w:tcPr>
          <w:p>
            <w:pPr>
              <w:spacing w:after="0"/>
              <w:rPr>
                <w:sz w:val="17"/>
                <w:szCs w:val="17"/>
                <w:color w:val="auto"/>
              </w:rPr>
            </w:pPr>
          </w:p>
        </w:tc>
        <w:tc>
          <w:tcPr>
            <w:tcW w:w="580" w:type="dxa"/>
            <w:vAlign w:val="bottom"/>
            <w:gridSpan w:val="3"/>
          </w:tcPr>
          <w:p>
            <w:pPr>
              <w:jc w:val="right"/>
              <w:ind w:right="64"/>
              <w:spacing w:after="0"/>
              <w:rPr>
                <w:sz w:val="20"/>
                <w:szCs w:val="20"/>
                <w:color w:val="auto"/>
              </w:rPr>
            </w:pPr>
            <w:r>
              <w:rPr>
                <w:rFonts w:ascii="Arial" w:cs="Arial" w:eastAsia="Arial" w:hAnsi="Arial"/>
                <w:sz w:val="16"/>
                <w:szCs w:val="16"/>
                <w:color w:val="auto"/>
              </w:rPr>
              <w:t>9.9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533,267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INCOME TAXES</w:t>
            </w: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58,561</w:t>
            </w: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188,692</w:t>
            </w: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gridSpan w:val="3"/>
          </w:tcPr>
          <w:p>
            <w:pPr>
              <w:jc w:val="right"/>
              <w:ind w:right="64"/>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127,909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right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NET EARNINGS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172,101</w:t>
            </w:r>
          </w:p>
        </w:tc>
        <w:tc>
          <w:tcPr>
            <w:tcW w:w="20" w:type="dxa"/>
            <w:vAlign w:val="bottom"/>
          </w:tcPr>
          <w:p>
            <w:pPr>
              <w:spacing w:after="0"/>
              <w:rPr>
                <w:sz w:val="17"/>
                <w:szCs w:val="17"/>
                <w:color w:val="auto"/>
              </w:rPr>
            </w:pPr>
          </w:p>
        </w:tc>
        <w:tc>
          <w:tcPr>
            <w:tcW w:w="7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125,747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573,085</w:t>
            </w:r>
          </w:p>
        </w:tc>
        <w:tc>
          <w:tcPr>
            <w:tcW w:w="40" w:type="dxa"/>
            <w:vAlign w:val="bottom"/>
          </w:tcPr>
          <w:p>
            <w:pPr>
              <w:spacing w:after="0"/>
              <w:rPr>
                <w:sz w:val="17"/>
                <w:szCs w:val="17"/>
                <w:color w:val="auto"/>
              </w:rPr>
            </w:pPr>
          </w:p>
        </w:tc>
        <w:tc>
          <w:tcPr>
            <w:tcW w:w="580" w:type="dxa"/>
            <w:vAlign w:val="bottom"/>
            <w:gridSpan w:val="3"/>
          </w:tcPr>
          <w:p>
            <w:pPr>
              <w:jc w:val="right"/>
              <w:ind w:right="64"/>
              <w:spacing w:after="0"/>
              <w:rPr>
                <w:sz w:val="20"/>
                <w:szCs w:val="20"/>
                <w:color w:val="auto"/>
              </w:rPr>
            </w:pPr>
            <w:r>
              <w:rPr>
                <w:rFonts w:ascii="Arial" w:cs="Arial" w:eastAsia="Arial" w:hAnsi="Arial"/>
                <w:sz w:val="16"/>
                <w:szCs w:val="16"/>
                <w:color w:val="auto"/>
              </w:rPr>
              <w:t>7.4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405,358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180" w:type="dxa"/>
            <w:vAlign w:val="bottom"/>
            <w:gridSpan w:val="3"/>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LESS NET EARNINGS ATTRIBUTABLE TO</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6"/>
                <w:szCs w:val="16"/>
                <w:color w:val="auto"/>
              </w:rPr>
              <w:t>(4,860)</w:t>
            </w:r>
          </w:p>
        </w:tc>
        <w:tc>
          <w:tcPr>
            <w:tcW w:w="72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(4,706)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6"/>
                <w:szCs w:val="16"/>
                <w:color w:val="auto"/>
              </w:rPr>
              <w:t>(13,023)</w:t>
            </w:r>
          </w:p>
        </w:tc>
        <w:tc>
          <w:tcPr>
            <w:tcW w:w="580" w:type="dxa"/>
            <w:vAlign w:val="bottom"/>
            <w:gridSpan w:val="3"/>
          </w:tcPr>
          <w:p>
            <w:pPr>
              <w:jc w:val="right"/>
              <w:ind w:right="4"/>
              <w:spacing w:after="0"/>
              <w:rPr>
                <w:sz w:val="20"/>
                <w:szCs w:val="20"/>
                <w:color w:val="auto"/>
              </w:rPr>
            </w:pPr>
            <w:r>
              <w:rPr>
                <w:rFonts w:ascii="Arial" w:cs="Arial" w:eastAsia="Arial" w:hAnsi="Arial"/>
                <w:sz w:val="16"/>
                <w:szCs w:val="16"/>
                <w:color w:val="auto"/>
              </w:rPr>
              <w:t>(0.2)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6"/>
                <w:szCs w:val="16"/>
                <w:color w:val="auto"/>
              </w:rPr>
              <w:t>(7,624)</w:t>
            </w:r>
          </w:p>
        </w:tc>
        <w:tc>
          <w:tcPr>
            <w:tcW w:w="6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NET EARNINGS ATTRIBUTABLE TO</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167,241</w:t>
            </w:r>
          </w:p>
        </w:tc>
        <w:tc>
          <w:tcPr>
            <w:tcW w:w="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121,041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560,062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397,734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gridSpan w:val="3"/>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right w:val="single" w:sz="8" w:color="auto"/>
            </w:tcBorders>
          </w:tcPr>
          <w:p>
            <w:pPr>
              <w:jc w:val="right"/>
              <w:ind w:right="15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gridSpan w:val="2"/>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gridSpan w:val="4"/>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gridSpan w:val="3"/>
          </w:tcPr>
          <w:p>
            <w:pPr>
              <w:jc w:val="right"/>
              <w:ind w:right="64"/>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right w:val="single" w:sz="8" w:color="auto"/>
            </w:tcBorders>
          </w:tcPr>
          <w:p>
            <w:pPr>
              <w:jc w:val="right"/>
              <w:ind w:right="1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3"/>
              </w:rPr>
              <w:t>8.93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3"/>
              </w:rPr>
              <w:t>8.89</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167,624</w:t>
            </w: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123,723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567,409</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403,858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LESS COMPREHENSIVE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ATTRIBUTABLE TO NONCONTROLLING</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tcBorders>
              <w:lef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6"/>
                <w:szCs w:val="16"/>
                <w:color w:val="auto"/>
              </w:rPr>
              <w:t>(4,273)</w:t>
            </w: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(4,496)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6"/>
                <w:szCs w:val="16"/>
                <w:color w:val="auto"/>
              </w:rPr>
              <w:t>(13,290)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6"/>
                <w:szCs w:val="16"/>
                <w:color w:val="auto"/>
              </w:rPr>
              <w:t>(7,608)</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Borders>
              <w:left w:val="single" w:sz="8" w:color="auto"/>
              <w:right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COMPREHENSIVE INCOME ATTRIBUTABLE TO</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163,351</w:t>
            </w:r>
          </w:p>
        </w:tc>
        <w:tc>
          <w:tcPr>
            <w:tcW w:w="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119,227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554,119</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396,250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gridSpan w:val="3"/>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auto"/>
            </w:tcBorders>
            <w:gridSpan w:val="2"/>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gridSpan w:val="4"/>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right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right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60" w:type="dxa"/>
            <w:vAlign w:val="bottom"/>
            <w:tcBorders>
              <w:left w:val="single" w:sz="8" w:color="auto"/>
            </w:tcBorders>
            <w:gridSpan w:val="4"/>
          </w:tcPr>
          <w:p>
            <w:pPr>
              <w:ind w:left="20"/>
              <w:spacing w:after="0" w:line="155" w:lineRule="exact"/>
              <w:rPr>
                <w:sz w:val="20"/>
                <w:szCs w:val="20"/>
                <w:color w:val="auto"/>
              </w:rPr>
            </w:pPr>
            <w:r>
              <w:rPr>
                <w:rFonts w:ascii="Arial" w:cs="Arial" w:eastAsia="Arial" w:hAnsi="Arial"/>
                <w:sz w:val="16"/>
                <w:szCs w:val="16"/>
                <w:b w:val="1"/>
                <w:bCs w:val="1"/>
                <w:color w:val="auto"/>
              </w:rPr>
              <w:t>SUPPLEMENTAL DATA</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w w:val="92"/>
              </w:rPr>
              <w:t>Quarter Period</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6"/>
                <w:szCs w:val="16"/>
                <w:b w:val="1"/>
                <w:bCs w:val="1"/>
                <w:color w:val="auto"/>
                <w:w w:val="96"/>
              </w:rPr>
              <w:t>Year to Date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00" w:type="dxa"/>
            <w:vAlign w:val="bottom"/>
            <w:tcBorders>
              <w:left w:val="single" w:sz="8" w:color="auto"/>
              <w:right w:val="single" w:sz="8" w:color="auto"/>
            </w:tcBorders>
            <w:gridSpan w:val="3"/>
          </w:tcPr>
          <w:p>
            <w:pPr>
              <w:ind w:left="20"/>
              <w:spacing w:after="0" w:line="155" w:lineRule="exact"/>
              <w:rPr>
                <w:sz w:val="20"/>
                <w:szCs w:val="20"/>
                <w:color w:val="auto"/>
              </w:rPr>
            </w:pPr>
            <w:r>
              <w:rPr>
                <w:rFonts w:ascii="Arial" w:cs="Arial" w:eastAsia="Arial" w:hAnsi="Arial"/>
                <w:sz w:val="16"/>
                <w:szCs w:val="16"/>
                <w:b w:val="1"/>
                <w:bCs w:val="1"/>
                <w:color w:val="auto"/>
              </w:rPr>
              <w:t>Segment Classification</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299"/>
              <w:spacing w:after="0" w:line="155" w:lineRule="exact"/>
              <w:rPr>
                <w:sz w:val="20"/>
                <w:szCs w:val="20"/>
                <w:color w:val="auto"/>
              </w:rPr>
            </w:pPr>
            <w:r>
              <w:rPr>
                <w:rFonts w:ascii="Arial" w:cs="Arial" w:eastAsia="Arial" w:hAnsi="Arial"/>
                <w:sz w:val="16"/>
                <w:szCs w:val="16"/>
                <w:b w:val="1"/>
                <w:bCs w:val="1"/>
                <w:color w:val="auto"/>
                <w:w w:val="89"/>
              </w:rPr>
              <w:t>2021</w:t>
            </w:r>
          </w:p>
        </w:tc>
        <w:tc>
          <w:tcPr>
            <w:tcW w:w="40" w:type="dxa"/>
            <w:vAlign w:val="bottom"/>
          </w:tcPr>
          <w:p>
            <w:pPr>
              <w:spacing w:after="0"/>
              <w:rPr>
                <w:sz w:val="13"/>
                <w:szCs w:val="13"/>
                <w:color w:val="auto"/>
              </w:rPr>
            </w:pPr>
          </w:p>
        </w:tc>
        <w:tc>
          <w:tcPr>
            <w:tcW w:w="760" w:type="dxa"/>
            <w:vAlign w:val="bottom"/>
            <w:tcBorders>
              <w:right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w w:val="93"/>
              </w:rPr>
              <w:t>% change</w:t>
            </w:r>
          </w:p>
        </w:tc>
        <w:tc>
          <w:tcPr>
            <w:tcW w:w="1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right"/>
              <w:ind w:right="179"/>
              <w:spacing w:after="0" w:line="155" w:lineRule="exact"/>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ind w:left="140"/>
              <w:spacing w:after="0" w:line="155"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3"/>
                <w:szCs w:val="13"/>
                <w:color w:val="auto"/>
              </w:rPr>
            </w:pPr>
          </w:p>
        </w:tc>
        <w:tc>
          <w:tcPr>
            <w:tcW w:w="760" w:type="dxa"/>
            <w:vAlign w:val="bottom"/>
            <w:tcBorders>
              <w:right w:val="single" w:sz="8" w:color="auto"/>
            </w:tcBorders>
            <w:gridSpan w:val="3"/>
          </w:tcPr>
          <w:p>
            <w:pPr>
              <w:jc w:val="right"/>
              <w:spacing w:after="0" w:line="155" w:lineRule="exact"/>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0"/>
        </w:trPr>
        <w:tc>
          <w:tcPr>
            <w:tcW w:w="1600" w:type="dxa"/>
            <w:vAlign w:val="bottom"/>
            <w:tcBorders>
              <w:top w:val="single" w:sz="8" w:color="auto"/>
              <w:left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right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Retail</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845,304</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696,201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2"/>
              </w:rPr>
              <w:t>2,959,976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2,714,440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Industrial</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584,808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573,234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2"/>
              </w:rPr>
              <w:t>1,872,510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w w:val="98"/>
              </w:rPr>
              <w:t>1,633,289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Construction</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777,126</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722,872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2"/>
              </w:rPr>
              <w:t>2,538,973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2,021,106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All Other</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101,477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341,583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250,494</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2,322,855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auto"/>
              <w:right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w w:val="96"/>
              </w:rPr>
              <w:t>$  2,093,784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2"/>
              </w:rPr>
              <w:t>7,713,042</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8"/>
              </w:rPr>
              <w:t>6,619,329</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Borders>
              <w:lef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w:t>
            </w:r>
          </w:p>
        </w:tc>
        <w:tc>
          <w:tcPr>
            <w:tcW w:w="7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5"/>
            <w:shd w:val="clear" w:color="auto" w:fill="CCEEFF"/>
          </w:tcPr>
          <w:p>
            <w:pPr>
              <w:jc w:val="right"/>
              <w:ind w:right="284"/>
              <w:spacing w:after="0"/>
              <w:rPr>
                <w:sz w:val="20"/>
                <w:szCs w:val="20"/>
                <w:color w:val="auto"/>
              </w:rPr>
            </w:pPr>
            <w:r>
              <w:rPr>
                <w:rFonts w:ascii="Arial" w:cs="Arial" w:eastAsia="Arial" w:hAnsi="Arial"/>
                <w:sz w:val="16"/>
                <w:szCs w:val="16"/>
                <w:b w:val="1"/>
                <w:bCs w:val="1"/>
                <w:color w:val="auto"/>
              </w:rPr>
              <w:t>% of</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Sales</w:t>
            </w:r>
          </w:p>
        </w:tc>
        <w:tc>
          <w:tcPr>
            <w:tcW w:w="720" w:type="dxa"/>
            <w:vAlign w:val="bottom"/>
            <w:tcBorders>
              <w:right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of Sales</w:t>
            </w:r>
          </w:p>
        </w:tc>
        <w:tc>
          <w:tcPr>
            <w:tcW w:w="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64"/>
              <w:spacing w:after="0"/>
              <w:rPr>
                <w:sz w:val="20"/>
                <w:szCs w:val="20"/>
                <w:color w:val="auto"/>
              </w:rPr>
            </w:pPr>
            <w:r>
              <w:rPr>
                <w:rFonts w:ascii="Arial" w:cs="Arial" w:eastAsia="Arial" w:hAnsi="Arial"/>
                <w:sz w:val="16"/>
                <w:szCs w:val="16"/>
                <w:b w:val="1"/>
                <w:bCs w:val="1"/>
                <w:color w:val="auto"/>
                <w:w w:val="95"/>
              </w:rPr>
              <w:t>Sales</w:t>
            </w:r>
          </w:p>
        </w:tc>
        <w:tc>
          <w:tcPr>
            <w:tcW w:w="760" w:type="dxa"/>
            <w:vAlign w:val="bottom"/>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2021</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of Sales</w:t>
            </w:r>
          </w:p>
        </w:tc>
        <w:tc>
          <w:tcPr>
            <w:tcW w:w="0" w:type="dxa"/>
            <w:vAlign w:val="bottom"/>
          </w:tcPr>
          <w:p>
            <w:pPr>
              <w:spacing w:after="0"/>
              <w:rPr>
                <w:sz w:val="1"/>
                <w:szCs w:val="1"/>
                <w:color w:val="auto"/>
              </w:rPr>
            </w:pPr>
          </w:p>
        </w:tc>
      </w:tr>
      <w:tr>
        <w:trPr>
          <w:trHeight w:val="196"/>
        </w:trPr>
        <w:tc>
          <w:tcPr>
            <w:tcW w:w="260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SG&amp;A</w:t>
            </w:r>
          </w:p>
        </w:tc>
        <w:tc>
          <w:tcPr>
            <w:tcW w:w="2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214,327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6"/>
                <w:szCs w:val="16"/>
                <w:color w:val="auto"/>
                <w:w w:val="98"/>
              </w:rPr>
              <w:t>9.2%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169,467</w:t>
            </w: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649,015</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CCEEFF"/>
            </w:tcBorders>
            <w:gridSpan w:val="3"/>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504,104</w:t>
            </w:r>
          </w:p>
        </w:tc>
        <w:tc>
          <w:tcPr>
            <w:tcW w:w="1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9"/>
        </w:trPr>
        <w:tc>
          <w:tcPr>
            <w:tcW w:w="2600" w:type="dxa"/>
            <w:vAlign w:val="bottom"/>
            <w:tcBorders>
              <w:left w:val="single" w:sz="8" w:color="auto"/>
              <w:right w:val="single" w:sz="8" w:color="auto"/>
            </w:tcBorders>
            <w:gridSpan w:val="3"/>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SG&amp;A as a Percentage of Gross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0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Profit</w:t>
            </w: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1"/>
        </w:trPr>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ind w:left="840" w:right="1280"/>
        <w:spacing w:after="0" w:line="275" w:lineRule="auto"/>
        <w:rPr>
          <w:sz w:val="20"/>
          <w:szCs w:val="20"/>
          <w:color w:val="auto"/>
        </w:rPr>
      </w:pPr>
      <w:r>
        <w:rPr>
          <w:rFonts w:ascii="Arial" w:cs="Arial" w:eastAsia="Arial" w:hAnsi="Arial"/>
          <w:sz w:val="18"/>
          <w:szCs w:val="18"/>
          <w:b w:val="1"/>
          <w:bCs w:val="1"/>
          <w:color w:val="auto"/>
        </w:rPr>
        <w:t>CONDENSED CONSOLIDATED STATEMENTS OF EARNINGS BY SEGMENT (UNAUDITED) FOR THE THREE AND NINE MONTHS ENDED SEPTEMBER 2022/2021</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Quarter Period</w:t>
            </w: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2022</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4"/>
                <w:szCs w:val="14"/>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845,304</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584,808</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777,126</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112,203</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3,414</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2,322,855</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767,841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1,872,679</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48,435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66,521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16,752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(6,836)</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214,327</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28,932</w:t>
            </w:r>
          </w:p>
        </w:tc>
        <w:tc>
          <w:tcPr>
            <w:tcW w:w="2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77,298</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110,384</w:t>
            </w: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13,705</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6,725</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237,044</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Quarter Period</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2021</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2"/>
                <w:szCs w:val="12"/>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722,872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2,093,784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685,369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446,822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1,766,229</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36,899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70,663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15,996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(9,814)</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169,467</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(8,927)</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EARNINGS FROM</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tcBorders>
              <w:left w:val="single" w:sz="8" w:color="auto"/>
              <w:right w:val="single" w:sz="8" w:color="auto"/>
            </w:tcBorders>
            <w:vMerge w:val="continue"/>
          </w:tcPr>
          <w:p>
            <w:pPr>
              <w:spacing w:after="0"/>
              <w:rPr>
                <w:sz w:val="14"/>
                <w:szCs w:val="14"/>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(26,153)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70,408</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84,205</w:t>
            </w:r>
          </w:p>
        </w:tc>
        <w:tc>
          <w:tcPr>
            <w:tcW w:w="4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20,283</w:t>
            </w:r>
          </w:p>
        </w:tc>
        <w:tc>
          <w:tcPr>
            <w:tcW w:w="200" w:type="dxa"/>
            <w:vAlign w:val="bottom"/>
          </w:tcPr>
          <w:p>
            <w:pPr>
              <w:spacing w:after="0"/>
              <w:rPr>
                <w:sz w:val="14"/>
                <w:szCs w:val="14"/>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19,382</w:t>
            </w:r>
          </w:p>
        </w:tc>
        <w:tc>
          <w:tcPr>
            <w:tcW w:w="200" w:type="dxa"/>
            <w:vAlign w:val="bottom"/>
          </w:tcPr>
          <w:p>
            <w:pPr>
              <w:spacing w:after="0"/>
              <w:rPr>
                <w:sz w:val="14"/>
                <w:szCs w:val="14"/>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168,125</w:t>
            </w: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Year to Date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2022</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4"/>
                <w:szCs w:val="14"/>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2,959,976</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1,872,510</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2,538,973</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332,186</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9,397</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7,713,042</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2,674,996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1,950,671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6,281,051</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1,431,991</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159,490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200,987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266,430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49,733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(27,625)</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649,015</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124,856</w:t>
            </w:r>
          </w:p>
        </w:tc>
        <w:tc>
          <w:tcPr>
            <w:tcW w:w="2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253,899</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322,034</w:t>
            </w: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51,268</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29,578</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781,635</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Year to Date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83"/>
              </w:rPr>
              <w:t>2021</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2"/>
                <w:szCs w:val="12"/>
                <w:color w:val="auto"/>
              </w:rPr>
            </w:pPr>
          </w:p>
        </w:tc>
        <w:tc>
          <w:tcPr>
            <w:tcW w:w="10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Construction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1,633,289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2,021,106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243,736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6,619,329</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2,480,804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1,292,102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5,583,926</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1,035,403</w:t>
            </w:r>
          </w:p>
        </w:tc>
        <w:tc>
          <w:tcPr>
            <w:tcW w:w="0" w:type="dxa"/>
            <w:vAlign w:val="bottom"/>
          </w:tcPr>
          <w:p>
            <w:pPr>
              <w:spacing w:after="0"/>
              <w:rPr>
                <w:sz w:val="1"/>
                <w:szCs w:val="1"/>
                <w:color w:val="auto"/>
              </w:rPr>
            </w:pPr>
          </w:p>
        </w:tc>
      </w:tr>
      <w:tr>
        <w:trPr>
          <w:trHeight w:val="189"/>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ADMINISTRATIVE</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144,375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150,739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193,144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40,021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(24,175)</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504,104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(9,030)</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EARNINGS FROM</w:t>
            </w: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89,443</w:t>
            </w:r>
          </w:p>
        </w:tc>
        <w:tc>
          <w:tcPr>
            <w:tcW w:w="2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190,344</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184,330</w:t>
            </w: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44,565</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33,865</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542,547</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6"/>
        </w:trPr>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2022/2021</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99"/>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455,743</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138,637</w:t>
            </w:r>
          </w:p>
        </w:tc>
        <w:tc>
          <w:tcPr>
            <w:tcW w:w="180" w:type="dxa"/>
            <w:vAlign w:val="bottom"/>
            <w:tcBorders>
              <w:right w:val="single" w:sz="8" w:color="auto"/>
            </w:tcBorders>
            <w:shd w:val="clear" w:color="auto" w:fill="CCEEFF"/>
          </w:tcPr>
          <w:p>
            <w:pPr>
              <w:spacing w:after="0"/>
              <w:rPr>
                <w:sz w:val="19"/>
                <w:szCs w:val="19"/>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Cash Overdraft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4,174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10,812</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729</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17,592</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327,459</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292,933</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33,113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33,723</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Accrued liabilities and other</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434,045</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361,832</w:t>
            </w: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right w:val="single" w:sz="8" w:color="auto"/>
            </w:tcBorders>
          </w:tcPr>
          <w:p>
            <w:pPr>
              <w:jc w:val="right"/>
              <w:ind w:right="179"/>
              <w:spacing w:after="0"/>
              <w:rPr>
                <w:sz w:val="20"/>
                <w:szCs w:val="20"/>
                <w:color w:val="auto"/>
              </w:rPr>
            </w:pPr>
            <w:r>
              <w:rPr>
                <w:rFonts w:ascii="Arial" w:cs="Arial" w:eastAsia="Arial" w:hAnsi="Arial"/>
                <w:sz w:val="16"/>
                <w:szCs w:val="16"/>
                <w:color w:val="auto"/>
              </w:rPr>
              <w:t>880,581</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rPr>
              <w:t>783,959</w:t>
            </w:r>
          </w:p>
        </w:tc>
        <w:tc>
          <w:tcPr>
            <w:tcW w:w="180" w:type="dxa"/>
            <w:vAlign w:val="bottom"/>
            <w:tcBorders>
              <w:bottom w:val="single" w:sz="8" w:color="CCEEFF"/>
              <w:right w:val="single" w:sz="8" w:color="auto"/>
            </w:tcBorders>
          </w:tcPr>
          <w:p>
            <w:pPr>
              <w:spacing w:after="0"/>
              <w:rPr>
                <w:sz w:val="18"/>
                <w:szCs w:val="18"/>
                <w:color w:val="auto"/>
              </w:rPr>
            </w:pPr>
          </w:p>
        </w:tc>
        <w:tc>
          <w:tcPr>
            <w:tcW w:w="2760" w:type="dxa"/>
            <w:vAlign w:val="bottom"/>
            <w:tcBorders>
              <w:bottom w:val="single" w:sz="8" w:color="CCEEFF"/>
              <w:right w:val="single" w:sz="8" w:color="auto"/>
            </w:tcBorders>
          </w:tcPr>
          <w:p>
            <w:pPr>
              <w:ind w:left="220"/>
              <w:spacing w:after="0"/>
              <w:rPr>
                <w:sz w:val="20"/>
                <w:szCs w:val="20"/>
                <w:color w:val="auto"/>
              </w:rPr>
            </w:pPr>
            <w:r>
              <w:rPr>
                <w:rFonts w:ascii="Arial" w:cs="Arial" w:eastAsia="Arial" w:hAnsi="Arial"/>
                <w:sz w:val="16"/>
                <w:szCs w:val="16"/>
                <w:color w:val="auto"/>
              </w:rPr>
              <w:t>Current portion of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41,536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1,009,358</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900,665</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71,420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48,174</w:t>
            </w:r>
          </w:p>
        </w:tc>
        <w:tc>
          <w:tcPr>
            <w:tcW w:w="180" w:type="dxa"/>
            <w:vAlign w:val="bottom"/>
            <w:tcBorders>
              <w:bottom w:val="single" w:sz="8" w:color="CCEEFF"/>
              <w:right w:val="single" w:sz="8" w:color="auto"/>
            </w:tcBorders>
          </w:tcPr>
          <w:p>
            <w:pPr>
              <w:spacing w:after="0"/>
              <w:rPr>
                <w:sz w:val="17"/>
                <w:szCs w:val="17"/>
                <w:color w:val="auto"/>
              </w:rPr>
            </w:pPr>
          </w:p>
        </w:tc>
        <w:tc>
          <w:tcPr>
            <w:tcW w:w="27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2,450,944</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1,922,750</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807,214</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665,670</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LONG-TERM DEBT AND</w:t>
            </w: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150,826</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144,904</w:t>
            </w:r>
          </w:p>
        </w:tc>
        <w:tc>
          <w:tcPr>
            <w:tcW w:w="18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FINANCE LEASE OBLIGATIONS</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275,417</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310,119</w:t>
            </w:r>
          </w:p>
        </w:tc>
        <w:tc>
          <w:tcPr>
            <w:tcW w:w="0" w:type="dxa"/>
            <w:vAlign w:val="bottom"/>
          </w:tcPr>
          <w:p>
            <w:pPr>
              <w:spacing w:after="0"/>
              <w:rPr>
                <w:sz w:val="1"/>
                <w:szCs w:val="1"/>
                <w:color w:val="auto"/>
              </w:rPr>
            </w:pPr>
          </w:p>
        </w:tc>
      </w:tr>
      <w:tr>
        <w:trPr>
          <w:trHeight w:val="205"/>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 NET</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502,311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393,682</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183,967</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160,984</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TEMPORARY EQUITY</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72,454</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w:t>
            </w: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703,161</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552,911</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2,468,190</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1,877,474</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3,807,242</w:t>
            </w: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3,014,247</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 LIABILITIES AND</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3,807,242</w:t>
            </w: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3,014,247</w:t>
            </w:r>
          </w:p>
        </w:tc>
        <w:tc>
          <w:tcPr>
            <w:tcW w:w="0" w:type="dxa"/>
            <w:vAlign w:val="bottom"/>
          </w:tcPr>
          <w:p>
            <w:pPr>
              <w:spacing w:after="0"/>
              <w:rPr>
                <w:sz w:val="1"/>
                <w:szCs w:val="1"/>
                <w:color w:val="auto"/>
              </w:rPr>
            </w:pPr>
          </w:p>
        </w:tc>
      </w:tr>
      <w:tr>
        <w:trPr>
          <w:trHeight w:val="243"/>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3" w:right="8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2022/2021</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573,085</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405,358</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68,881</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61,741</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13,448</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9,369</w:t>
            </w:r>
          </w:p>
        </w:tc>
      </w:tr>
      <w:tr>
        <w:trPr>
          <w:trHeight w:val="202"/>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Expense associated with share-based and grant compensation arrangements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19,979</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8,444</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taxes (credit)</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(269)</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Unrealized loss (gain) on investment and other</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8,453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(1,756)</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Equity in earnings of investee</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2,740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2,411</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Net loss (gain) on sale and disposition of assets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352</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(10,482)</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Changes in:</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(138,200)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(141,088)</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(35,956)</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(204,144)</w:t>
            </w: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Accounts payable and cash overdraft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(11,239)</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53,437</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Accrued liabilities and other</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33,871</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99,067</w:t>
            </w:r>
          </w:p>
        </w:tc>
      </w:tr>
      <w:tr>
        <w:trPr>
          <w:trHeight w:val="196"/>
        </w:trPr>
        <w:tc>
          <w:tcPr>
            <w:tcW w:w="722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535,145</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281,763</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(114,497)</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(110,092)</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2,303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26,597</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Acquisitions and purchase of noncontrolling interest, net of cash received</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(101,030)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(433,275)</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(16,925)</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(17,866)</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10,036</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9,857</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2,010</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(3,478)</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(218,103)</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(528,257)</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Borrowings under revolving credit facilities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570,700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886,966</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Repayments under revolving credit facilities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(571,075)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(888,335)</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Repayments of debt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(1,957)</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payments and other</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(2,564)</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2,110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1,519</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Dividends paid to shareholders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(43,420)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(27,831)</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(12,024)</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(2,914)</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(93,215)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(209)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(151,654)</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(33,593)</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(139)</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165,249</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(280,379)</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291,223</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436,608</w:t>
            </w:r>
          </w:p>
        </w:tc>
      </w:tr>
      <w:tr>
        <w:trPr>
          <w:trHeight w:val="196"/>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4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END OF PERIOD</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456,472</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156,229</w:t>
            </w:r>
          </w:p>
        </w:tc>
      </w:tr>
      <w:tr>
        <w:trPr>
          <w:trHeight w:val="183"/>
        </w:trPr>
        <w:tc>
          <w:tcPr>
            <w:tcW w:w="7220" w:type="dxa"/>
            <w:vAlign w:val="bottom"/>
            <w:tcBorders>
              <w:left w:val="single" w:sz="8" w:color="auto"/>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2"/>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286,662</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436,507</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4,561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r>
      <w:tr>
        <w:trPr>
          <w:trHeight w:val="19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beginning of period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291,223</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436,608</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455,743</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138,637</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end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729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17,592</w:t>
            </w:r>
          </w:p>
        </w:tc>
      </w:tr>
      <w:tr>
        <w:trPr>
          <w:trHeight w:val="196"/>
        </w:trPr>
        <w:tc>
          <w:tcPr>
            <w:tcW w:w="722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end of period</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456,472</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156,229</w:t>
            </w:r>
          </w:p>
        </w:tc>
      </w:tr>
      <w:tr>
        <w:trPr>
          <w:trHeight w:val="20"/>
        </w:trPr>
        <w:tc>
          <w:tcPr>
            <w:tcW w:w="7220" w:type="dxa"/>
            <w:vAlign w:val="bottom"/>
            <w:tcBorders>
              <w:lef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722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188"/>
        </w:trPr>
        <w:tc>
          <w:tcPr>
            <w:tcW w:w="7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3" w:right="8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RECONCILIATION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2022/2021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560" w:type="dxa"/>
            <w:vAlign w:val="bottom"/>
            <w:tcBorders>
              <w:top w:val="single" w:sz="8" w:color="auto"/>
              <w:left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4"/>
          </w:tcPr>
          <w:p>
            <w:pPr>
              <w:jc w:val="right"/>
              <w:ind w:right="491"/>
              <w:spacing w:after="0"/>
              <w:rPr>
                <w:sz w:val="20"/>
                <w:szCs w:val="20"/>
                <w:color w:val="auto"/>
              </w:rPr>
            </w:pPr>
            <w:r>
              <w:rPr>
                <w:rFonts w:ascii="Arial" w:cs="Arial" w:eastAsia="Arial" w:hAnsi="Arial"/>
                <w:sz w:val="18"/>
                <w:szCs w:val="18"/>
                <w:b w:val="1"/>
                <w:bCs w:val="1"/>
                <w:color w:val="auto"/>
              </w:rPr>
              <w:t>Quarter Period</w:t>
            </w:r>
          </w:p>
        </w:tc>
        <w:tc>
          <w:tcPr>
            <w:tcW w:w="26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4"/>
          </w:tcPr>
          <w:p>
            <w:pPr>
              <w:jc w:val="right"/>
              <w:ind w:right="611"/>
              <w:spacing w:after="0"/>
              <w:rPr>
                <w:sz w:val="20"/>
                <w:szCs w:val="20"/>
                <w:color w:val="auto"/>
              </w:rPr>
            </w:pPr>
            <w:r>
              <w:rPr>
                <w:rFonts w:ascii="Arial" w:cs="Arial" w:eastAsia="Arial" w:hAnsi="Arial"/>
                <w:sz w:val="18"/>
                <w:szCs w:val="18"/>
                <w:b w:val="1"/>
                <w:bCs w:val="1"/>
                <w:color w:val="auto"/>
              </w:rPr>
              <w:t>Year to Date</w:t>
            </w:r>
          </w:p>
        </w:tc>
      </w:tr>
      <w:tr>
        <w:trPr>
          <w:trHeight w:val="210"/>
        </w:trPr>
        <w:tc>
          <w:tcPr>
            <w:tcW w:w="55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r>
      <w:tr>
        <w:trPr>
          <w:trHeight w:val="210"/>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405,358</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10,483</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and investment income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37,628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188,692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127,909</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Expenses associated with share-based compensation arrangements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(gain) loss on disposition and impairment of assets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(10,482)</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16"/>
        </w:trPr>
        <w:tc>
          <w:tcPr>
            <w:tcW w:w="5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Unrealized loss (gain) on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16"/>
        </w:trPr>
        <w:tc>
          <w:tcPr>
            <w:tcW w:w="55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61,741</w:t>
            </w:r>
          </w:p>
        </w:tc>
      </w:tr>
      <w:tr>
        <w:trPr>
          <w:trHeight w:val="216"/>
        </w:trPr>
        <w:tc>
          <w:tcPr>
            <w:tcW w:w="55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9,369</w:t>
            </w:r>
          </w:p>
        </w:tc>
      </w:tr>
      <w:tr>
        <w:trPr>
          <w:trHeight w:val="210"/>
        </w:trPr>
        <w:tc>
          <w:tcPr>
            <w:tcW w:w="556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273,622</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187,496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884,295</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611,618</w:t>
            </w:r>
          </w:p>
        </w:tc>
      </w:tr>
      <w:tr>
        <w:trPr>
          <w:trHeight w:val="20"/>
        </w:trPr>
        <w:tc>
          <w:tcPr>
            <w:tcW w:w="5560" w:type="dxa"/>
            <w:vAlign w:val="bottom"/>
            <w:tcBorders>
              <w:lef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556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6"/>
        </w:trPr>
        <w:tc>
          <w:tcPr>
            <w:tcW w:w="55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756"/>
        </w:trPr>
        <w:tc>
          <w:tcPr>
            <w:tcW w:w="5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51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2022-10-20T15:19:47Z</dcterms:created>
  <dcterms:modified xsi:type="dcterms:W3CDTF">2022-10-20T15:19:47Z</dcterms:modified>
</cp:coreProperties>
</file>