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542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42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Benton Patrick M.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Pres, UFP Construction, LLC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2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02/27/2023</w:t>
            </w:r>
          </w:p>
        </w:tc>
        <w:tc>
          <w:tcPr>
            <w:tcW w:w="8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25,795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86.13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135,739</w:t>
            </w:r>
          </w:p>
        </w:tc>
        <w:tc>
          <w:tcPr>
            <w:tcW w:w="94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39,071</w:t>
            </w:r>
          </w:p>
        </w:tc>
        <w:tc>
          <w:tcPr>
            <w:tcW w:w="94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401k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15,492</w:t>
            </w:r>
          </w:p>
        </w:tc>
        <w:tc>
          <w:tcPr>
            <w:tcW w:w="94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grant of shares of restricted stock. The shares vest on the fifth anniversary of the grant date, subject to earlier vesting upon death, disability or retirement.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Katherine L. Karel,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67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Patrick</w:t>
        <w:tab/>
        <w:t>02/28/2023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M. Benton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705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13100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2023-02-28T16:59:22Z</dcterms:created>
  <dcterms:modified xsi:type="dcterms:W3CDTF">2023-02-28T16:59:22Z</dcterms:modified>
</cp:coreProperties>
</file>