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ind w:left="3860"/>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ind w:left="2140"/>
        <w:spacing w:after="0"/>
        <w:rPr>
          <w:sz w:val="20"/>
          <w:szCs w:val="20"/>
          <w:color w:val="auto"/>
        </w:rPr>
      </w:pPr>
      <w:r>
        <w:rPr>
          <w:rFonts w:ascii="Arial" w:cs="Arial" w:eastAsia="Arial" w:hAnsi="Arial"/>
          <w:sz w:val="18"/>
          <w:szCs w:val="18"/>
          <w:b w:val="1"/>
          <w:bCs w:val="1"/>
          <w:color w:val="auto"/>
        </w:rPr>
        <w:t>Date of Report (Date of earliest event reported): February 4, 2009</w:t>
      </w:r>
    </w:p>
    <w:p>
      <w:pPr>
        <w:spacing w:after="0" w:line="200" w:lineRule="exact"/>
        <w:rPr>
          <w:sz w:val="24"/>
          <w:szCs w:val="24"/>
          <w:color w:val="auto"/>
        </w:rPr>
      </w:pPr>
    </w:p>
    <w:p>
      <w:pPr>
        <w:spacing w:after="0" w:line="21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2"/>
              </w:rPr>
              <w:t>Michigan</w:t>
            </w:r>
          </w:p>
        </w:tc>
        <w:tc>
          <w:tcPr>
            <w:tcW w:w="2740" w:type="dxa"/>
            <w:vAlign w:val="bottom"/>
            <w:gridSpan w:val="3"/>
          </w:tcPr>
          <w:p>
            <w:pPr>
              <w:jc w:val="right"/>
              <w:ind w:right="1260"/>
              <w:spacing w:after="0"/>
              <w:rPr>
                <w:sz w:val="20"/>
                <w:szCs w:val="20"/>
                <w:color w:val="auto"/>
              </w:rPr>
            </w:pPr>
            <w:r>
              <w:rPr>
                <w:rFonts w:ascii="Arial" w:cs="Arial" w:eastAsia="Arial" w:hAnsi="Arial"/>
                <w:sz w:val="18"/>
                <w:szCs w:val="18"/>
                <w:b w:val="1"/>
                <w:bCs w:val="1"/>
                <w:color w:val="auto"/>
              </w:rPr>
              <w:t>0-22684</w:t>
            </w:r>
          </w:p>
        </w:tc>
        <w:tc>
          <w:tcPr>
            <w:tcW w:w="312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38-1465835</w:t>
            </w:r>
          </w:p>
        </w:tc>
      </w:tr>
      <w:tr>
        <w:trPr>
          <w:trHeight w:val="195"/>
        </w:trPr>
        <w:tc>
          <w:tcPr>
            <w:tcW w:w="3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740" w:type="dxa"/>
            <w:vAlign w:val="bottom"/>
            <w:tcBorders>
              <w:top w:val="single" w:sz="8" w:color="auto"/>
            </w:tcBorders>
            <w:gridSpan w:val="3"/>
          </w:tcPr>
          <w:p>
            <w:pPr>
              <w:jc w:val="center"/>
              <w:ind w:right="360"/>
              <w:spacing w:after="0" w:line="195" w:lineRule="exact"/>
              <w:rPr>
                <w:sz w:val="20"/>
                <w:szCs w:val="20"/>
                <w:color w:val="auto"/>
              </w:rPr>
            </w:pPr>
            <w:r>
              <w:rPr>
                <w:rFonts w:ascii="Arial" w:cs="Arial" w:eastAsia="Arial" w:hAnsi="Arial"/>
                <w:sz w:val="18"/>
                <w:szCs w:val="18"/>
                <w:color w:val="auto"/>
                <w:w w:val="92"/>
              </w:rPr>
              <w:t>(Commission File Number)</w:t>
            </w:r>
          </w:p>
        </w:tc>
        <w:tc>
          <w:tcPr>
            <w:tcW w:w="8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460" w:type="dxa"/>
            <w:vAlign w:val="bottom"/>
            <w:gridSpan w:val="3"/>
          </w:tcPr>
          <w:p>
            <w:pPr>
              <w:jc w:val="center"/>
              <w:ind w:right="460"/>
              <w:spacing w:after="0"/>
              <w:rPr>
                <w:sz w:val="20"/>
                <w:szCs w:val="20"/>
                <w:color w:val="auto"/>
              </w:rPr>
            </w:pPr>
            <w:r>
              <w:rPr>
                <w:rFonts w:ascii="Arial" w:cs="Arial" w:eastAsia="Arial" w:hAnsi="Arial"/>
                <w:sz w:val="18"/>
                <w:szCs w:val="18"/>
                <w:color w:val="auto"/>
                <w:w w:val="93"/>
              </w:rPr>
              <w:t>Incorporation)</w:t>
            </w: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14"/>
        </w:trPr>
        <w:tc>
          <w:tcPr>
            <w:tcW w:w="346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91"/>
              </w:rPr>
              <w:t>2801 East Beltline, NE</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4"/>
        </w:trPr>
        <w:tc>
          <w:tcPr>
            <w:tcW w:w="3460" w:type="dxa"/>
            <w:vAlign w:val="bottom"/>
            <w:tcBorders>
              <w:bottom w:val="single" w:sz="8" w:color="auto"/>
            </w:tcBorders>
            <w:gridSpan w:val="3"/>
          </w:tcPr>
          <w:p>
            <w:pPr>
              <w:jc w:val="center"/>
              <w:ind w:left="1050"/>
              <w:spacing w:after="0"/>
              <w:rPr>
                <w:sz w:val="20"/>
                <w:szCs w:val="20"/>
                <w:color w:val="auto"/>
              </w:rPr>
            </w:pPr>
            <w:r>
              <w:rPr>
                <w:rFonts w:ascii="Arial" w:cs="Arial" w:eastAsia="Arial" w:hAnsi="Arial"/>
                <w:sz w:val="18"/>
                <w:szCs w:val="18"/>
                <w:b w:val="1"/>
                <w:bCs w:val="1"/>
                <w:color w:val="auto"/>
                <w:w w:val="93"/>
              </w:rPr>
              <w:t>Grand Rapids, Michigan</w:t>
            </w:r>
          </w:p>
        </w:tc>
        <w:tc>
          <w:tcPr>
            <w:tcW w:w="1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right"/>
              <w:ind w:right="1990"/>
              <w:spacing w:after="0"/>
              <w:rPr>
                <w:sz w:val="20"/>
                <w:szCs w:val="20"/>
                <w:color w:val="auto"/>
              </w:rPr>
            </w:pPr>
            <w:r>
              <w:rPr>
                <w:rFonts w:ascii="Arial" w:cs="Arial" w:eastAsia="Arial" w:hAnsi="Arial"/>
                <w:sz w:val="18"/>
                <w:szCs w:val="18"/>
                <w:b w:val="1"/>
                <w:bCs w:val="1"/>
                <w:color w:val="auto"/>
              </w:rPr>
              <w:t>49525</w:t>
            </w:r>
          </w:p>
        </w:tc>
      </w:tr>
      <w:tr>
        <w:trPr>
          <w:trHeight w:val="224"/>
        </w:trPr>
        <w:tc>
          <w:tcPr>
            <w:tcW w:w="46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tcPr>
          <w:p>
            <w:pPr>
              <w:jc w:val="center"/>
              <w:ind w:right="1490"/>
              <w:spacing w:after="0"/>
              <w:rPr>
                <w:sz w:val="20"/>
                <w:szCs w:val="20"/>
                <w:color w:val="auto"/>
              </w:rPr>
            </w:pPr>
            <w:r>
              <w:rPr>
                <w:rFonts w:ascii="Arial" w:cs="Arial" w:eastAsia="Arial" w:hAnsi="Arial"/>
                <w:sz w:val="18"/>
                <w:szCs w:val="18"/>
                <w:color w:val="auto"/>
                <w:w w:val="91"/>
              </w:rPr>
              <w:t>(Zip Code)</w:t>
            </w:r>
          </w:p>
        </w:tc>
      </w:tr>
    </w:tbl>
    <w:p>
      <w:pPr>
        <w:spacing w:after="0" w:line="400"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(616) 364-6161</w:t>
      </w:r>
    </w:p>
    <w:p>
      <w:pPr>
        <w:spacing w:after="0" w:line="225"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1555750</wp:posOffset>
            </wp:positionH>
            <wp:positionV relativeFrom="paragraph">
              <wp:posOffset>-130810</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4" w:lineRule="exact"/>
        <w:rPr>
          <w:sz w:val="24"/>
          <w:szCs w:val="24"/>
          <w:color w:val="auto"/>
        </w:rPr>
      </w:pPr>
    </w:p>
    <w:p>
      <w:pPr>
        <w:jc w:val="both"/>
        <w:ind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6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left="740" w:right="1119"/>
        <w:spacing w:after="0" w:line="342" w:lineRule="auto"/>
        <w:rPr>
          <w:sz w:val="20"/>
          <w:szCs w:val="20"/>
          <w:color w:val="auto"/>
        </w:rPr>
      </w:pPr>
      <w:r>
        <w:rPr>
          <w:rFonts w:ascii="Arial" w:cs="Arial" w:eastAsia="Arial" w:hAnsi="Arial"/>
          <w:sz w:val="16"/>
          <w:szCs w:val="16"/>
          <w:color w:val="auto"/>
        </w:rPr>
        <w:t>On February 4, 2009, the Registrant issued a press release announcing its financial results for the year ended December 27, 2008. A copy of the Registrant’s press release is attached as Exhibit 99(a) to this Current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Pro Forma Financial Information, and Exhibits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 Exhibits</w:t>
      </w:r>
    </w:p>
    <w:p>
      <w:pPr>
        <w:spacing w:after="0" w:line="200" w:lineRule="exact"/>
        <w:rPr>
          <w:sz w:val="20"/>
          <w:szCs w:val="20"/>
          <w:color w:val="auto"/>
        </w:rPr>
      </w:pPr>
    </w:p>
    <w:p>
      <w:pPr>
        <w:spacing w:after="0" w:line="214" w:lineRule="exact"/>
        <w:rPr>
          <w:sz w:val="20"/>
          <w:szCs w:val="20"/>
          <w:color w:val="auto"/>
        </w:rPr>
      </w:pPr>
    </w:p>
    <w:p>
      <w:pPr>
        <w:ind w:left="740"/>
        <w:spacing w:after="0"/>
        <w:tabs>
          <w:tab w:leader="none" w:pos="1280" w:val="left"/>
        </w:tabs>
        <w:rPr>
          <w:sz w:val="20"/>
          <w:szCs w:val="20"/>
          <w:color w:val="auto"/>
        </w:rPr>
      </w:pPr>
      <w:r>
        <w:rPr>
          <w:rFonts w:ascii="Arial" w:cs="Arial" w:eastAsia="Arial" w:hAnsi="Arial"/>
          <w:sz w:val="18"/>
          <w:szCs w:val="18"/>
          <w:color w:val="auto"/>
        </w:rPr>
        <w:t>99(a)</w:t>
        <w:tab/>
        <w:t>Press Release dated February 4, 2009.</w:t>
      </w:r>
    </w:p>
    <w:p>
      <w:pPr>
        <w:spacing w:after="0" w:line="18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right="73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UNIVERSAL FOREST PRODUCTS, INC.</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4600" w:val="left"/>
          <w:tab w:leader="none" w:pos="5060" w:val="left"/>
        </w:tabs>
        <w:rPr>
          <w:sz w:val="20"/>
          <w:szCs w:val="20"/>
          <w:color w:val="auto"/>
        </w:rPr>
      </w:pPr>
      <w:r>
        <w:rPr>
          <w:rFonts w:ascii="Arial" w:cs="Arial" w:eastAsia="Arial" w:hAnsi="Arial"/>
          <w:sz w:val="18"/>
          <w:szCs w:val="18"/>
          <w:color w:val="auto"/>
        </w:rPr>
        <w:t>Dated: February 4,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14605</wp:posOffset>
            </wp:positionV>
            <wp:extent cx="28130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Michael R. Cole,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Financial Officer and Treasurer</w:t>
      </w:r>
    </w:p>
    <w:p>
      <w:pPr>
        <w:spacing w:after="0" w:line="17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EXHIBIT INDEX</w:t>
            </w:r>
          </w:p>
        </w:tc>
        <w:tc>
          <w:tcPr>
            <w:tcW w:w="7900" w:type="dxa"/>
            <w:vAlign w:val="bottom"/>
          </w:tcPr>
          <w:p>
            <w:pPr>
              <w:spacing w:after="0"/>
              <w:rPr>
                <w:sz w:val="17"/>
                <w:szCs w:val="17"/>
                <w:color w:val="auto"/>
              </w:rPr>
            </w:pPr>
          </w:p>
        </w:tc>
      </w:tr>
      <w:tr>
        <w:trPr>
          <w:trHeight w:val="642"/>
        </w:trPr>
        <w:tc>
          <w:tcPr>
            <w:tcW w:w="1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Exhibit Number</w:t>
            </w:r>
          </w:p>
        </w:tc>
        <w:tc>
          <w:tcPr>
            <w:tcW w:w="40" w:type="dxa"/>
            <w:vAlign w:val="bottom"/>
          </w:tcPr>
          <w:p>
            <w:pPr>
              <w:spacing w:after="0"/>
              <w:rPr>
                <w:sz w:val="24"/>
                <w:szCs w:val="24"/>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Document</w:t>
            </w:r>
          </w:p>
        </w:tc>
      </w:tr>
      <w:tr>
        <w:trPr>
          <w:trHeight w:val="224"/>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99(a)</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February 4, 2009.</w:t>
            </w:r>
          </w:p>
        </w:tc>
      </w:tr>
    </w:tbl>
    <w:p>
      <w:pPr>
        <w:spacing w:after="0" w:line="16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879"/>
          </w:cols>
          <w:pgMar w:left="580" w:top="918" w:right="1440" w:bottom="1440" w:gutter="0" w:footer="0" w:header="0"/>
        </w:sectPr>
      </w:pPr>
    </w:p>
    <w:bookmarkStart w:id="4" w:name="page5"/>
    <w:bookmarkEnd w:id="4"/>
    <w:p>
      <w:pPr>
        <w:jc w:val="right"/>
        <w:ind w:right="559"/>
        <w:spacing w:after="0"/>
        <w:rPr>
          <w:sz w:val="20"/>
          <w:szCs w:val="20"/>
          <w:color w:val="auto"/>
        </w:rPr>
      </w:pPr>
      <w:r>
        <w:rPr>
          <w:rFonts w:ascii="Arial" w:cs="Arial" w:eastAsia="Arial" w:hAnsi="Arial"/>
          <w:sz w:val="18"/>
          <w:szCs w:val="18"/>
          <w:color w:val="auto"/>
        </w:rPr>
        <w:t>EXHIBIT 99(a)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Lynn Afendoulis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(616) 365-1502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WEDNESDAY, February 4, 2009</w:t>
      </w:r>
    </w:p>
    <w:p>
      <w:pPr>
        <w:spacing w:after="0" w:line="166"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UFPI 2008 results include net earnings of $4.3 million on sales of $2.2 billion</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i w:val="1"/>
          <w:iCs w:val="1"/>
          <w:color w:val="auto"/>
        </w:rPr>
        <w:t>Strong balance sheet and long-term outlook; Company well-positioned for a challenging 2009</w:t>
      </w:r>
    </w:p>
    <w:p>
      <w:pPr>
        <w:spacing w:after="0" w:line="170" w:lineRule="exact"/>
        <w:rPr>
          <w:sz w:val="20"/>
          <w:szCs w:val="20"/>
          <w:color w:val="auto"/>
        </w:rPr>
      </w:pPr>
    </w:p>
    <w:p>
      <w:pPr>
        <w:ind w:right="779"/>
        <w:spacing w:after="0" w:line="293" w:lineRule="auto"/>
        <w:rPr>
          <w:sz w:val="20"/>
          <w:szCs w:val="20"/>
          <w:color w:val="auto"/>
        </w:rPr>
      </w:pPr>
      <w:r>
        <w:rPr>
          <w:rFonts w:ascii="Arial" w:cs="Arial" w:eastAsia="Arial" w:hAnsi="Arial"/>
          <w:sz w:val="16"/>
          <w:szCs w:val="16"/>
          <w:color w:val="auto"/>
        </w:rPr>
        <w:t>GRAND RAPIDS, Mich., Feb. 4, 2009 – Universal Forest Products, Inc. (Nasdaq: UFPI) today announced 2008 results including annual net earnings of $4.3 million, or $0.23 per diluted share, on net sales of $2.2 billion, compared to annual net earnings of $21.0 million, or $1.09 per diluted share, on net sales of $2.5 billion for 2007. For the fourth quarter of 2008, the Company posted a net loss of $793,000, or ($.04) per diluted share, on net sales of $423.7 million, compared to a 2007 fourth-quarter loss of $11.0 million, or ($0.58) per diluted share, on net sales of $512.6 million. Fourth-quarter 2007 results included $8.6 million in severance, impairment and other charges, or approximately $7 million, net of related income tax benefits.</w:t>
      </w:r>
    </w:p>
    <w:p>
      <w:pPr>
        <w:spacing w:after="0" w:line="138" w:lineRule="exact"/>
        <w:rPr>
          <w:sz w:val="20"/>
          <w:szCs w:val="20"/>
          <w:color w:val="auto"/>
        </w:rPr>
      </w:pPr>
    </w:p>
    <w:p>
      <w:pPr>
        <w:ind w:right="559"/>
        <w:spacing w:after="0" w:line="291" w:lineRule="auto"/>
        <w:rPr>
          <w:sz w:val="20"/>
          <w:szCs w:val="20"/>
          <w:color w:val="auto"/>
        </w:rPr>
      </w:pPr>
      <w:r>
        <w:rPr>
          <w:rFonts w:ascii="Arial" w:cs="Arial" w:eastAsia="Arial" w:hAnsi="Arial"/>
          <w:sz w:val="16"/>
          <w:szCs w:val="16"/>
          <w:color w:val="auto"/>
        </w:rPr>
        <w:t>The Company continues to feel the effects of a contracting economy and distressed markets; however, it was able to partially mitigate the impact by continually sizing its operations to its business opportunities. “Our ability to resize our company to market demands has enabled us to post a modest profit in extraordinarily difficult times,” said CEO Michael B. Glenn. “We anticipate additional challenges, but, with the hard work of our people and the strengths of our strategies, we’re confident in our ability to take advantage of continuing business opportunities, especially in light of our expectation that many of our competitors will be forced to exit the business. Moving forward, we are focused on managing our working capital, enhancing efficiencies through continuous improvement, growing market share and meeting customer needs and expectations.”</w:t>
      </w:r>
    </w:p>
    <w:p>
      <w:pPr>
        <w:spacing w:after="0" w:line="127" w:lineRule="exact"/>
        <w:rPr>
          <w:sz w:val="20"/>
          <w:szCs w:val="20"/>
          <w:color w:val="auto"/>
        </w:rPr>
      </w:pPr>
    </w:p>
    <w:p>
      <w:pPr>
        <w:ind w:right="679"/>
        <w:spacing w:after="0" w:line="257" w:lineRule="auto"/>
        <w:rPr>
          <w:sz w:val="20"/>
          <w:szCs w:val="20"/>
          <w:color w:val="auto"/>
        </w:rPr>
      </w:pPr>
      <w:r>
        <w:rPr>
          <w:rFonts w:ascii="Arial" w:cs="Arial" w:eastAsia="Arial" w:hAnsi="Arial"/>
          <w:sz w:val="18"/>
          <w:szCs w:val="18"/>
          <w:color w:val="auto"/>
        </w:rPr>
        <w:t>Glenn noted that difficult decisions made over the past few years are paying off. “Our balance sheet is strong and we’re well-positioned for today’s challenges and for better times that will return,” he said. “At the beginning of 2008, our total debt and amounts outstanding under our sale of receivables program totaled approximately $233 million; today, it totals approximately $101 million. We accomplished this primarily by generating almost $116 million in cash flow in 2008 and using it to reduce our debt and eliminate our sale of receivables program.”</w:t>
      </w:r>
    </w:p>
    <w:p>
      <w:pPr>
        <w:spacing w:after="0" w:line="148" w:lineRule="exact"/>
        <w:rPr>
          <w:sz w:val="20"/>
          <w:szCs w:val="20"/>
          <w:color w:val="auto"/>
        </w:rPr>
      </w:pPr>
    </w:p>
    <w:p>
      <w:pPr>
        <w:jc w:val="right"/>
        <w:ind w:right="559"/>
        <w:spacing w:after="0"/>
        <w:rPr>
          <w:sz w:val="20"/>
          <w:szCs w:val="20"/>
          <w:color w:val="auto"/>
        </w:rPr>
      </w:pPr>
      <w:r>
        <w:rPr>
          <w:rFonts w:ascii="Arial" w:cs="Arial" w:eastAsia="Arial" w:hAnsi="Arial"/>
          <w:sz w:val="18"/>
          <w:szCs w:val="18"/>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407035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Page </w:t>
      </w:r>
      <w:r>
        <w:rPr>
          <w:rFonts w:ascii="Arial" w:cs="Arial" w:eastAsia="Arial" w:hAnsi="Arial"/>
          <w:sz w:val="18"/>
          <w:szCs w:val="18"/>
          <w:color w:val="auto"/>
        </w:rPr>
        <w:t>2</w:t>
      </w:r>
    </w:p>
    <w:p>
      <w:pPr>
        <w:spacing w:after="0" w:line="184" w:lineRule="exact"/>
        <w:rPr>
          <w:sz w:val="20"/>
          <w:szCs w:val="20"/>
          <w:color w:val="auto"/>
        </w:rPr>
      </w:pPr>
    </w:p>
    <w:p>
      <w:pPr>
        <w:ind w:right="1079"/>
        <w:spacing w:after="0" w:line="277" w:lineRule="auto"/>
        <w:rPr>
          <w:sz w:val="20"/>
          <w:szCs w:val="20"/>
          <w:color w:val="auto"/>
        </w:rPr>
      </w:pPr>
      <w:r>
        <w:rPr>
          <w:rFonts w:ascii="Arial" w:cs="Arial" w:eastAsia="Arial" w:hAnsi="Arial"/>
          <w:sz w:val="18"/>
          <w:szCs w:val="18"/>
          <w:color w:val="auto"/>
        </w:rPr>
        <w:t>The composite lumber price was 15% lower in the fourth quarter 2008 from 2007, negatively affecting reported sales. The Company believes lumber prices will remain depressed through 2009.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By market, Universal posted the following gross sales results for 2008:</w:t>
      </w:r>
    </w:p>
    <w:p>
      <w:pPr>
        <w:spacing w:after="0" w:line="181" w:lineRule="exact"/>
        <w:rPr>
          <w:sz w:val="20"/>
          <w:szCs w:val="20"/>
          <w:color w:val="auto"/>
        </w:rPr>
      </w:pPr>
    </w:p>
    <w:p>
      <w:pPr>
        <w:ind w:right="579"/>
        <w:spacing w:after="0" w:line="274" w:lineRule="auto"/>
        <w:rPr>
          <w:sz w:val="20"/>
          <w:szCs w:val="20"/>
          <w:color w:val="auto"/>
        </w:rPr>
      </w:pPr>
      <w:r>
        <w:rPr>
          <w:rFonts w:ascii="Arial" w:cs="Arial" w:eastAsia="Arial" w:hAnsi="Arial"/>
          <w:sz w:val="17"/>
          <w:szCs w:val="17"/>
          <w:b w:val="1"/>
          <w:bCs w:val="1"/>
          <w:u w:val="single" w:color="auto"/>
          <w:color w:val="auto"/>
        </w:rPr>
        <w:t>Do-It-Yourself/retail</w:t>
      </w:r>
      <w:r>
        <w:rPr>
          <w:rFonts w:ascii="Arial" w:cs="Arial" w:eastAsia="Arial" w:hAnsi="Arial"/>
          <w:sz w:val="17"/>
          <w:szCs w:val="17"/>
          <w:b w:val="1"/>
          <w:bCs w:val="1"/>
          <w:color w:val="auto"/>
        </w:rPr>
        <w:t xml:space="preserve">: $151.8 million for the fourth quarter of 2008, a decrease of 8.0% from the same period of 2007. Annual gross sales of $910.7 for 2008 reflected a 7.8% decrease from 2007. </w:t>
      </w:r>
      <w:r>
        <w:rPr>
          <w:rFonts w:ascii="Arial" w:cs="Arial" w:eastAsia="Arial" w:hAnsi="Arial"/>
          <w:sz w:val="17"/>
          <w:szCs w:val="17"/>
          <w:color w:val="auto"/>
        </w:rPr>
        <w:t>With consumer confidence reaching an all-time</w:t>
      </w:r>
      <w:r>
        <w:rPr>
          <w:rFonts w:ascii="Arial" w:cs="Arial" w:eastAsia="Arial" w:hAnsi="Arial"/>
          <w:sz w:val="17"/>
          <w:szCs w:val="17"/>
          <w:b w:val="1"/>
          <w:bCs w:val="1"/>
          <w:color w:val="auto"/>
        </w:rPr>
        <w:t xml:space="preserve"> </w:t>
      </w:r>
      <w:r>
        <w:rPr>
          <w:rFonts w:ascii="Arial" w:cs="Arial" w:eastAsia="Arial" w:hAnsi="Arial"/>
          <w:sz w:val="17"/>
          <w:szCs w:val="17"/>
          <w:color w:val="auto"/>
        </w:rPr>
        <w:t>low in December 2008, this market is expected to remain weak and may post its first three-year sales decline since record keeping began 40 years ago. Renewed growth hinges upon economic recovery. Big box retailers expect same-store sales declines of up to 10% in 2009. Universal is focusing on new product development, growing business with independent retailers, and improving operating efficiencies while increasing market share with its core products.</w:t>
      </w:r>
    </w:p>
    <w:p>
      <w:pPr>
        <w:spacing w:after="0" w:line="147" w:lineRule="exact"/>
        <w:rPr>
          <w:sz w:val="20"/>
          <w:szCs w:val="20"/>
          <w:color w:val="auto"/>
        </w:rPr>
      </w:pPr>
    </w:p>
    <w:p>
      <w:pPr>
        <w:ind w:right="639"/>
        <w:spacing w:after="0" w:line="303" w:lineRule="auto"/>
        <w:rPr>
          <w:sz w:val="20"/>
          <w:szCs w:val="20"/>
          <w:color w:val="auto"/>
        </w:rPr>
      </w:pPr>
      <w:r>
        <w:rPr>
          <w:rFonts w:ascii="Arial" w:cs="Arial" w:eastAsia="Arial" w:hAnsi="Arial"/>
          <w:sz w:val="16"/>
          <w:szCs w:val="16"/>
          <w:b w:val="1"/>
          <w:bCs w:val="1"/>
          <w:u w:val="single" w:color="auto"/>
          <w:color w:val="auto"/>
        </w:rPr>
        <w:t>Industrial packaging/components</w:t>
      </w:r>
      <w:r>
        <w:rPr>
          <w:rFonts w:ascii="Arial" w:cs="Arial" w:eastAsia="Arial" w:hAnsi="Arial"/>
          <w:sz w:val="16"/>
          <w:szCs w:val="16"/>
          <w:b w:val="1"/>
          <w:bCs w:val="1"/>
          <w:color w:val="auto"/>
        </w:rPr>
        <w:t xml:space="preserve">: $124.2 million for the fourth quarter, a decrease of 9.5% from the fourth quarter of 2007. For the year, gross sales of $605.1 million represented a 2.2% increase over 2007. </w:t>
      </w:r>
      <w:r>
        <w:rPr>
          <w:rFonts w:ascii="Arial" w:cs="Arial" w:eastAsia="Arial" w:hAnsi="Arial"/>
          <w:sz w:val="16"/>
          <w:szCs w:val="16"/>
          <w:color w:val="auto"/>
        </w:rPr>
        <w:t>The Company continues to add</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Sales to existing customers declined along with U.S. manufacturing output. The concrete forming business continues to have a positive impact on sales as the Company gains market share in what is a fragmented industry.</w:t>
      </w:r>
    </w:p>
    <w:p>
      <w:pPr>
        <w:spacing w:after="0" w:line="111" w:lineRule="exact"/>
        <w:rPr>
          <w:sz w:val="20"/>
          <w:szCs w:val="20"/>
          <w:color w:val="auto"/>
        </w:rPr>
      </w:pPr>
    </w:p>
    <w:p>
      <w:pPr>
        <w:ind w:right="619"/>
        <w:spacing w:after="0" w:line="277" w:lineRule="auto"/>
        <w:rPr>
          <w:sz w:val="20"/>
          <w:szCs w:val="20"/>
          <w:color w:val="auto"/>
        </w:rPr>
      </w:pPr>
      <w:r>
        <w:rPr>
          <w:rFonts w:ascii="Arial" w:cs="Arial" w:eastAsia="Arial" w:hAnsi="Arial"/>
          <w:sz w:val="17"/>
          <w:szCs w:val="17"/>
          <w:b w:val="1"/>
          <w:bCs w:val="1"/>
          <w:u w:val="single" w:color="auto"/>
          <w:color w:val="auto"/>
        </w:rPr>
        <w:t>Site-built construction</w:t>
      </w:r>
      <w:r>
        <w:rPr>
          <w:rFonts w:ascii="Arial" w:cs="Arial" w:eastAsia="Arial" w:hAnsi="Arial"/>
          <w:sz w:val="17"/>
          <w:szCs w:val="17"/>
          <w:b w:val="1"/>
          <w:bCs w:val="1"/>
          <w:color w:val="auto"/>
        </w:rPr>
        <w:t xml:space="preserve">: $93.4 million for the fourth quarter of 2008, a decrease of 28.8% from the same period of 2007. Annual gross sales of $454.8 million represented a decrease of 22.7% from 2007. </w:t>
      </w:r>
      <w:r>
        <w:rPr>
          <w:rFonts w:ascii="Arial" w:cs="Arial" w:eastAsia="Arial" w:hAnsi="Arial"/>
          <w:sz w:val="17"/>
          <w:szCs w:val="17"/>
          <w:color w:val="auto"/>
        </w:rPr>
        <w:t>Single-family housing starts declined 41%</w:t>
      </w:r>
      <w:r>
        <w:rPr>
          <w:rFonts w:ascii="Arial" w:cs="Arial" w:eastAsia="Arial" w:hAnsi="Arial"/>
          <w:sz w:val="17"/>
          <w:szCs w:val="17"/>
          <w:b w:val="1"/>
          <w:bCs w:val="1"/>
          <w:color w:val="auto"/>
        </w:rPr>
        <w:t xml:space="preserve"> </w:t>
      </w:r>
      <w:r>
        <w:rPr>
          <w:rFonts w:ascii="Arial" w:cs="Arial" w:eastAsia="Arial" w:hAnsi="Arial"/>
          <w:sz w:val="17"/>
          <w:szCs w:val="17"/>
          <w:color w:val="auto"/>
        </w:rPr>
        <w:t>in 2008 from 2007; multifamily starts were down 9% in 2008 from 2007. With forecasts for further declines in housing well into 2009 before a turnaround begins in 2010, the Company is focused on containing costs, maintaining and seeking profitable business, and maintaining strong relationships with existing customers that have strong balance sheets.</w:t>
      </w:r>
    </w:p>
    <w:p>
      <w:pPr>
        <w:spacing w:after="0" w:line="128" w:lineRule="exact"/>
        <w:rPr>
          <w:sz w:val="20"/>
          <w:szCs w:val="20"/>
          <w:color w:val="auto"/>
        </w:rPr>
      </w:pPr>
    </w:p>
    <w:p>
      <w:pPr>
        <w:ind w:right="719"/>
        <w:spacing w:after="0" w:line="256" w:lineRule="auto"/>
        <w:rPr>
          <w:sz w:val="20"/>
          <w:szCs w:val="20"/>
          <w:color w:val="auto"/>
        </w:rPr>
      </w:pPr>
      <w:r>
        <w:rPr>
          <w:rFonts w:ascii="Arial" w:cs="Arial" w:eastAsia="Arial" w:hAnsi="Arial"/>
          <w:sz w:val="18"/>
          <w:szCs w:val="18"/>
          <w:b w:val="1"/>
          <w:bCs w:val="1"/>
          <w:u w:val="single" w:color="auto"/>
          <w:color w:val="auto"/>
        </w:rPr>
        <w:t>Manufactured housing</w:t>
      </w:r>
      <w:r>
        <w:rPr>
          <w:rFonts w:ascii="Arial" w:cs="Arial" w:eastAsia="Arial" w:hAnsi="Arial"/>
          <w:sz w:val="18"/>
          <w:szCs w:val="18"/>
          <w:b w:val="1"/>
          <w:bCs w:val="1"/>
          <w:color w:val="auto"/>
        </w:rPr>
        <w:t xml:space="preserve">: Fourth-quarter sales of $57.8 million were 34.1% lower than the same period of 2007. Annual gross sales of $303.5 million represented a 22.6% decrease from 2007. </w:t>
      </w:r>
      <w:r>
        <w:rPr>
          <w:rFonts w:ascii="Arial" w:cs="Arial" w:eastAsia="Arial" w:hAnsi="Arial"/>
          <w:sz w:val="18"/>
          <w:szCs w:val="18"/>
          <w:color w:val="auto"/>
        </w:rPr>
        <w:t>According to the most recent statistics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shipments of HUD-code homes were down 14% year-to-date November 2008 from November 2007. For the month, November 2008 shipments were off 35% from November 2007. The Company believes this market will remain depressed until the oversupply of site-built homes is absorbed and credit conditions improve. Forecasts call for industry shipments to continue their downward trend through 2009.</w:t>
      </w:r>
    </w:p>
    <w:p>
      <w:pPr>
        <w:spacing w:after="0" w:line="165" w:lineRule="exact"/>
        <w:rPr>
          <w:sz w:val="20"/>
          <w:szCs w:val="20"/>
          <w:color w:val="auto"/>
        </w:rPr>
      </w:pPr>
    </w:p>
    <w:p>
      <w:pPr>
        <w:ind w:right="739"/>
        <w:spacing w:after="0" w:line="264" w:lineRule="auto"/>
        <w:rPr>
          <w:sz w:val="20"/>
          <w:szCs w:val="20"/>
          <w:color w:val="auto"/>
        </w:rPr>
      </w:pPr>
      <w:r>
        <w:rPr>
          <w:rFonts w:ascii="Arial" w:cs="Arial" w:eastAsia="Arial" w:hAnsi="Arial"/>
          <w:sz w:val="18"/>
          <w:szCs w:val="18"/>
          <w:color w:val="auto"/>
        </w:rPr>
        <w:t>“We’ve demonstrated that tough times like these create opportunities for strong companies like Universal,” Glenn said. “We don’t enjoy them, but we know we can and will increase our leadership position and remain a formidable player in our markets when the economy strengthens.”</w:t>
      </w:r>
    </w:p>
    <w:p>
      <w:pPr>
        <w:spacing w:after="0" w:line="141" w:lineRule="exact"/>
        <w:rPr>
          <w:sz w:val="20"/>
          <w:szCs w:val="20"/>
          <w:color w:val="auto"/>
        </w:rPr>
      </w:pPr>
    </w:p>
    <w:p>
      <w:pPr>
        <w:jc w:val="right"/>
        <w:ind w:right="559"/>
        <w:spacing w:after="0"/>
        <w:rPr>
          <w:sz w:val="20"/>
          <w:szCs w:val="20"/>
          <w:color w:val="auto"/>
        </w:rPr>
      </w:pPr>
      <w:r>
        <w:rPr>
          <w:rFonts w:ascii="Arial" w:cs="Arial" w:eastAsia="Arial" w:hAnsi="Arial"/>
          <w:sz w:val="18"/>
          <w:szCs w:val="18"/>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Page </w:t>
      </w:r>
      <w:r>
        <w:rPr>
          <w:rFonts w:ascii="Arial" w:cs="Arial" w:eastAsia="Arial" w:hAnsi="Arial"/>
          <w:sz w:val="18"/>
          <w:szCs w:val="18"/>
          <w:color w:val="auto"/>
        </w:rPr>
        <w:t>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7" w:lineRule="exact"/>
        <w:rPr>
          <w:sz w:val="20"/>
          <w:szCs w:val="20"/>
          <w:color w:val="auto"/>
        </w:rPr>
      </w:pPr>
    </w:p>
    <w:p>
      <w:pPr>
        <w:ind w:right="579"/>
        <w:spacing w:after="0" w:line="253" w:lineRule="auto"/>
        <w:rPr>
          <w:sz w:val="20"/>
          <w:szCs w:val="20"/>
          <w:color w:val="auto"/>
        </w:rPr>
      </w:pPr>
      <w:r>
        <w:rPr>
          <w:rFonts w:ascii="Arial" w:cs="Arial" w:eastAsia="Arial" w:hAnsi="Arial"/>
          <w:sz w:val="18"/>
          <w:szCs w:val="18"/>
          <w:color w:val="auto"/>
        </w:rPr>
        <w:t>The Company expects the current challenging conditions to prevail throughout 2009; however, its strong financial position, solid business model, diverse business opportunities and ability to adjust appropriately to its opportunities position it better than most to endure challenging times. The Company believes that current economic conditions and uncertainties limit its ability to provide meaningful guidance for ranges of likely financial performance; therefore, the Company will not provide guidance for the foreseeable future.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ind w:right="579"/>
        <w:spacing w:after="0" w:line="269" w:lineRule="auto"/>
        <w:rPr>
          <w:sz w:val="20"/>
          <w:szCs w:val="20"/>
          <w:color w:val="auto"/>
        </w:rPr>
      </w:pPr>
      <w:r>
        <w:rPr>
          <w:rFonts w:ascii="Arial" w:cs="Arial" w:eastAsia="Arial" w:hAnsi="Arial"/>
          <w:sz w:val="17"/>
          <w:szCs w:val="17"/>
          <w:color w:val="auto"/>
        </w:rPr>
        <w:t xml:space="preserve">Universal Forest Products will conduct a conference call to discuss information included in this news release and related matters at 8:30 a.m. ET on Thursday, Feb. 5, 2009. The call will be hosted by Executive Chairman William G. Currie, Chief Executive Officer Michael B. Glenn, and Chief Financial Officer Michael Cole, and will be available for analysts and institutional investors domestically at (866) 713-8307 and internationally at (617) 597-5307. Use participant passcode 94012459. The conference call will be available simultaneously and in its entirety to all interested investors and news media through a webcast at </w:t>
      </w:r>
      <w:r>
        <w:rPr>
          <w:rFonts w:ascii="Arial" w:cs="Arial" w:eastAsia="Arial" w:hAnsi="Arial"/>
          <w:sz w:val="17"/>
          <w:szCs w:val="17"/>
          <w:u w:val="single" w:color="auto"/>
          <w:color w:val="auto"/>
        </w:rPr>
        <w:t>www.ufpi.cm</w:t>
      </w:r>
      <w:r>
        <w:rPr>
          <w:rFonts w:ascii="Arial" w:cs="Arial" w:eastAsia="Arial" w:hAnsi="Arial"/>
          <w:sz w:val="17"/>
          <w:szCs w:val="17"/>
          <w:color w:val="auto"/>
        </w:rPr>
        <w:t>. A replay of the call will be available through March 5, 2009, domestically at (888) 286-8010 and internationally at (617) 801-6888. Use participant passcode 83456619.</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ind w:right="779"/>
        <w:spacing w:after="0" w:line="292" w:lineRule="auto"/>
        <w:rPr>
          <w:sz w:val="20"/>
          <w:szCs w:val="20"/>
          <w:color w:val="auto"/>
        </w:rPr>
      </w:pPr>
      <w:r>
        <w:rPr>
          <w:rFonts w:ascii="Arial" w:cs="Arial" w:eastAsia="Arial" w:hAnsi="Arial"/>
          <w:sz w:val="16"/>
          <w:szCs w:val="16"/>
          <w:color w:val="auto"/>
        </w:rPr>
        <w:t xml:space="preserve">Headquartered in Grand Rapids, Mich., with facilities throughout North America, Universal Forest Products engineers, manufactures and markets wood and wood-alternative products for DIY/retail home centers, structural lumber products for the manufactured housing industry, engineered wood components for the site-built construction market, and specialty wood packaging and components for various industries. The 53-year-old Company also provides framing services for the site-built market and forms for concrete construction. For information about Universal Forest Products, visit </w:t>
      </w:r>
      <w:r>
        <w:rPr>
          <w:rFonts w:ascii="Arial" w:cs="Arial" w:eastAsia="Arial" w:hAnsi="Arial"/>
          <w:sz w:val="16"/>
          <w:szCs w:val="16"/>
          <w:u w:val="single" w:color="auto"/>
          <w:color w:val="auto"/>
        </w:rPr>
        <w:t>www.ufpi.com</w:t>
      </w:r>
      <w:r>
        <w:rPr>
          <w:rFonts w:ascii="Arial" w:cs="Arial" w:eastAsia="Arial" w:hAnsi="Arial"/>
          <w:sz w:val="16"/>
          <w:szCs w:val="16"/>
          <w:color w:val="auto"/>
        </w:rPr>
        <w:t>.</w:t>
      </w:r>
    </w:p>
    <w:p>
      <w:pPr>
        <w:spacing w:after="0" w:line="136" w:lineRule="exact"/>
        <w:rPr>
          <w:sz w:val="20"/>
          <w:szCs w:val="20"/>
          <w:color w:val="auto"/>
        </w:rPr>
      </w:pPr>
    </w:p>
    <w:p>
      <w:pPr>
        <w:ind w:right="659"/>
        <w:spacing w:after="0" w:line="288" w:lineRule="auto"/>
        <w:rPr>
          <w:sz w:val="20"/>
          <w:szCs w:val="20"/>
          <w:color w:val="auto"/>
        </w:rPr>
      </w:pPr>
      <w:r>
        <w:rPr>
          <w:rFonts w:ascii="Arial" w:cs="Arial" w:eastAsia="Arial" w:hAnsi="Arial"/>
          <w:sz w:val="16"/>
          <w:szCs w:val="16"/>
          <w:color w:val="auto"/>
        </w:rPr>
        <w:t>Please be aware that: Any statements included in this press release that are not historical facts are forward-looking statements within the meaning of Section 21E of the Securities Exchange Act of 1934, as amended. Such forward-looking statements are based on the beliefs of the Company’s management as well as on assumptions made by, and information currently available to, the Company at the time such statements were made. The Company does not undertake to update forward-looking statements to reflect facts, circumstances, assumptions or events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Adverse lumber market trends, competitive activity, negative economic trends, government regulations and weather. Certain of these risk factors and additional information are included in the Company’s reports on Form 10-K and 10-Q on file with the Securities and Exchange Commission.</w:t>
      </w:r>
    </w:p>
    <w:p>
      <w:pPr>
        <w:spacing w:after="0" w:line="12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7" w:name="page8"/>
    <w:bookmarkEnd w:id="7"/>
    <w:p>
      <w:pPr>
        <w:jc w:val="center"/>
        <w:ind w:right="559"/>
        <w:spacing w:after="0" w:line="266" w:lineRule="auto"/>
        <w:rPr>
          <w:sz w:val="20"/>
          <w:szCs w:val="20"/>
          <w:color w:val="auto"/>
        </w:rPr>
      </w:pPr>
      <w:r>
        <w:rPr>
          <w:rFonts w:ascii="Arial" w:cs="Arial" w:eastAsia="Arial" w:hAnsi="Arial"/>
          <w:sz w:val="18"/>
          <w:szCs w:val="18"/>
          <w:b w:val="1"/>
          <w:bCs w:val="1"/>
          <w:color w:val="auto"/>
        </w:rPr>
        <w:t>CONSOLIDATED STATEMENTS OF EARNINGS (UNAUDITED) FOR THE TWELVE MONTHS ENDED DECEMBER 2008/2007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gridSpan w:val="5"/>
            <w:vMerge w:val="restart"/>
          </w:tcPr>
          <w:p>
            <w:pPr>
              <w:spacing w:after="0"/>
              <w:rPr>
                <w:sz w:val="20"/>
                <w:szCs w:val="20"/>
                <w:color w:val="auto"/>
              </w:rPr>
            </w:pPr>
            <w:r>
              <w:rPr>
                <w:rFonts w:ascii="Arial" w:cs="Arial" w:eastAsia="Arial" w:hAnsi="Arial"/>
                <w:sz w:val="18"/>
                <w:szCs w:val="18"/>
                <w:b w:val="1"/>
                <w:bCs w:val="1"/>
                <w:color w:val="auto"/>
                <w:w w:val="90"/>
              </w:rPr>
              <w:t>(In thousands, except per share data)</w:t>
            </w: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9"/>
          </w:tcPr>
          <w:p>
            <w:pPr>
              <w:jc w:val="right"/>
              <w:ind w:right="480"/>
              <w:spacing w:after="0"/>
              <w:rPr>
                <w:sz w:val="20"/>
                <w:szCs w:val="20"/>
                <w:color w:val="auto"/>
              </w:rPr>
            </w:pPr>
            <w:r>
              <w:rPr>
                <w:rFonts w:ascii="Arial" w:cs="Arial" w:eastAsia="Arial" w:hAnsi="Arial"/>
                <w:sz w:val="18"/>
                <w:szCs w:val="18"/>
                <w:b w:val="1"/>
                <w:bCs w:val="1"/>
                <w:color w:val="auto"/>
                <w:w w:val="95"/>
              </w:rPr>
              <w:t>Quarter Period</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10"/>
          </w:tcPr>
          <w:p>
            <w:pPr>
              <w:ind w:left="80"/>
              <w:spacing w:after="0"/>
              <w:rPr>
                <w:sz w:val="20"/>
                <w:szCs w:val="20"/>
                <w:color w:val="auto"/>
              </w:rPr>
            </w:pPr>
            <w:r>
              <w:rPr>
                <w:rFonts w:ascii="Arial" w:cs="Arial" w:eastAsia="Arial" w:hAnsi="Arial"/>
                <w:sz w:val="18"/>
                <w:szCs w:val="18"/>
                <w:b w:val="1"/>
                <w:bCs w:val="1"/>
                <w:color w:val="auto"/>
              </w:rPr>
              <w:t>Year to Date</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2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9"/>
              </w:rPr>
              <w:t>2007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4"/>
              </w:rPr>
              <w:t>2008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7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423,653</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512,637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9"/>
            <w:shd w:val="clear" w:color="auto" w:fill="CCEEFF"/>
          </w:tcPr>
          <w:p>
            <w:pPr>
              <w:jc w:val="right"/>
              <w:ind w:right="80"/>
              <w:spacing w:after="0"/>
              <w:rPr>
                <w:sz w:val="20"/>
                <w:szCs w:val="20"/>
                <w:color w:val="auto"/>
              </w:rPr>
            </w:pPr>
            <w:r>
              <w:rPr>
                <w:rFonts w:ascii="Arial" w:cs="Arial" w:eastAsia="Arial" w:hAnsi="Arial"/>
                <w:sz w:val="18"/>
                <w:szCs w:val="18"/>
                <w:color w:val="auto"/>
                <w:w w:val="95"/>
              </w:rPr>
              <w:t>100%  $2,232,394</w:t>
            </w:r>
          </w:p>
        </w:tc>
        <w:tc>
          <w:tcPr>
            <w:tcW w:w="7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7"/>
              </w:rPr>
              <w:t>2,513,178</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2"/>
        </w:trPr>
        <w:tc>
          <w:tcPr>
            <w:tcW w:w="2920" w:type="dxa"/>
            <w:vAlign w:val="bottom"/>
            <w:gridSpan w:val="5"/>
          </w:tcPr>
          <w:p>
            <w:pPr>
              <w:spacing w:after="0"/>
              <w:rPr>
                <w:sz w:val="20"/>
                <w:szCs w:val="20"/>
                <w:color w:val="auto"/>
              </w:rPr>
            </w:pPr>
            <w:r>
              <w:rPr>
                <w:rFonts w:ascii="Arial" w:cs="Arial" w:eastAsia="Arial" w:hAnsi="Arial"/>
                <w:sz w:val="18"/>
                <w:szCs w:val="18"/>
                <w:b w:val="1"/>
                <w:bCs w:val="1"/>
                <w:color w:val="auto"/>
              </w:rPr>
              <w:t>COST OF GOODS SOLD</w:t>
            </w:r>
          </w:p>
        </w:tc>
        <w:tc>
          <w:tcPr>
            <w:tcW w:w="80" w:type="dxa"/>
            <w:vAlign w:val="bottom"/>
          </w:tcPr>
          <w:p>
            <w:pPr>
              <w:spacing w:after="0"/>
              <w:rPr>
                <w:sz w:val="24"/>
                <w:szCs w:val="2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373,404</w:t>
            </w:r>
          </w:p>
        </w:tc>
        <w:tc>
          <w:tcPr>
            <w:tcW w:w="760" w:type="dxa"/>
            <w:vAlign w:val="bottom"/>
            <w:gridSpan w:val="3"/>
          </w:tcPr>
          <w:p>
            <w:pPr>
              <w:jc w:val="right"/>
              <w:ind w:right="280"/>
              <w:spacing w:after="0"/>
              <w:rPr>
                <w:sz w:val="20"/>
                <w:szCs w:val="20"/>
                <w:color w:val="auto"/>
              </w:rPr>
            </w:pPr>
            <w:r>
              <w:rPr>
                <w:rFonts w:ascii="Arial" w:cs="Arial" w:eastAsia="Arial" w:hAnsi="Arial"/>
                <w:sz w:val="18"/>
                <w:szCs w:val="18"/>
                <w:color w:val="auto"/>
              </w:rPr>
              <w:t>88.1</w:t>
            </w:r>
          </w:p>
        </w:tc>
        <w:tc>
          <w:tcPr>
            <w:tcW w:w="80" w:type="dxa"/>
            <w:vAlign w:val="bottom"/>
          </w:tcPr>
          <w:p>
            <w:pPr>
              <w:spacing w:after="0"/>
              <w:rPr>
                <w:sz w:val="24"/>
                <w:szCs w:val="2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460,998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89.9</w:t>
            </w:r>
          </w:p>
        </w:tc>
        <w:tc>
          <w:tcPr>
            <w:tcW w:w="1100" w:type="dxa"/>
            <w:vAlign w:val="bottom"/>
            <w:gridSpan w:val="6"/>
          </w:tcPr>
          <w:p>
            <w:pPr>
              <w:jc w:val="right"/>
              <w:ind w:right="80"/>
              <w:spacing w:after="0"/>
              <w:rPr>
                <w:sz w:val="20"/>
                <w:szCs w:val="20"/>
                <w:color w:val="auto"/>
              </w:rPr>
            </w:pPr>
            <w:r>
              <w:rPr>
                <w:rFonts w:ascii="Arial" w:cs="Arial" w:eastAsia="Arial" w:hAnsi="Arial"/>
                <w:sz w:val="18"/>
                <w:szCs w:val="18"/>
                <w:color w:val="auto"/>
              </w:rPr>
              <w:t>1,976,925</w:t>
            </w:r>
          </w:p>
        </w:tc>
        <w:tc>
          <w:tcPr>
            <w:tcW w:w="660" w:type="dxa"/>
            <w:vAlign w:val="bottom"/>
            <w:gridSpan w:val="4"/>
          </w:tcPr>
          <w:p>
            <w:pPr>
              <w:jc w:val="right"/>
              <w:ind w:right="120"/>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w w:val="87"/>
              </w:rPr>
              <w:t>2,204,149</w:t>
            </w:r>
          </w:p>
        </w:tc>
        <w:tc>
          <w:tcPr>
            <w:tcW w:w="6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7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50,249</w:t>
            </w:r>
          </w:p>
        </w:tc>
        <w:tc>
          <w:tcPr>
            <w:tcW w:w="76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51,639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1"/>
              </w:rPr>
              <w:t>10.1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2"/>
              </w:rPr>
              <w:t>255,469</w:t>
            </w:r>
          </w:p>
        </w:tc>
        <w:tc>
          <w:tcPr>
            <w:tcW w:w="6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309,029</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414"/>
        </w:trPr>
        <w:tc>
          <w:tcPr>
            <w:tcW w:w="2920" w:type="dxa"/>
            <w:vAlign w:val="bottom"/>
            <w:gridSpan w:val="5"/>
          </w:tcPr>
          <w:p>
            <w:pPr>
              <w:spacing w:after="0"/>
              <w:rPr>
                <w:sz w:val="20"/>
                <w:szCs w:val="20"/>
                <w:color w:val="auto"/>
              </w:rPr>
            </w:pPr>
            <w:r>
              <w:rPr>
                <w:rFonts w:ascii="Arial" w:cs="Arial" w:eastAsia="Arial" w:hAnsi="Arial"/>
                <w:sz w:val="18"/>
                <w:szCs w:val="18"/>
                <w:b w:val="1"/>
                <w:bCs w:val="1"/>
                <w:color w:val="auto"/>
              </w:rPr>
              <w:t>SELLING, GENERAL AND</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920" w:type="dxa"/>
            <w:vAlign w:val="bottom"/>
            <w:gridSpan w:val="5"/>
          </w:tcPr>
          <w:p>
            <w:pPr>
              <w:ind w:left="200"/>
              <w:spacing w:after="0"/>
              <w:rPr>
                <w:sz w:val="20"/>
                <w:szCs w:val="20"/>
                <w:color w:val="auto"/>
              </w:rPr>
            </w:pPr>
            <w:r>
              <w:rPr>
                <w:rFonts w:ascii="Arial" w:cs="Arial" w:eastAsia="Arial" w:hAnsi="Arial"/>
                <w:sz w:val="18"/>
                <w:szCs w:val="18"/>
                <w:b w:val="1"/>
                <w:bCs w:val="1"/>
                <w:color w:val="auto"/>
              </w:rPr>
              <w:t>ADMINISTRATIVE EXPENSES</w:t>
            </w:r>
          </w:p>
        </w:tc>
        <w:tc>
          <w:tcPr>
            <w:tcW w:w="80" w:type="dxa"/>
            <w:vAlign w:val="bottom"/>
          </w:tcPr>
          <w:p>
            <w:pPr>
              <w:spacing w:after="0"/>
              <w:rPr>
                <w:sz w:val="20"/>
                <w:szCs w:val="20"/>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50,255</w:t>
            </w:r>
          </w:p>
        </w:tc>
        <w:tc>
          <w:tcPr>
            <w:tcW w:w="760" w:type="dxa"/>
            <w:vAlign w:val="bottom"/>
            <w:gridSpan w:val="3"/>
          </w:tcPr>
          <w:p>
            <w:pPr>
              <w:jc w:val="right"/>
              <w:ind w:right="28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0"/>
                <w:szCs w:val="20"/>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55,660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10.9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8"/>
                <w:szCs w:val="18"/>
                <w:color w:val="auto"/>
                <w:w w:val="92"/>
              </w:rPr>
              <w:t>228,557</w:t>
            </w:r>
          </w:p>
        </w:tc>
        <w:tc>
          <w:tcPr>
            <w:tcW w:w="660" w:type="dxa"/>
            <w:vAlign w:val="bottom"/>
            <w:gridSpan w:val="4"/>
          </w:tcPr>
          <w:p>
            <w:pPr>
              <w:jc w:val="right"/>
              <w:ind w:right="1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247,373</w:t>
            </w:r>
          </w:p>
        </w:tc>
        <w:tc>
          <w:tcPr>
            <w:tcW w:w="6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8"/>
        </w:trPr>
        <w:tc>
          <w:tcPr>
            <w:tcW w:w="2920" w:type="dxa"/>
            <w:vAlign w:val="bottom"/>
            <w:tcBorders>
              <w:right w:val="single" w:sz="8" w:color="CCEEFF"/>
            </w:tcBorders>
            <w:gridSpan w:val="5"/>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LOSS ON DISPOSITION OF</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ASSETS AND OTHER</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IMPAIRMENT AND EXIT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CHARGES</w:t>
            </w:r>
          </w:p>
        </w:tc>
        <w:tc>
          <w:tcPr>
            <w:tcW w:w="7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1,081</w:t>
            </w:r>
          </w:p>
        </w:tc>
        <w:tc>
          <w:tcPr>
            <w:tcW w:w="76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7,578</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8,507</w:t>
            </w:r>
          </w:p>
        </w:tc>
        <w:tc>
          <w:tcPr>
            <w:tcW w:w="6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8,164</w:t>
            </w:r>
          </w:p>
        </w:tc>
        <w:tc>
          <w:tcPr>
            <w:tcW w:w="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421"/>
        </w:trPr>
        <w:tc>
          <w:tcPr>
            <w:tcW w:w="2920" w:type="dxa"/>
            <w:vAlign w:val="bottom"/>
            <w:gridSpan w:val="5"/>
          </w:tcPr>
          <w:p>
            <w:pPr>
              <w:spacing w:after="0"/>
              <w:rPr>
                <w:sz w:val="20"/>
                <w:szCs w:val="20"/>
                <w:color w:val="auto"/>
              </w:rPr>
            </w:pPr>
            <w:r>
              <w:rPr>
                <w:rFonts w:ascii="Arial" w:cs="Arial" w:eastAsia="Arial" w:hAnsi="Arial"/>
                <w:sz w:val="18"/>
                <w:szCs w:val="18"/>
                <w:b w:val="1"/>
                <w:bCs w:val="1"/>
                <w:color w:val="auto"/>
              </w:rPr>
              <w:t>EARNINGS (LOSS) FROM</w:t>
            </w: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960" w:type="dxa"/>
            <w:vAlign w:val="bottom"/>
            <w:gridSpan w:val="2"/>
          </w:tcPr>
          <w:p>
            <w:pPr>
              <w:ind w:left="200"/>
              <w:spacing w:after="0"/>
              <w:rPr>
                <w:sz w:val="20"/>
                <w:szCs w:val="20"/>
                <w:color w:val="auto"/>
              </w:rPr>
            </w:pPr>
            <w:r>
              <w:rPr>
                <w:rFonts w:ascii="Arial" w:cs="Arial" w:eastAsia="Arial" w:hAnsi="Arial"/>
                <w:sz w:val="18"/>
                <w:szCs w:val="18"/>
                <w:b w:val="1"/>
                <w:bCs w:val="1"/>
                <w:color w:val="auto"/>
              </w:rPr>
              <w:t>OPERATIONS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(1,087)</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0"/>
                <w:szCs w:val="20"/>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(11,599)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8"/>
                <w:szCs w:val="18"/>
                <w:color w:val="auto"/>
              </w:rPr>
              <w:t>18,405</w:t>
            </w:r>
          </w:p>
        </w:tc>
        <w:tc>
          <w:tcPr>
            <w:tcW w:w="660" w:type="dxa"/>
            <w:vAlign w:val="bottom"/>
            <w:gridSpan w:val="4"/>
          </w:tcPr>
          <w:p>
            <w:pPr>
              <w:jc w:val="right"/>
              <w:ind w:right="12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53,492</w:t>
            </w:r>
          </w:p>
        </w:tc>
        <w:tc>
          <w:tcPr>
            <w:tcW w:w="6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Interest expense</w:t>
            </w:r>
          </w:p>
        </w:tc>
        <w:tc>
          <w:tcPr>
            <w:tcW w:w="7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2,499</w:t>
            </w:r>
          </w:p>
        </w:tc>
        <w:tc>
          <w:tcPr>
            <w:tcW w:w="76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3,576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12,088</w:t>
            </w:r>
          </w:p>
        </w:tc>
        <w:tc>
          <w:tcPr>
            <w:tcW w:w="6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17,033</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1960" w:type="dxa"/>
            <w:vAlign w:val="bottom"/>
            <w:gridSpan w:val="2"/>
          </w:tcPr>
          <w:p>
            <w:pPr>
              <w:ind w:left="200"/>
              <w:spacing w:after="0"/>
              <w:rPr>
                <w:sz w:val="20"/>
                <w:szCs w:val="20"/>
                <w:color w:val="auto"/>
              </w:rPr>
            </w:pPr>
            <w:r>
              <w:rPr>
                <w:rFonts w:ascii="Arial" w:cs="Arial" w:eastAsia="Arial" w:hAnsi="Arial"/>
                <w:sz w:val="18"/>
                <w:szCs w:val="18"/>
                <w:b w:val="1"/>
                <w:bCs w:val="1"/>
                <w:color w:val="auto"/>
              </w:rPr>
              <w:t>Interest income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(2,150)</w:t>
            </w:r>
          </w:p>
        </w:tc>
        <w:tc>
          <w:tcPr>
            <w:tcW w:w="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3,060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11,259</w:t>
            </w:r>
          </w:p>
        </w:tc>
        <w:tc>
          <w:tcPr>
            <w:tcW w:w="6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14,883</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421"/>
        </w:trPr>
        <w:tc>
          <w:tcPr>
            <w:tcW w:w="2920" w:type="dxa"/>
            <w:vAlign w:val="bottom"/>
            <w:gridSpan w:val="5"/>
          </w:tcPr>
          <w:p>
            <w:pPr>
              <w:spacing w:after="0"/>
              <w:rPr>
                <w:sz w:val="20"/>
                <w:szCs w:val="20"/>
                <w:color w:val="auto"/>
              </w:rPr>
            </w:pPr>
            <w:r>
              <w:rPr>
                <w:rFonts w:ascii="Arial" w:cs="Arial" w:eastAsia="Arial" w:hAnsi="Arial"/>
                <w:sz w:val="18"/>
                <w:szCs w:val="18"/>
                <w:b w:val="1"/>
                <w:bCs w:val="1"/>
                <w:color w:val="auto"/>
              </w:rPr>
              <w:t>EARNINGS (LOSS) BEFORE</w:t>
            </w: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20" w:type="dxa"/>
            <w:vAlign w:val="bottom"/>
            <w:gridSpan w:val="5"/>
          </w:tcPr>
          <w:p>
            <w:pPr>
              <w:ind w:left="200"/>
              <w:spacing w:after="0"/>
              <w:rPr>
                <w:sz w:val="20"/>
                <w:szCs w:val="20"/>
                <w:color w:val="auto"/>
              </w:rPr>
            </w:pPr>
            <w:r>
              <w:rPr>
                <w:rFonts w:ascii="Arial" w:cs="Arial" w:eastAsia="Arial" w:hAnsi="Arial"/>
                <w:sz w:val="18"/>
                <w:szCs w:val="18"/>
                <w:b w:val="1"/>
                <w:bCs w:val="1"/>
                <w:color w:val="auto"/>
              </w:rPr>
              <w:t>INCOME TAXES AND</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gridSpan w:val="5"/>
          </w:tcPr>
          <w:p>
            <w:pPr>
              <w:ind w:left="200"/>
              <w:spacing w:after="0"/>
              <w:rPr>
                <w:sz w:val="20"/>
                <w:szCs w:val="20"/>
                <w:color w:val="auto"/>
              </w:rPr>
            </w:pPr>
            <w:r>
              <w:rPr>
                <w:rFonts w:ascii="Arial" w:cs="Arial" w:eastAsia="Arial" w:hAnsi="Arial"/>
                <w:sz w:val="18"/>
                <w:szCs w:val="18"/>
                <w:b w:val="1"/>
                <w:bCs w:val="1"/>
                <w:color w:val="auto"/>
              </w:rPr>
              <w:t>MINORITY INTEREST</w:t>
            </w:r>
          </w:p>
        </w:tc>
        <w:tc>
          <w:tcPr>
            <w:tcW w:w="80" w:type="dxa"/>
            <w:vAlign w:val="bottom"/>
          </w:tcPr>
          <w:p>
            <w:pPr>
              <w:spacing w:after="0"/>
              <w:rPr>
                <w:sz w:val="20"/>
                <w:szCs w:val="20"/>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(3,520)</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20"/>
                <w:szCs w:val="20"/>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(14,659)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8"/>
                <w:szCs w:val="18"/>
                <w:color w:val="auto"/>
              </w:rPr>
              <w:t>7,146</w:t>
            </w:r>
          </w:p>
        </w:tc>
        <w:tc>
          <w:tcPr>
            <w:tcW w:w="660" w:type="dxa"/>
            <w:vAlign w:val="bottom"/>
            <w:gridSpan w:val="4"/>
          </w:tcPr>
          <w:p>
            <w:pPr>
              <w:jc w:val="right"/>
              <w:ind w:right="1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38,609</w:t>
            </w:r>
          </w:p>
        </w:tc>
        <w:tc>
          <w:tcPr>
            <w:tcW w:w="6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TAXES</w:t>
            </w:r>
          </w:p>
        </w:tc>
        <w:tc>
          <w:tcPr>
            <w:tcW w:w="7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(2,969)</w:t>
            </w:r>
          </w:p>
        </w:tc>
        <w:tc>
          <w:tcPr>
            <w:tcW w:w="7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(4,237)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1,686</w:t>
            </w:r>
          </w:p>
        </w:tc>
        <w:tc>
          <w:tcPr>
            <w:tcW w:w="6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15,396</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421"/>
        </w:trPr>
        <w:tc>
          <w:tcPr>
            <w:tcW w:w="2920" w:type="dxa"/>
            <w:vAlign w:val="bottom"/>
            <w:gridSpan w:val="5"/>
          </w:tcPr>
          <w:p>
            <w:pPr>
              <w:spacing w:after="0"/>
              <w:rPr>
                <w:sz w:val="20"/>
                <w:szCs w:val="20"/>
                <w:color w:val="auto"/>
              </w:rPr>
            </w:pPr>
            <w:r>
              <w:rPr>
                <w:rFonts w:ascii="Arial" w:cs="Arial" w:eastAsia="Arial" w:hAnsi="Arial"/>
                <w:sz w:val="18"/>
                <w:szCs w:val="18"/>
                <w:b w:val="1"/>
                <w:bCs w:val="1"/>
                <w:color w:val="auto"/>
              </w:rPr>
              <w:t>EARNINGS (LOSS) BEFORE</w:t>
            </w: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920" w:type="dxa"/>
            <w:vAlign w:val="bottom"/>
            <w:gridSpan w:val="5"/>
          </w:tcPr>
          <w:p>
            <w:pPr>
              <w:ind w:left="200"/>
              <w:spacing w:after="0"/>
              <w:rPr>
                <w:sz w:val="20"/>
                <w:szCs w:val="20"/>
                <w:color w:val="auto"/>
              </w:rPr>
            </w:pPr>
            <w:r>
              <w:rPr>
                <w:rFonts w:ascii="Arial" w:cs="Arial" w:eastAsia="Arial" w:hAnsi="Arial"/>
                <w:sz w:val="18"/>
                <w:szCs w:val="18"/>
                <w:b w:val="1"/>
                <w:bCs w:val="1"/>
                <w:color w:val="auto"/>
              </w:rPr>
              <w:t>MINORITY INTEREST</w:t>
            </w:r>
          </w:p>
        </w:tc>
        <w:tc>
          <w:tcPr>
            <w:tcW w:w="80" w:type="dxa"/>
            <w:vAlign w:val="bottom"/>
          </w:tcPr>
          <w:p>
            <w:pPr>
              <w:spacing w:after="0"/>
              <w:rPr>
                <w:sz w:val="20"/>
                <w:szCs w:val="20"/>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(551)</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0"/>
                <w:szCs w:val="20"/>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(10,422)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8"/>
                <w:szCs w:val="18"/>
                <w:color w:val="auto"/>
              </w:rPr>
              <w:t>5,460</w:t>
            </w:r>
          </w:p>
        </w:tc>
        <w:tc>
          <w:tcPr>
            <w:tcW w:w="660" w:type="dxa"/>
            <w:vAlign w:val="bottom"/>
            <w:gridSpan w:val="4"/>
          </w:tcPr>
          <w:p>
            <w:pPr>
              <w:jc w:val="right"/>
              <w:ind w:right="1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23,213</w:t>
            </w:r>
          </w:p>
        </w:tc>
        <w:tc>
          <w:tcPr>
            <w:tcW w:w="6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MINORITY INTEREST</w:t>
            </w:r>
          </w:p>
        </w:tc>
        <w:tc>
          <w:tcPr>
            <w:tcW w:w="7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c>
          <w:tcPr>
            <w:tcW w:w="7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(1,117)</w:t>
            </w: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(2,168)</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920" w:type="dxa"/>
            <w:vAlign w:val="bottom"/>
            <w:gridSpan w:val="5"/>
          </w:tcPr>
          <w:p>
            <w:pPr>
              <w:spacing w:after="0"/>
              <w:rPr>
                <w:sz w:val="20"/>
                <w:szCs w:val="20"/>
                <w:color w:val="auto"/>
              </w:rPr>
            </w:pPr>
            <w:r>
              <w:rPr>
                <w:rFonts w:ascii="Arial" w:cs="Arial" w:eastAsia="Arial" w:hAnsi="Arial"/>
                <w:sz w:val="18"/>
                <w:szCs w:val="18"/>
                <w:b w:val="1"/>
                <w:bCs w:val="1"/>
                <w:color w:val="auto"/>
              </w:rPr>
              <w:t>NET EARNINGS (LOSS)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(793)</w:t>
            </w: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(0.2)</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2"/>
              </w:rPr>
              <w:t>(10,980)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4,343</w:t>
            </w:r>
          </w:p>
        </w:tc>
        <w:tc>
          <w:tcPr>
            <w:tcW w:w="660" w:type="dxa"/>
            <w:vAlign w:val="bottom"/>
            <w:gridSpan w:val="4"/>
          </w:tcPr>
          <w:p>
            <w:pPr>
              <w:jc w:val="right"/>
              <w:ind w:right="1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4"/>
                <w:szCs w:val="2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21,045</w:t>
            </w:r>
          </w:p>
        </w:tc>
        <w:tc>
          <w:tcPr>
            <w:tcW w:w="6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20" w:type="dxa"/>
            <w:vAlign w:val="bottom"/>
            <w:tcBorders>
              <w:right w:val="single" w:sz="8" w:color="CCEEFF"/>
            </w:tcBorders>
            <w:gridSpan w:val="5"/>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EARNINGS (LOSS) PER SHARE</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 BASIC</w:t>
            </w:r>
          </w:p>
        </w:tc>
        <w:tc>
          <w:tcPr>
            <w:tcW w:w="7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920" w:type="dxa"/>
            <w:vAlign w:val="bottom"/>
            <w:gridSpan w:val="5"/>
          </w:tcPr>
          <w:p>
            <w:pPr>
              <w:spacing w:after="0"/>
              <w:rPr>
                <w:sz w:val="20"/>
                <w:szCs w:val="20"/>
                <w:color w:val="auto"/>
              </w:rPr>
            </w:pPr>
            <w:r>
              <w:rPr>
                <w:rFonts w:ascii="Arial" w:cs="Arial" w:eastAsia="Arial" w:hAnsi="Arial"/>
                <w:sz w:val="18"/>
                <w:szCs w:val="18"/>
                <w:b w:val="1"/>
                <w:bCs w:val="1"/>
                <w:color w:val="auto"/>
              </w:rPr>
              <w:t>EARNINGS (LOSS) PER SHARE</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960" w:type="dxa"/>
            <w:vAlign w:val="bottom"/>
            <w:gridSpan w:val="2"/>
          </w:tcPr>
          <w:p>
            <w:pPr>
              <w:ind w:left="200"/>
              <w:spacing w:after="0"/>
              <w:rPr>
                <w:sz w:val="20"/>
                <w:szCs w:val="20"/>
                <w:color w:val="auto"/>
              </w:rPr>
            </w:pPr>
            <w:r>
              <w:rPr>
                <w:rFonts w:ascii="Arial" w:cs="Arial" w:eastAsia="Arial" w:hAnsi="Arial"/>
                <w:sz w:val="18"/>
                <w:szCs w:val="18"/>
                <w:b w:val="1"/>
                <w:bCs w:val="1"/>
                <w:color w:val="auto"/>
              </w:rPr>
              <w:t>— DILUTED</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4"/>
          </w:tcPr>
          <w:p>
            <w:pPr>
              <w:jc w:val="right"/>
              <w:ind w:right="80"/>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20" w:type="dxa"/>
            <w:vAlign w:val="bottom"/>
            <w:tcBorders>
              <w:right w:val="single" w:sz="8" w:color="CCEEFF"/>
            </w:tcBorders>
            <w:gridSpan w:val="5"/>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SHARES</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OUTSTANDING FOR BASIC</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EARNINGS (LOSS)</w:t>
            </w:r>
          </w:p>
        </w:tc>
        <w:tc>
          <w:tcPr>
            <w:tcW w:w="7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19,161</w:t>
            </w: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19,016</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19,074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19,056</w:t>
            </w: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920" w:type="dxa"/>
            <w:vAlign w:val="bottom"/>
            <w:gridSpan w:val="5"/>
          </w:tcPr>
          <w:p>
            <w:pPr>
              <w:spacing w:after="0"/>
              <w:rPr>
                <w:sz w:val="20"/>
                <w:szCs w:val="20"/>
                <w:color w:val="auto"/>
              </w:rPr>
            </w:pPr>
            <w:r>
              <w:rPr>
                <w:rFonts w:ascii="Arial" w:cs="Arial" w:eastAsia="Arial" w:hAnsi="Arial"/>
                <w:sz w:val="18"/>
                <w:szCs w:val="18"/>
                <w:b w:val="1"/>
                <w:bCs w:val="1"/>
                <w:color w:val="auto"/>
              </w:rPr>
              <w:t>WEIGHTED AVERAGE SHARES</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20" w:type="dxa"/>
            <w:vAlign w:val="bottom"/>
            <w:gridSpan w:val="5"/>
          </w:tcPr>
          <w:p>
            <w:pPr>
              <w:ind w:left="200"/>
              <w:spacing w:after="0"/>
              <w:rPr>
                <w:sz w:val="20"/>
                <w:szCs w:val="20"/>
                <w:color w:val="auto"/>
              </w:rPr>
            </w:pPr>
            <w:r>
              <w:rPr>
                <w:rFonts w:ascii="Arial" w:cs="Arial" w:eastAsia="Arial" w:hAnsi="Arial"/>
                <w:sz w:val="18"/>
                <w:szCs w:val="18"/>
                <w:b w:val="1"/>
                <w:bCs w:val="1"/>
                <w:color w:val="auto"/>
              </w:rPr>
              <w:t>OUTSTANDING FOR DILUTED</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60" w:type="dxa"/>
            <w:vAlign w:val="bottom"/>
            <w:gridSpan w:val="2"/>
          </w:tcPr>
          <w:p>
            <w:pPr>
              <w:ind w:left="200"/>
              <w:spacing w:after="0"/>
              <w:rPr>
                <w:sz w:val="20"/>
                <w:szCs w:val="20"/>
                <w:color w:val="auto"/>
              </w:rPr>
            </w:pPr>
            <w:r>
              <w:rPr>
                <w:rFonts w:ascii="Arial" w:cs="Arial" w:eastAsia="Arial" w:hAnsi="Arial"/>
                <w:sz w:val="18"/>
                <w:szCs w:val="18"/>
                <w:b w:val="1"/>
                <w:bCs w:val="1"/>
                <w:color w:val="auto"/>
              </w:rPr>
              <w:t>EARNINGS (LOSS)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19,161</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19,016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8"/>
                <w:szCs w:val="18"/>
                <w:color w:val="auto"/>
              </w:rPr>
              <w:t>19,225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19,362</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920" w:type="dxa"/>
            <w:vAlign w:val="bottom"/>
            <w:gridSpan w:val="5"/>
          </w:tcPr>
          <w:p>
            <w:pPr>
              <w:spacing w:after="0"/>
              <w:rPr>
                <w:sz w:val="20"/>
                <w:szCs w:val="20"/>
                <w:color w:val="auto"/>
              </w:rPr>
            </w:pPr>
            <w:r>
              <w:rPr>
                <w:rFonts w:ascii="Arial" w:cs="Arial" w:eastAsia="Arial" w:hAnsi="Arial"/>
                <w:sz w:val="18"/>
                <w:szCs w:val="18"/>
                <w:b w:val="1"/>
                <w:bCs w:val="1"/>
                <w:color w:val="auto"/>
              </w:rPr>
              <w:t>SUPPLEMENTAL SALES DATA</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7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color w:val="auto"/>
                <w:w w:val="97"/>
              </w:rPr>
              <w:t>Market Classification</w:t>
            </w:r>
          </w:p>
        </w:tc>
        <w:tc>
          <w:tcPr>
            <w:tcW w:w="180" w:type="dxa"/>
            <w:vAlign w:val="bottom"/>
            <w:tcBorders>
              <w:top w:val="single" w:sz="8" w:color="auto"/>
              <w:bottom w:val="single" w:sz="8" w:color="auto"/>
            </w:tcBorders>
            <w:vMerge w:val="restart"/>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8"/>
                <w:szCs w:val="18"/>
                <w:b w:val="1"/>
                <w:bCs w:val="1"/>
                <w:color w:val="auto"/>
                <w:w w:val="91"/>
              </w:rPr>
              <w:t>Quarter Period</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11"/>
          </w:tcPr>
          <w:p>
            <w:pPr>
              <w:spacing w:after="0"/>
              <w:rPr>
                <w:sz w:val="20"/>
                <w:szCs w:val="20"/>
                <w:color w:val="auto"/>
              </w:rPr>
            </w:pPr>
            <w:r>
              <w:rPr>
                <w:rFonts w:ascii="Arial" w:cs="Arial" w:eastAsia="Arial" w:hAnsi="Arial"/>
                <w:sz w:val="18"/>
                <w:szCs w:val="18"/>
                <w:b w:val="1"/>
                <w:bCs w:val="1"/>
                <w:color w:val="auto"/>
              </w:rPr>
              <w:t>Year to Date</w:t>
            </w:r>
          </w:p>
        </w:tc>
        <w:tc>
          <w:tcPr>
            <w:tcW w:w="4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8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89"/>
              </w:rPr>
              <w:t>2008</w:t>
            </w:r>
          </w:p>
        </w:tc>
        <w:tc>
          <w:tcPr>
            <w:tcW w:w="2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tcBorders>
              <w:right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w w:val="93"/>
              </w:rPr>
              <w:t>Do-It-Yourself/Retail</w:t>
            </w:r>
            <w:r>
              <w:rPr>
                <w:rFonts w:ascii="Arial" w:cs="Arial" w:eastAsia="Arial" w:hAnsi="Arial"/>
                <w:sz w:val="18"/>
                <w:szCs w:val="18"/>
                <w:color w:val="auto"/>
                <w:w w:val="93"/>
              </w:rPr>
              <w:t>$151,781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w w:val="98"/>
              </w:rPr>
              <w:t>$165,002</w:t>
            </w: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w w:val="89"/>
              </w:rPr>
              <w:t>910,679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40%   $</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988,175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8"/>
        </w:trPr>
        <w:tc>
          <w:tcPr>
            <w:tcW w:w="19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Site-Built</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tcPr>
          <w:p>
            <w:pPr>
              <w:ind w:left="200"/>
              <w:spacing w:after="0"/>
              <w:rPr>
                <w:sz w:val="20"/>
                <w:szCs w:val="20"/>
                <w:color w:val="auto"/>
              </w:rPr>
            </w:pPr>
            <w:r>
              <w:rPr>
                <w:rFonts w:ascii="Arial" w:cs="Arial" w:eastAsia="Arial" w:hAnsi="Arial"/>
                <w:sz w:val="18"/>
                <w:szCs w:val="18"/>
                <w:b w:val="1"/>
                <w:bCs w:val="1"/>
                <w:color w:val="auto"/>
              </w:rPr>
              <w:t>Construction</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93,417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840" w:type="dxa"/>
            <w:vAlign w:val="bottom"/>
            <w:gridSpan w:val="4"/>
          </w:tcPr>
          <w:p>
            <w:pPr>
              <w:jc w:val="right"/>
              <w:ind w:right="30"/>
              <w:spacing w:after="0"/>
              <w:rPr>
                <w:sz w:val="20"/>
                <w:szCs w:val="20"/>
                <w:color w:val="auto"/>
              </w:rPr>
            </w:pPr>
            <w:r>
              <w:rPr>
                <w:rFonts w:ascii="Arial" w:cs="Arial" w:eastAsia="Arial" w:hAnsi="Arial"/>
                <w:sz w:val="18"/>
                <w:szCs w:val="18"/>
                <w:color w:val="auto"/>
              </w:rPr>
              <w:t>131,115</w:t>
            </w:r>
          </w:p>
        </w:tc>
        <w:tc>
          <w:tcPr>
            <w:tcW w:w="860" w:type="dxa"/>
            <w:vAlign w:val="bottom"/>
            <w:gridSpan w:val="5"/>
          </w:tcPr>
          <w:p>
            <w:pPr>
              <w:jc w:val="right"/>
              <w:ind w:right="2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4"/>
          </w:tcPr>
          <w:p>
            <w:pPr>
              <w:jc w:val="right"/>
              <w:ind w:right="300"/>
              <w:spacing w:after="0"/>
              <w:rPr>
                <w:sz w:val="20"/>
                <w:szCs w:val="20"/>
                <w:color w:val="auto"/>
              </w:rPr>
            </w:pPr>
            <w:r>
              <w:rPr>
                <w:rFonts w:ascii="Arial" w:cs="Arial" w:eastAsia="Arial" w:hAnsi="Arial"/>
                <w:sz w:val="18"/>
                <w:szCs w:val="18"/>
                <w:color w:val="auto"/>
                <w:w w:val="89"/>
              </w:rPr>
              <w:t>454,846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3"/>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588,778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Industrial</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124,195</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137,240</w:t>
            </w: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w w:val="89"/>
              </w:rPr>
              <w:t>605,143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592,369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8"/>
        </w:trPr>
        <w:tc>
          <w:tcPr>
            <w:tcW w:w="19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Manufactured</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tcPr>
          <w:p>
            <w:pPr>
              <w:ind w:left="200"/>
              <w:spacing w:after="0"/>
              <w:rPr>
                <w:sz w:val="20"/>
                <w:szCs w:val="20"/>
                <w:color w:val="auto"/>
              </w:rPr>
            </w:pPr>
            <w:r>
              <w:rPr>
                <w:rFonts w:ascii="Arial" w:cs="Arial" w:eastAsia="Arial" w:hAnsi="Arial"/>
                <w:sz w:val="18"/>
                <w:szCs w:val="18"/>
                <w:b w:val="1"/>
                <w:bCs w:val="1"/>
                <w:color w:val="auto"/>
              </w:rPr>
              <w:t>Housing</w:t>
            </w:r>
          </w:p>
        </w:tc>
        <w:tc>
          <w:tcPr>
            <w:tcW w:w="700" w:type="dxa"/>
            <w:vAlign w:val="bottom"/>
          </w:tcPr>
          <w:p>
            <w:pPr>
              <w:jc w:val="right"/>
              <w:spacing w:after="0"/>
              <w:rPr>
                <w:sz w:val="20"/>
                <w:szCs w:val="20"/>
                <w:color w:val="auto"/>
              </w:rPr>
            </w:pPr>
            <w:r>
              <w:rPr>
                <w:rFonts w:ascii="Arial" w:cs="Arial" w:eastAsia="Arial" w:hAnsi="Arial"/>
                <w:sz w:val="18"/>
                <w:szCs w:val="18"/>
                <w:color w:val="auto"/>
              </w:rPr>
              <w:t>57,810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87,737</w:t>
            </w:r>
          </w:p>
        </w:tc>
        <w:tc>
          <w:tcPr>
            <w:tcW w:w="80" w:type="dxa"/>
            <w:vAlign w:val="bottom"/>
          </w:tcPr>
          <w:p>
            <w:pPr>
              <w:spacing w:after="0"/>
              <w:rPr>
                <w:sz w:val="20"/>
                <w:szCs w:val="20"/>
                <w:color w:val="auto"/>
              </w:rPr>
            </w:pPr>
          </w:p>
        </w:tc>
        <w:tc>
          <w:tcPr>
            <w:tcW w:w="860" w:type="dxa"/>
            <w:vAlign w:val="bottom"/>
            <w:gridSpan w:val="5"/>
          </w:tcPr>
          <w:p>
            <w:pPr>
              <w:jc w:val="right"/>
              <w:ind w:right="2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4"/>
          </w:tcPr>
          <w:p>
            <w:pPr>
              <w:jc w:val="right"/>
              <w:ind w:right="300"/>
              <w:spacing w:after="0"/>
              <w:rPr>
                <w:sz w:val="20"/>
                <w:szCs w:val="20"/>
                <w:color w:val="auto"/>
              </w:rPr>
            </w:pPr>
            <w:r>
              <w:rPr>
                <w:rFonts w:ascii="Arial" w:cs="Arial" w:eastAsia="Arial" w:hAnsi="Arial"/>
                <w:sz w:val="18"/>
                <w:szCs w:val="18"/>
                <w:color w:val="auto"/>
                <w:w w:val="89"/>
              </w:rPr>
              <w:t>303,523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3"/>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392,163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Gross Sales</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427,203</w:t>
            </w:r>
          </w:p>
        </w:tc>
        <w:tc>
          <w:tcPr>
            <w:tcW w:w="1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521,094</w:t>
            </w:r>
          </w:p>
        </w:tc>
        <w:tc>
          <w:tcPr>
            <w:tcW w:w="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jc w:val="right"/>
              <w:ind w:right="300"/>
              <w:spacing w:after="0"/>
              <w:rPr>
                <w:sz w:val="20"/>
                <w:szCs w:val="20"/>
                <w:color w:val="auto"/>
              </w:rPr>
            </w:pPr>
            <w:r>
              <w:rPr>
                <w:rFonts w:ascii="Arial" w:cs="Arial" w:eastAsia="Arial" w:hAnsi="Arial"/>
                <w:sz w:val="18"/>
                <w:szCs w:val="18"/>
                <w:color w:val="auto"/>
                <w:w w:val="99"/>
              </w:rPr>
              <w:t>2,274,191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86"/>
              </w:rPr>
              <w:t>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87"/>
              </w:rPr>
              <w:t>2,561,485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Sales Allowances</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(3,550)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(8,457)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4"/>
          </w:tcPr>
          <w:p>
            <w:pPr>
              <w:jc w:val="right"/>
              <w:ind w:right="240"/>
              <w:spacing w:after="0"/>
              <w:rPr>
                <w:sz w:val="20"/>
                <w:szCs w:val="20"/>
                <w:color w:val="auto"/>
              </w:rPr>
            </w:pPr>
            <w:r>
              <w:rPr>
                <w:rFonts w:ascii="Arial" w:cs="Arial" w:eastAsia="Arial" w:hAnsi="Arial"/>
                <w:sz w:val="18"/>
                <w:szCs w:val="18"/>
                <w:color w:val="auto"/>
                <w:w w:val="95"/>
              </w:rPr>
              <w:t>(41,797)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(48,307)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Sales</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423,653</w:t>
            </w:r>
          </w:p>
        </w:tc>
        <w:tc>
          <w:tcPr>
            <w:tcW w:w="1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512,637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2,232,394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9"/>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2,513,178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641350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724" w:gutter="0" w:footer="0" w:header="0"/>
        </w:sectPr>
      </w:pPr>
    </w:p>
    <w:bookmarkStart w:id="8" w:name="page9"/>
    <w:bookmarkEnd w:id="8"/>
    <w:p>
      <w:pPr>
        <w:jc w:val="center"/>
        <w:ind w:right="142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DECEMBER 2008/2007</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56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r>
      <w:tr>
        <w:trPr>
          <w:trHeight w:val="210"/>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13,337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43,605</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138,043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142,562</w:t>
            </w: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193,496</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235,868</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held for sale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5,490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33,624</w:t>
            </w: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27,736</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44,866</w:t>
            </w:r>
          </w:p>
        </w:tc>
      </w:tr>
      <w:tr>
        <w:trPr>
          <w:trHeight w:val="223"/>
        </w:trPr>
        <w:tc>
          <w:tcPr>
            <w:tcW w:w="6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378,102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500,525</w:t>
            </w:r>
          </w:p>
        </w:tc>
      </w:tr>
      <w:tr>
        <w:trPr>
          <w:trHeight w:val="432"/>
        </w:trPr>
        <w:tc>
          <w:tcPr>
            <w:tcW w:w="65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5,927</w:t>
            </w:r>
          </w:p>
        </w:tc>
        <w:tc>
          <w:tcPr>
            <w:tcW w:w="22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8,094</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182,014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174,121</w:t>
            </w:r>
          </w:p>
        </w:tc>
      </w:tr>
      <w:tr>
        <w:trPr>
          <w:trHeight w:val="216"/>
        </w:trPr>
        <w:tc>
          <w:tcPr>
            <w:tcW w:w="656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249,976</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274,260</w:t>
            </w:r>
          </w:p>
        </w:tc>
      </w:tr>
      <w:tr>
        <w:trPr>
          <w:trHeight w:val="223"/>
        </w:trPr>
        <w:tc>
          <w:tcPr>
            <w:tcW w:w="6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816,019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957,000</w:t>
            </w:r>
          </w:p>
        </w:tc>
      </w:tr>
      <w:tr>
        <w:trPr>
          <w:trHeight w:val="20"/>
        </w:trPr>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63,184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83,505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71,926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78,275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Current portion of long-term debt and capital leases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15,490</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945</w:t>
            </w:r>
          </w:p>
        </w:tc>
        <w:tc>
          <w:tcPr>
            <w:tcW w:w="17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150,600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162,725</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w w:val="98"/>
              </w:rPr>
              <w:t>LONG-TERM DEBT AND CAPITAL LEASE OBLIGATIONS, less current portion</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85,684</w:t>
            </w:r>
          </w:p>
        </w:tc>
        <w:tc>
          <w:tcPr>
            <w:tcW w:w="22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205,126</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37,852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52,481</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541,883</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536,668</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816,019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957,000</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017"/>
        </w:trPr>
        <w:tc>
          <w:tcPr>
            <w:tcW w:w="340" w:type="dxa"/>
            <w:vAlign w:val="bottom"/>
            <w:tcBorders>
              <w:bottom w:val="single" w:sz="8" w:color="808080"/>
            </w:tcBorders>
          </w:tcPr>
          <w:p>
            <w:pPr>
              <w:spacing w:after="0"/>
              <w:rPr>
                <w:sz w:val="24"/>
                <w:szCs w:val="24"/>
                <w:color w:val="auto"/>
              </w:rPr>
            </w:pPr>
          </w:p>
        </w:tc>
        <w:tc>
          <w:tcPr>
            <w:tcW w:w="65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jc w:val="center"/>
        <w:ind w:right="559"/>
        <w:spacing w:after="0" w:line="266" w:lineRule="auto"/>
        <w:rPr>
          <w:sz w:val="20"/>
          <w:szCs w:val="20"/>
          <w:color w:val="auto"/>
        </w:rPr>
      </w:pPr>
      <w:r>
        <w:rPr>
          <w:rFonts w:ascii="Arial" w:cs="Arial" w:eastAsia="Arial" w:hAnsi="Arial"/>
          <w:sz w:val="18"/>
          <w:szCs w:val="18"/>
          <w:b w:val="1"/>
          <w:bCs w:val="1"/>
          <w:color w:val="auto"/>
        </w:rPr>
        <w:t>CONSOLIDATED STATEMENTS OF CASH FLOWS (UNAUDITED) FOR THE TWELVE MONTHS ENDED DECEMBER 2008/2007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Net earnings</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4,343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21,045</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from operating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37,570</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39,547</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9,797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8,034</w:t>
            </w: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Expense associated with share-based compensation arrangements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1,136</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505</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associated with stock grant plans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w:t>
            </w: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(7,747)</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(4,134)</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1,116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2,168</w:t>
            </w: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Gain on sale of interest in subsidiary</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insurance settlement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Net loss on disposition of assets and other impairment and exit charges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7,062</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6,755</w:t>
            </w:r>
          </w:p>
        </w:tc>
      </w:tr>
      <w:tr>
        <w:trPr>
          <w:trHeight w:val="216"/>
        </w:trPr>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4,287</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19,538</w:t>
            </w:r>
          </w:p>
        </w:tc>
      </w:tr>
      <w:tr>
        <w:trPr>
          <w:trHeight w:val="216"/>
        </w:trPr>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42,922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27,795</w:t>
            </w:r>
          </w:p>
        </w:tc>
      </w:tr>
      <w:tr>
        <w:trPr>
          <w:trHeight w:val="216"/>
        </w:trPr>
        <w:tc>
          <w:tcPr>
            <w:tcW w:w="656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(20,153)</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(9,569)</w:t>
            </w:r>
          </w:p>
        </w:tc>
      </w:tr>
      <w:tr>
        <w:trPr>
          <w:trHeight w:val="216"/>
        </w:trPr>
        <w:tc>
          <w:tcPr>
            <w:tcW w:w="6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liabilities and other</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8,883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(23,885)</w:t>
            </w:r>
          </w:p>
        </w:tc>
      </w:tr>
      <w:tr>
        <w:trPr>
          <w:trHeight w:val="216"/>
        </w:trPr>
        <w:tc>
          <w:tcPr>
            <w:tcW w:w="6560" w:type="dxa"/>
            <w:vAlign w:val="bottom"/>
          </w:tcPr>
          <w:p>
            <w:pPr>
              <w:ind w:left="200"/>
              <w:spacing w:after="0"/>
              <w:rPr>
                <w:sz w:val="20"/>
                <w:szCs w:val="20"/>
                <w:color w:val="auto"/>
              </w:rPr>
            </w:pPr>
            <w:r>
              <w:rPr>
                <w:rFonts w:ascii="Arial" w:cs="Arial" w:eastAsia="Arial" w:hAnsi="Arial"/>
                <w:sz w:val="18"/>
                <w:szCs w:val="18"/>
                <w:color w:val="auto"/>
              </w:rPr>
              <w:t>Excess tax benefits from share-based compensation arrangements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(755)</w:t>
            </w:r>
          </w:p>
        </w:tc>
      </w:tr>
      <w:tr>
        <w:trPr>
          <w:trHeight w:val="27"/>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6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 xml:space="preserve">NET CASH FROM OPERATING ACTIVITIES </w:t>
            </w:r>
            <w:r>
              <w:rPr>
                <w:rFonts w:ascii="Arial" w:cs="Arial" w:eastAsia="Arial" w:hAnsi="Arial"/>
                <w:sz w:val="15"/>
                <w:szCs w:val="15"/>
                <w:b w:val="1"/>
                <w:bCs w:val="1"/>
                <w:color w:val="auto"/>
              </w:rPr>
              <w:t>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88,551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87,078</w:t>
            </w:r>
          </w:p>
        </w:tc>
      </w:tr>
      <w:tr>
        <w:trPr>
          <w:trHeight w:val="432"/>
        </w:trPr>
        <w:tc>
          <w:tcPr>
            <w:tcW w:w="65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(18,944)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(39,360)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Acquisitions, net of cash received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(23,338)</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(57,087)</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interest in subsidiary</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Proceeds from sale of property, plant and equipment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30,367</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4,769</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Advances on notes receivable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(1,002)</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Collection of notes receivable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556</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347</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Insurance proceeds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27"/>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6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NET CASH FROM INVESTING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(11,367)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(91,971)</w:t>
            </w:r>
          </w:p>
        </w:tc>
      </w:tr>
      <w:tr>
        <w:trPr>
          <w:trHeight w:val="432"/>
        </w:trPr>
        <w:tc>
          <w:tcPr>
            <w:tcW w:w="65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(repayments) borrowings under revolving credit facilities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(24,148)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34,648</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(80,824)</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(28,466)</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2,957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3,539</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Distributions to minority shareholder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(3,654)</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(1,797)</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Investment received from minority shareholder</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Dividends paid to shareholders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(2,284)</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(2,185)</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(8,777)</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Excess tax benefits from share-based compensation arrangements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755</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w:t>
            </w:r>
          </w:p>
        </w:tc>
      </w:tr>
      <w:tr>
        <w:trPr>
          <w:trHeight w:val="224"/>
        </w:trPr>
        <w:tc>
          <w:tcPr>
            <w:tcW w:w="6560" w:type="dxa"/>
            <w:vAlign w:val="bottom"/>
          </w:tcPr>
          <w:p>
            <w:pPr>
              <w:ind w:left="600"/>
              <w:spacing w:after="0"/>
              <w:rPr>
                <w:sz w:val="20"/>
                <w:szCs w:val="20"/>
                <w:color w:val="auto"/>
              </w:rPr>
            </w:pPr>
            <w:r>
              <w:rPr>
                <w:rFonts w:ascii="Arial" w:cs="Arial" w:eastAsia="Arial" w:hAnsi="Arial"/>
                <w:sz w:val="18"/>
                <w:szCs w:val="18"/>
                <w:b w:val="1"/>
                <w:bCs w:val="1"/>
                <w:color w:val="auto"/>
              </w:rPr>
              <w:t>NET CASH FROM FINANCING ACTIVITIES</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(107,452)</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19"/>
                <w:szCs w:val="19"/>
                <w:color w:val="auto"/>
              </w:rPr>
            </w:pPr>
          </w:p>
        </w:tc>
      </w:tr>
      <w:tr>
        <w:trPr>
          <w:trHeight w:val="215"/>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(30,268)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(7,503)</w:t>
            </w:r>
          </w:p>
        </w:tc>
      </w:tr>
      <w:tr>
        <w:trPr>
          <w:trHeight w:val="432"/>
        </w:trPr>
        <w:tc>
          <w:tcPr>
            <w:tcW w:w="65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43,605</w:t>
            </w:r>
          </w:p>
        </w:tc>
        <w:tc>
          <w:tcPr>
            <w:tcW w:w="22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51,108</w:t>
            </w:r>
          </w:p>
        </w:tc>
      </w:tr>
      <w:tr>
        <w:trPr>
          <w:trHeight w:val="223"/>
        </w:trPr>
        <w:tc>
          <w:tcPr>
            <w:tcW w:w="6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13,337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43,605</w:t>
            </w:r>
          </w:p>
        </w:tc>
      </w:tr>
      <w:tr>
        <w:trPr>
          <w:trHeight w:val="20"/>
        </w:trPr>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79"/>
        <w:spacing w:after="0" w:line="277" w:lineRule="auto"/>
        <w:rPr>
          <w:sz w:val="20"/>
          <w:szCs w:val="20"/>
          <w:color w:val="auto"/>
        </w:rPr>
      </w:pPr>
      <w:r>
        <w:rPr>
          <w:rFonts w:ascii="Arial" w:cs="Arial" w:eastAsia="Arial" w:hAnsi="Arial"/>
          <w:sz w:val="15"/>
          <w:szCs w:val="15"/>
          <w:color w:val="auto"/>
        </w:rPr>
        <w:t>1</w:t>
      </w:r>
      <w:r>
        <w:rPr>
          <w:rFonts w:ascii="Arial" w:cs="Arial" w:eastAsia="Arial" w:hAnsi="Arial"/>
          <w:sz w:val="18"/>
          <w:szCs w:val="18"/>
          <w:color w:val="auto"/>
        </w:rPr>
        <w:t>Our sale of receivables program was terminated on September 26, 2008. Therefore, our cash from operating activities for 2008</w:t>
      </w:r>
      <w:r>
        <w:rPr>
          <w:rFonts w:ascii="Arial" w:cs="Arial" w:eastAsia="Arial" w:hAnsi="Arial"/>
          <w:sz w:val="15"/>
          <w:szCs w:val="15"/>
          <w:color w:val="auto"/>
        </w:rPr>
        <w:t xml:space="preserve"> </w:t>
      </w:r>
      <w:r>
        <w:rPr>
          <w:rFonts w:ascii="Arial" w:cs="Arial" w:eastAsia="Arial" w:hAnsi="Arial"/>
          <w:sz w:val="18"/>
          <w:szCs w:val="18"/>
          <w:color w:val="auto"/>
        </w:rPr>
        <w:t>includes negative cash flow of approximately $27.1 million related to this program.</w:t>
      </w:r>
    </w:p>
    <w:sectPr>
      <w:pgSz w:w="11900" w:h="16838" w:orient="portrait"/>
      <w:cols w:equalWidth="0" w:num="1">
        <w:col w:w="9879"/>
      </w:cols>
      <w:pgMar w:left="58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2019-12-10T12:11:08Z</dcterms:created>
  <dcterms:modified xsi:type="dcterms:W3CDTF">2019-12-10T12:11:08Z</dcterms:modified>
</cp:coreProperties>
</file>