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213995</wp:posOffset>
            </wp:positionV>
            <wp:extent cx="59258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25820" cy="2603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248285</wp:posOffset>
            </wp:positionV>
            <wp:extent cx="59258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25820" cy="889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jc w:val="center"/>
        <w:ind w:right="1420"/>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9" w:lineRule="exact"/>
        <w:rPr>
          <w:sz w:val="20"/>
          <w:szCs w:val="20"/>
          <w:color w:val="auto"/>
        </w:rPr>
      </w:pPr>
    </w:p>
    <w:p>
      <w:pPr>
        <w:jc w:val="center"/>
        <w:ind w:right="1420"/>
        <w:spacing w:after="0"/>
        <w:rPr>
          <w:sz w:val="20"/>
          <w:szCs w:val="20"/>
          <w:color w:val="auto"/>
        </w:rPr>
      </w:pPr>
      <w:r>
        <w:rPr>
          <w:rFonts w:ascii="Arial" w:cs="Arial" w:eastAsia="Arial" w:hAnsi="Arial"/>
          <w:sz w:val="22"/>
          <w:szCs w:val="22"/>
          <w:b w:val="1"/>
          <w:bCs w:val="1"/>
          <w:color w:val="auto"/>
        </w:rPr>
        <w:t>Washington, D.C. 20549</w:t>
      </w:r>
    </w:p>
    <w:p>
      <w:pPr>
        <w:spacing w:after="0" w:line="141" w:lineRule="exact"/>
        <w:rPr>
          <w:sz w:val="20"/>
          <w:szCs w:val="20"/>
          <w:color w:val="auto"/>
        </w:rPr>
      </w:pPr>
    </w:p>
    <w:p>
      <w:pPr>
        <w:ind w:left="4120"/>
        <w:spacing w:after="0"/>
        <w:rPr>
          <w:sz w:val="20"/>
          <w:szCs w:val="20"/>
          <w:color w:val="auto"/>
        </w:rPr>
      </w:pPr>
      <w:r>
        <w:rPr>
          <w:rFonts w:ascii="Arial" w:cs="Arial" w:eastAsia="Arial" w:hAnsi="Arial"/>
          <w:sz w:val="32"/>
          <w:szCs w:val="32"/>
          <w:b w:val="1"/>
          <w:bCs w:val="1"/>
          <w:color w:val="auto"/>
        </w:rPr>
        <w:t>FORM 10-Q</w:t>
      </w:r>
    </w:p>
    <w:p>
      <w:pPr>
        <w:spacing w:after="0" w:line="226" w:lineRule="exact"/>
        <w:rPr>
          <w:sz w:val="20"/>
          <w:szCs w:val="20"/>
          <w:color w:val="auto"/>
        </w:rPr>
      </w:pPr>
    </w:p>
    <w:p>
      <w:pPr>
        <w:ind w:left="1460" w:right="3000" w:hanging="890"/>
        <w:spacing w:after="0" w:line="256" w:lineRule="auto"/>
        <w:tabs>
          <w:tab w:leader="none" w:pos="1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31" w:lineRule="exact"/>
        <w:rPr>
          <w:sz w:val="20"/>
          <w:szCs w:val="20"/>
          <w:color w:val="auto"/>
        </w:rPr>
      </w:pPr>
    </w:p>
    <w:p>
      <w:pPr>
        <w:jc w:val="center"/>
        <w:ind w:right="1420"/>
        <w:spacing w:after="0"/>
        <w:rPr>
          <w:sz w:val="20"/>
          <w:szCs w:val="20"/>
          <w:color w:val="auto"/>
        </w:rPr>
      </w:pPr>
      <w:r>
        <w:rPr>
          <w:rFonts w:ascii="Arial" w:cs="Arial" w:eastAsia="Arial" w:hAnsi="Arial"/>
          <w:sz w:val="18"/>
          <w:szCs w:val="18"/>
          <w:b w:val="1"/>
          <w:bCs w:val="1"/>
          <w:color w:val="auto"/>
        </w:rPr>
        <w:t xml:space="preserve">For the quarterly period ended </w:t>
      </w:r>
      <w:r>
        <w:rPr>
          <w:rFonts w:ascii="Arial" w:cs="Arial" w:eastAsia="Arial" w:hAnsi="Arial"/>
          <w:sz w:val="18"/>
          <w:szCs w:val="18"/>
          <w:b w:val="1"/>
          <w:bCs w:val="1"/>
          <w:u w:val="single" w:color="auto"/>
          <w:color w:val="auto"/>
        </w:rPr>
        <w:t>March 29, 2008</w:t>
      </w:r>
    </w:p>
    <w:p>
      <w:pPr>
        <w:spacing w:after="0" w:line="185" w:lineRule="exact"/>
        <w:rPr>
          <w:sz w:val="20"/>
          <w:szCs w:val="20"/>
          <w:color w:val="auto"/>
        </w:rPr>
      </w:pPr>
    </w:p>
    <w:p>
      <w:pPr>
        <w:jc w:val="center"/>
        <w:ind w:right="1420"/>
        <w:spacing w:after="0"/>
        <w:rPr>
          <w:sz w:val="20"/>
          <w:szCs w:val="20"/>
          <w:color w:val="auto"/>
        </w:rPr>
      </w:pPr>
      <w:r>
        <w:rPr>
          <w:rFonts w:ascii="Arial" w:cs="Arial" w:eastAsia="Arial" w:hAnsi="Arial"/>
          <w:sz w:val="18"/>
          <w:szCs w:val="18"/>
          <w:b w:val="1"/>
          <w:bCs w:val="1"/>
          <w:color w:val="auto"/>
        </w:rPr>
        <w:t>OR</w:t>
      </w:r>
    </w:p>
    <w:p>
      <w:pPr>
        <w:spacing w:after="0" w:line="216" w:lineRule="exact"/>
        <w:rPr>
          <w:sz w:val="20"/>
          <w:szCs w:val="20"/>
          <w:color w:val="auto"/>
        </w:rPr>
      </w:pPr>
    </w:p>
    <w:p>
      <w:pPr>
        <w:ind w:left="1460" w:right="2980" w:hanging="850"/>
        <w:spacing w:after="0" w:line="256" w:lineRule="auto"/>
        <w:tabs>
          <w:tab w:leader="none" w:pos="146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45" w:lineRule="exact"/>
        <w:rPr>
          <w:sz w:val="20"/>
          <w:szCs w:val="20"/>
          <w:color w:val="auto"/>
        </w:rPr>
      </w:pPr>
    </w:p>
    <w:p>
      <w:pPr>
        <w:jc w:val="center"/>
        <w:ind w:right="1420"/>
        <w:spacing w:after="0"/>
        <w:rPr>
          <w:sz w:val="20"/>
          <w:szCs w:val="20"/>
          <w:color w:val="auto"/>
        </w:rPr>
      </w:pPr>
      <w:r>
        <w:rPr>
          <w:rFonts w:ascii="Arial" w:cs="Arial" w:eastAsia="Arial" w:hAnsi="Arial"/>
          <w:sz w:val="18"/>
          <w:szCs w:val="18"/>
          <w:b w:val="1"/>
          <w:bCs w:val="1"/>
          <w:color w:val="auto"/>
        </w:rPr>
        <w:t xml:space="preserve">Commission File Number </w:t>
      </w:r>
      <w:r>
        <w:rPr>
          <w:rFonts w:ascii="Arial" w:cs="Arial" w:eastAsia="Arial" w:hAnsi="Arial"/>
          <w:sz w:val="18"/>
          <w:szCs w:val="18"/>
          <w:b w:val="1"/>
          <w:bCs w:val="1"/>
          <w:u w:val="single" w:color="auto"/>
          <w:color w:val="auto"/>
        </w:rPr>
        <w:t>0-22684</w:t>
      </w:r>
    </w:p>
    <w:p>
      <w:pPr>
        <w:spacing w:after="0" w:line="160" w:lineRule="exact"/>
        <w:rPr>
          <w:sz w:val="20"/>
          <w:szCs w:val="20"/>
          <w:color w:val="auto"/>
        </w:rPr>
      </w:pPr>
    </w:p>
    <w:p>
      <w:pPr>
        <w:jc w:val="center"/>
        <w:ind w:right="1420"/>
        <w:spacing w:after="0"/>
        <w:rPr>
          <w:sz w:val="20"/>
          <w:szCs w:val="20"/>
          <w:color w:val="auto"/>
        </w:rPr>
      </w:pPr>
      <w:r>
        <w:rPr>
          <w:rFonts w:ascii="Arial" w:cs="Arial" w:eastAsia="Arial" w:hAnsi="Arial"/>
          <w:sz w:val="43"/>
          <w:szCs w:val="43"/>
          <w:b w:val="1"/>
          <w:bCs w:val="1"/>
          <w:color w:val="auto"/>
        </w:rPr>
        <w:t>UNIVERSAL FOREST PRODUCTS, INC.</w:t>
      </w:r>
    </w:p>
    <w:p>
      <w:pPr>
        <w:spacing w:after="0" w:line="50" w:lineRule="exact"/>
        <w:rPr>
          <w:sz w:val="20"/>
          <w:szCs w:val="20"/>
          <w:color w:val="auto"/>
        </w:rPr>
      </w:pPr>
    </w:p>
    <w:p>
      <w:pPr>
        <w:ind w:left="3140"/>
        <w:spacing w:after="0"/>
        <w:rPr>
          <w:sz w:val="20"/>
          <w:szCs w:val="20"/>
          <w:color w:val="auto"/>
        </w:rPr>
      </w:pPr>
      <w:r>
        <w:rPr>
          <w:rFonts w:ascii="Arial" w:cs="Arial" w:eastAsia="Arial" w:hAnsi="Arial"/>
          <w:sz w:val="18"/>
          <w:szCs w:val="18"/>
          <w:color w:val="auto"/>
        </w:rPr>
        <w:t>(Exact name of registrant as specified in its charter)</w:t>
      </w:r>
    </w:p>
    <w:p>
      <w:pPr>
        <w:spacing w:after="0" w:line="209"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4420" w:type="dxa"/>
            <w:vAlign w:val="bottom"/>
          </w:tcPr>
          <w:p>
            <w:pPr>
              <w:jc w:val="center"/>
              <w:spacing w:after="0"/>
              <w:rPr>
                <w:sz w:val="20"/>
                <w:szCs w:val="20"/>
                <w:color w:val="auto"/>
              </w:rPr>
            </w:pPr>
            <w:r>
              <w:rPr>
                <w:rFonts w:ascii="Arial" w:cs="Arial" w:eastAsia="Arial" w:hAnsi="Arial"/>
                <w:sz w:val="18"/>
                <w:szCs w:val="18"/>
                <w:color w:val="auto"/>
                <w:w w:val="97"/>
              </w:rPr>
              <w:t>Michigan</w:t>
            </w:r>
          </w:p>
        </w:tc>
        <w:tc>
          <w:tcPr>
            <w:tcW w:w="4900" w:type="dxa"/>
            <w:vAlign w:val="bottom"/>
            <w:gridSpan w:val="2"/>
          </w:tcPr>
          <w:p>
            <w:pPr>
              <w:jc w:val="center"/>
              <w:ind w:left="370"/>
              <w:spacing w:after="0"/>
              <w:rPr>
                <w:sz w:val="20"/>
                <w:szCs w:val="20"/>
                <w:color w:val="auto"/>
              </w:rPr>
            </w:pPr>
            <w:r>
              <w:rPr>
                <w:rFonts w:ascii="Arial" w:cs="Arial" w:eastAsia="Arial" w:hAnsi="Arial"/>
                <w:sz w:val="18"/>
                <w:szCs w:val="18"/>
                <w:color w:val="auto"/>
                <w:w w:val="91"/>
              </w:rPr>
              <w:t>38-1465835</w:t>
            </w:r>
          </w:p>
        </w:tc>
      </w:tr>
      <w:tr>
        <w:trPr>
          <w:trHeight w:val="209"/>
        </w:trPr>
        <w:tc>
          <w:tcPr>
            <w:tcW w:w="4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(State or other jurisdiction of</w:t>
            </w:r>
          </w:p>
        </w:tc>
        <w:tc>
          <w:tcPr>
            <w:tcW w:w="460" w:type="dxa"/>
            <w:vAlign w:val="bottom"/>
          </w:tcPr>
          <w:p>
            <w:pPr>
              <w:spacing w:after="0"/>
              <w:rPr>
                <w:sz w:val="18"/>
                <w:szCs w:val="18"/>
                <w:color w:val="auto"/>
              </w:rPr>
            </w:pPr>
          </w:p>
        </w:tc>
        <w:tc>
          <w:tcPr>
            <w:tcW w:w="44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(I.R.S. Employer</w:t>
            </w:r>
          </w:p>
        </w:tc>
      </w:tr>
      <w:tr>
        <w:trPr>
          <w:trHeight w:val="230"/>
        </w:trPr>
        <w:tc>
          <w:tcPr>
            <w:tcW w:w="4420" w:type="dxa"/>
            <w:vAlign w:val="bottom"/>
          </w:tcPr>
          <w:p>
            <w:pPr>
              <w:jc w:val="center"/>
              <w:spacing w:after="0"/>
              <w:rPr>
                <w:sz w:val="20"/>
                <w:szCs w:val="20"/>
                <w:color w:val="auto"/>
              </w:rPr>
            </w:pPr>
            <w:r>
              <w:rPr>
                <w:rFonts w:ascii="Arial" w:cs="Arial" w:eastAsia="Arial" w:hAnsi="Arial"/>
                <w:sz w:val="18"/>
                <w:szCs w:val="18"/>
                <w:color w:val="auto"/>
                <w:w w:val="93"/>
              </w:rPr>
              <w:t>incorporation or organization)</w:t>
            </w:r>
          </w:p>
        </w:tc>
        <w:tc>
          <w:tcPr>
            <w:tcW w:w="460" w:type="dxa"/>
            <w:vAlign w:val="bottom"/>
          </w:tcPr>
          <w:p>
            <w:pPr>
              <w:spacing w:after="0"/>
              <w:rPr>
                <w:sz w:val="20"/>
                <w:szCs w:val="20"/>
                <w:color w:val="auto"/>
              </w:rPr>
            </w:pPr>
          </w:p>
        </w:tc>
        <w:tc>
          <w:tcPr>
            <w:tcW w:w="4440" w:type="dxa"/>
            <w:vAlign w:val="bottom"/>
          </w:tcPr>
          <w:p>
            <w:pPr>
              <w:jc w:val="center"/>
              <w:spacing w:after="0"/>
              <w:rPr>
                <w:sz w:val="20"/>
                <w:szCs w:val="20"/>
                <w:color w:val="auto"/>
              </w:rPr>
            </w:pPr>
            <w:r>
              <w:rPr>
                <w:rFonts w:ascii="Arial" w:cs="Arial" w:eastAsia="Arial" w:hAnsi="Arial"/>
                <w:sz w:val="18"/>
                <w:szCs w:val="18"/>
                <w:color w:val="auto"/>
                <w:w w:val="94"/>
              </w:rPr>
              <w:t>Identification Number)</w:t>
            </w:r>
          </w:p>
        </w:tc>
      </w:tr>
      <w:tr>
        <w:trPr>
          <w:trHeight w:val="432"/>
        </w:trPr>
        <w:tc>
          <w:tcPr>
            <w:tcW w:w="4420" w:type="dxa"/>
            <w:vAlign w:val="bottom"/>
          </w:tcPr>
          <w:p>
            <w:pPr>
              <w:jc w:val="center"/>
              <w:spacing w:after="0"/>
              <w:rPr>
                <w:sz w:val="20"/>
                <w:szCs w:val="20"/>
                <w:color w:val="auto"/>
              </w:rPr>
            </w:pPr>
            <w:r>
              <w:rPr>
                <w:rFonts w:ascii="Arial" w:cs="Arial" w:eastAsia="Arial" w:hAnsi="Arial"/>
                <w:sz w:val="18"/>
                <w:szCs w:val="18"/>
                <w:color w:val="auto"/>
                <w:w w:val="92"/>
              </w:rPr>
              <w:t>2801 East Beltline NE, Grand Rapids, Michigan</w:t>
            </w:r>
          </w:p>
        </w:tc>
        <w:tc>
          <w:tcPr>
            <w:tcW w:w="4900" w:type="dxa"/>
            <w:vAlign w:val="bottom"/>
            <w:gridSpan w:val="2"/>
          </w:tcPr>
          <w:p>
            <w:pPr>
              <w:jc w:val="right"/>
              <w:ind w:right="2010"/>
              <w:spacing w:after="0"/>
              <w:rPr>
                <w:sz w:val="20"/>
                <w:szCs w:val="20"/>
                <w:color w:val="auto"/>
              </w:rPr>
            </w:pPr>
            <w:r>
              <w:rPr>
                <w:rFonts w:ascii="Arial" w:cs="Arial" w:eastAsia="Arial" w:hAnsi="Arial"/>
                <w:sz w:val="18"/>
                <w:szCs w:val="18"/>
                <w:color w:val="auto"/>
              </w:rPr>
              <w:t>49525</w:t>
            </w:r>
          </w:p>
        </w:tc>
      </w:tr>
      <w:tr>
        <w:trPr>
          <w:trHeight w:val="224"/>
        </w:trPr>
        <w:tc>
          <w:tcPr>
            <w:tcW w:w="4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460" w:type="dxa"/>
            <w:vAlign w:val="bottom"/>
          </w:tcPr>
          <w:p>
            <w:pPr>
              <w:spacing w:after="0"/>
              <w:rPr>
                <w:sz w:val="19"/>
                <w:szCs w:val="19"/>
                <w:color w:val="auto"/>
              </w:rPr>
            </w:pPr>
          </w:p>
        </w:tc>
        <w:tc>
          <w:tcPr>
            <w:tcW w:w="44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160"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(616) 364-6161</w:t>
      </w:r>
    </w:p>
    <w:p>
      <w:pPr>
        <w:spacing w:after="0" w:line="198"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NONE</w:t>
      </w:r>
    </w:p>
    <w:p>
      <w:pPr>
        <w:spacing w:after="0" w:line="23"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1754505</wp:posOffset>
            </wp:positionH>
            <wp:positionV relativeFrom="paragraph">
              <wp:posOffset>-130810</wp:posOffset>
            </wp:positionV>
            <wp:extent cx="28384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38450" cy="8890"/>
                    </a:xfrm>
                    <a:prstGeom prst="rect">
                      <a:avLst/>
                    </a:prstGeom>
                    <a:noFill/>
                  </pic:spPr>
                </pic:pic>
              </a:graphicData>
            </a:graphic>
          </wp:anchor>
        </w:drawing>
      </w:r>
    </w:p>
    <w:p>
      <w:pPr>
        <w:spacing w:after="0" w:line="164" w:lineRule="exact"/>
        <w:rPr>
          <w:sz w:val="20"/>
          <w:szCs w:val="20"/>
          <w:color w:val="auto"/>
        </w:rPr>
      </w:pPr>
    </w:p>
    <w:p>
      <w:pPr>
        <w:jc w:val="both"/>
        <w:ind w:left="340" w:right="1760"/>
        <w:spacing w:after="0" w:line="227" w:lineRule="exact"/>
        <w:rPr>
          <w:sz w:val="20"/>
          <w:szCs w:val="20"/>
          <w:color w:val="auto"/>
        </w:rPr>
      </w:pPr>
      <w:r>
        <w:rPr>
          <w:rFonts w:ascii="Arial" w:cs="Arial" w:eastAsia="Arial" w:hAnsi="Arial"/>
          <w:sz w:val="18"/>
          <w:szCs w:val="18"/>
          <w:color w:val="auto"/>
        </w:rPr>
        <w:t xml:space="preserve">Indicate by checkmark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43" w:lineRule="exact"/>
        <w:rPr>
          <w:sz w:val="20"/>
          <w:szCs w:val="20"/>
          <w:color w:val="auto"/>
        </w:rPr>
      </w:pPr>
    </w:p>
    <w:p>
      <w:pPr>
        <w:jc w:val="both"/>
        <w:ind w:left="340" w:right="1760"/>
        <w:spacing w:after="0" w:line="264" w:lineRule="auto"/>
        <w:rPr>
          <w:sz w:val="20"/>
          <w:szCs w:val="20"/>
          <w:color w:val="auto"/>
        </w:rPr>
      </w:pPr>
      <w:r>
        <w:rPr>
          <w:rFonts w:ascii="Arial" w:cs="Arial" w:eastAsia="Arial" w:hAnsi="Arial"/>
          <w:sz w:val="18"/>
          <w:szCs w:val="18"/>
          <w:color w:val="auto"/>
        </w:rPr>
        <w:t>Indicate by checkmark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122" w:right="239" w:bottom="1440" w:gutter="0" w:footer="0" w:header="0"/>
        </w:sectPr>
      </w:pPr>
    </w:p>
    <w:p>
      <w:pPr>
        <w:spacing w:after="0" w:line="149" w:lineRule="exact"/>
        <w:rPr>
          <w:sz w:val="20"/>
          <w:szCs w:val="20"/>
          <w:color w:val="auto"/>
        </w:rPr>
      </w:pPr>
    </w:p>
    <w:p>
      <w:pPr>
        <w:ind w:left="42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ind w:right="1800" w:firstLine="730"/>
        <w:spacing w:after="0" w:line="277" w:lineRule="auto"/>
        <w:rPr>
          <w:sz w:val="20"/>
          <w:szCs w:val="20"/>
          <w:color w:val="auto"/>
        </w:rPr>
      </w:pPr>
      <w:r>
        <w:rPr>
          <w:rFonts w:ascii="Arial" w:cs="Arial" w:eastAsia="Arial" w:hAnsi="Arial"/>
          <w:sz w:val="18"/>
          <w:szCs w:val="18"/>
          <w:color w:val="auto"/>
        </w:rPr>
        <w:t>Non-Accelerated Filer o Smaller reporting company: o (Do not check if a smaller reporting company)</w:t>
      </w:r>
    </w:p>
    <w:p>
      <w:pPr>
        <w:spacing w:after="0" w:line="111" w:lineRule="exact"/>
        <w:rPr>
          <w:sz w:val="20"/>
          <w:szCs w:val="20"/>
          <w:color w:val="auto"/>
        </w:rPr>
      </w:pPr>
    </w:p>
    <w:p>
      <w:pPr>
        <w:sectPr>
          <w:pgSz w:w="11900" w:h="16838" w:orient="portrait"/>
          <w:cols w:equalWidth="0" w:num="3">
            <w:col w:w="2340" w:space="720"/>
            <w:col w:w="1380" w:space="60"/>
            <w:col w:w="6920"/>
          </w:cols>
          <w:pgMar w:left="240" w:top="122" w:right="239" w:bottom="1440" w:gutter="0" w:footer="0" w:header="0"/>
          <w:type w:val="continuous"/>
        </w:sectPr>
      </w:pPr>
    </w:p>
    <w:p>
      <w:pPr>
        <w:ind w:left="340"/>
        <w:spacing w:after="0" w:line="207" w:lineRule="exact"/>
        <w:rPr>
          <w:sz w:val="20"/>
          <w:szCs w:val="20"/>
          <w:color w:val="auto"/>
        </w:rPr>
      </w:pPr>
      <w:r>
        <w:rPr>
          <w:rFonts w:ascii="Arial" w:cs="Arial" w:eastAsia="Arial" w:hAnsi="Arial"/>
          <w:sz w:val="18"/>
          <w:szCs w:val="18"/>
          <w:color w:val="auto"/>
        </w:rPr>
        <w:t xml:space="preserve">Indicate by checkmark whether the registrant is a shell company (as defined by Rule 12b-2 of the Exchange Act). Yes o No </w:t>
      </w:r>
      <w:r>
        <w:rPr>
          <w:rFonts w:ascii="MS PGothic" w:cs="MS PGothic" w:eastAsia="MS PGothic" w:hAnsi="MS PGothic"/>
          <w:sz w:val="18"/>
          <w:szCs w:val="18"/>
          <w:color w:val="auto"/>
        </w:rPr>
        <w:t>☑</w:t>
      </w:r>
    </w:p>
    <w:p>
      <w:pPr>
        <w:spacing w:after="0" w:line="2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4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4"/>
              </w:rPr>
              <w:t>Class</w:t>
            </w:r>
          </w:p>
        </w:tc>
        <w:tc>
          <w:tcPr>
            <w:tcW w:w="460" w:type="dxa"/>
            <w:vAlign w:val="bottom"/>
          </w:tcPr>
          <w:p>
            <w:pPr>
              <w:spacing w:after="0"/>
              <w:rPr>
                <w:sz w:val="20"/>
                <w:szCs w:val="20"/>
                <w:color w:val="auto"/>
              </w:rPr>
            </w:pPr>
          </w:p>
        </w:tc>
        <w:tc>
          <w:tcPr>
            <w:tcW w:w="4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Outstanding as of March 29, 2008</w:t>
            </w:r>
          </w:p>
        </w:tc>
        <w:tc>
          <w:tcPr>
            <w:tcW w:w="1760" w:type="dxa"/>
            <w:vAlign w:val="bottom"/>
          </w:tcPr>
          <w:p>
            <w:pPr>
              <w:spacing w:after="0"/>
              <w:rPr>
                <w:sz w:val="20"/>
                <w:szCs w:val="20"/>
                <w:color w:val="auto"/>
              </w:rPr>
            </w:pPr>
          </w:p>
        </w:tc>
      </w:tr>
      <w:tr>
        <w:trPr>
          <w:trHeight w:val="224"/>
        </w:trPr>
        <w:tc>
          <w:tcPr>
            <w:tcW w:w="340" w:type="dxa"/>
            <w:vAlign w:val="bottom"/>
          </w:tcPr>
          <w:p>
            <w:pPr>
              <w:spacing w:after="0"/>
              <w:rPr>
                <w:sz w:val="19"/>
                <w:szCs w:val="19"/>
                <w:color w:val="auto"/>
              </w:rPr>
            </w:pPr>
          </w:p>
        </w:tc>
        <w:tc>
          <w:tcPr>
            <w:tcW w:w="4420" w:type="dxa"/>
            <w:vAlign w:val="bottom"/>
          </w:tcPr>
          <w:p>
            <w:pPr>
              <w:jc w:val="center"/>
              <w:spacing w:after="0"/>
              <w:rPr>
                <w:sz w:val="20"/>
                <w:szCs w:val="20"/>
                <w:color w:val="auto"/>
              </w:rPr>
            </w:pPr>
            <w:r>
              <w:rPr>
                <w:rFonts w:ascii="Arial" w:cs="Arial" w:eastAsia="Arial" w:hAnsi="Arial"/>
                <w:sz w:val="18"/>
                <w:szCs w:val="18"/>
                <w:color w:val="auto"/>
                <w:w w:val="89"/>
              </w:rPr>
              <w:t>Common stock, no par value</w:t>
            </w:r>
          </w:p>
        </w:tc>
        <w:tc>
          <w:tcPr>
            <w:tcW w:w="460" w:type="dxa"/>
            <w:vAlign w:val="bottom"/>
          </w:tcPr>
          <w:p>
            <w:pPr>
              <w:spacing w:after="0"/>
              <w:rPr>
                <w:sz w:val="19"/>
                <w:szCs w:val="19"/>
                <w:color w:val="auto"/>
              </w:rPr>
            </w:pPr>
          </w:p>
        </w:tc>
        <w:tc>
          <w:tcPr>
            <w:tcW w:w="4440" w:type="dxa"/>
            <w:vAlign w:val="bottom"/>
          </w:tcPr>
          <w:p>
            <w:pPr>
              <w:jc w:val="right"/>
              <w:ind w:right="1730"/>
              <w:spacing w:after="0"/>
              <w:rPr>
                <w:sz w:val="20"/>
                <w:szCs w:val="20"/>
                <w:color w:val="auto"/>
              </w:rPr>
            </w:pPr>
            <w:r>
              <w:rPr>
                <w:rFonts w:ascii="Arial" w:cs="Arial" w:eastAsia="Arial" w:hAnsi="Arial"/>
                <w:sz w:val="18"/>
                <w:szCs w:val="18"/>
                <w:color w:val="auto"/>
              </w:rPr>
              <w:t>18,940,741</w:t>
            </w:r>
          </w:p>
        </w:tc>
        <w:tc>
          <w:tcPr>
            <w:tcW w:w="1760" w:type="dxa"/>
            <w:vAlign w:val="bottom"/>
          </w:tcPr>
          <w:p>
            <w:pPr>
              <w:spacing w:after="0"/>
              <w:rPr>
                <w:sz w:val="19"/>
                <w:szCs w:val="19"/>
                <w:color w:val="auto"/>
              </w:rPr>
            </w:pPr>
          </w:p>
        </w:tc>
      </w:tr>
      <w:tr>
        <w:trPr>
          <w:trHeight w:val="222"/>
        </w:trPr>
        <w:tc>
          <w:tcPr>
            <w:tcW w:w="340" w:type="dxa"/>
            <w:vAlign w:val="bottom"/>
          </w:tcPr>
          <w:p>
            <w:pPr>
              <w:spacing w:after="0"/>
              <w:rPr>
                <w:sz w:val="19"/>
                <w:szCs w:val="19"/>
                <w:color w:val="auto"/>
              </w:rPr>
            </w:pPr>
          </w:p>
        </w:tc>
        <w:tc>
          <w:tcPr>
            <w:tcW w:w="44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4440" w:type="dxa"/>
            <w:vAlign w:val="bottom"/>
            <w:tcBorders>
              <w:bottom w:val="single" w:sz="8" w:color="auto"/>
            </w:tcBorders>
          </w:tcPr>
          <w:p>
            <w:pPr>
              <w:spacing w:after="0"/>
              <w:rPr>
                <w:sz w:val="19"/>
                <w:szCs w:val="19"/>
                <w:color w:val="auto"/>
              </w:rPr>
            </w:pPr>
          </w:p>
        </w:tc>
        <w:tc>
          <w:tcPr>
            <w:tcW w:w="1760" w:type="dxa"/>
            <w:vAlign w:val="bottom"/>
          </w:tcPr>
          <w:p>
            <w:pPr>
              <w:spacing w:after="0"/>
              <w:rPr>
                <w:sz w:val="19"/>
                <w:szCs w:val="19"/>
                <w:color w:val="auto"/>
              </w:rPr>
            </w:pPr>
          </w:p>
        </w:tc>
      </w:tr>
      <w:tr>
        <w:trPr>
          <w:trHeight w:val="1023"/>
        </w:trPr>
        <w:tc>
          <w:tcPr>
            <w:tcW w:w="340" w:type="dxa"/>
            <w:vAlign w:val="bottom"/>
            <w:tcBorders>
              <w:bottom w:val="single" w:sz="8" w:color="808080"/>
            </w:tcBorders>
          </w:tcPr>
          <w:p>
            <w:pPr>
              <w:spacing w:after="0"/>
              <w:rPr>
                <w:sz w:val="24"/>
                <w:szCs w:val="24"/>
                <w:color w:val="auto"/>
              </w:rPr>
            </w:pPr>
          </w:p>
        </w:tc>
        <w:tc>
          <w:tcPr>
            <w:tcW w:w="442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4440" w:type="dxa"/>
            <w:vAlign w:val="bottom"/>
            <w:tcBorders>
              <w:bottom w:val="single" w:sz="8" w:color="808080"/>
            </w:tcBorders>
          </w:tcPr>
          <w:p>
            <w:pPr>
              <w:spacing w:after="0"/>
              <w:rPr>
                <w:sz w:val="24"/>
                <w:szCs w:val="24"/>
                <w:color w:val="auto"/>
              </w:rPr>
            </w:pPr>
          </w:p>
        </w:tc>
        <w:tc>
          <w:tcPr>
            <w:tcW w:w="17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60" w:type="dxa"/>
            <w:vAlign w:val="bottom"/>
            <w:gridSpan w:val="9"/>
          </w:tcPr>
          <w:p>
            <w:pPr>
              <w:ind w:left="940"/>
              <w:spacing w:after="0"/>
              <w:rPr>
                <w:sz w:val="20"/>
                <w:szCs w:val="20"/>
                <w:color w:val="auto"/>
              </w:rPr>
            </w:pPr>
            <w:r>
              <w:rPr>
                <w:rFonts w:ascii="Arial" w:cs="Arial" w:eastAsia="Arial" w:hAnsi="Arial"/>
                <w:sz w:val="18"/>
                <w:szCs w:val="18"/>
                <w:b w:val="1"/>
                <w:bCs w:val="1"/>
                <w:color w:val="auto"/>
              </w:rPr>
              <w:t>TABLE OF CONTENTS</w:t>
            </w: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220" w:type="dxa"/>
            <w:vAlign w:val="bottom"/>
            <w:gridSpan w:val="19"/>
            <w:vMerge w:val="restart"/>
          </w:tcPr>
          <w:p>
            <w:pPr>
              <w:spacing w:after="0"/>
              <w:rPr>
                <w:sz w:val="20"/>
                <w:szCs w:val="20"/>
                <w:color w:val="auto"/>
              </w:rPr>
            </w:pPr>
            <w:r>
              <w:rPr>
                <w:rFonts w:ascii="Arial" w:cs="Arial" w:eastAsia="Arial" w:hAnsi="Arial"/>
                <w:sz w:val="18"/>
                <w:szCs w:val="18"/>
                <w:b w:val="1"/>
                <w:bCs w:val="1"/>
                <w:color w:val="auto"/>
              </w:rPr>
              <w:t>PART I. FINANCIAL INFORMATION</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Page No.</w:t>
            </w:r>
          </w:p>
        </w:tc>
        <w:tc>
          <w:tcPr>
            <w:tcW w:w="0" w:type="dxa"/>
            <w:vAlign w:val="bottom"/>
          </w:tcPr>
          <w:p>
            <w:pPr>
              <w:spacing w:after="0"/>
              <w:rPr>
                <w:sz w:val="1"/>
                <w:szCs w:val="1"/>
                <w:color w:val="auto"/>
              </w:rPr>
            </w:pPr>
          </w:p>
        </w:tc>
      </w:tr>
      <w:tr>
        <w:trPr>
          <w:trHeight w:val="210"/>
        </w:trPr>
        <w:tc>
          <w:tcPr>
            <w:tcW w:w="8220" w:type="dxa"/>
            <w:vAlign w:val="bottom"/>
            <w:gridSpan w:val="19"/>
            <w:vMerge w:val="continue"/>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20" w:type="dxa"/>
            <w:vAlign w:val="bottom"/>
            <w:gridSpan w:val="17"/>
          </w:tcPr>
          <w:p>
            <w:pPr>
              <w:spacing w:after="0"/>
              <w:rPr>
                <w:sz w:val="20"/>
                <w:szCs w:val="20"/>
                <w:color w:val="auto"/>
              </w:rPr>
            </w:pPr>
            <w:r>
              <w:rPr>
                <w:rFonts w:ascii="Arial" w:cs="Arial" w:eastAsia="Arial" w:hAnsi="Arial"/>
                <w:sz w:val="18"/>
                <w:szCs w:val="18"/>
                <w:color w:val="auto"/>
              </w:rPr>
              <w:t>Item 1. Financial Statements</w:t>
            </w: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20" w:type="dxa"/>
            <w:vAlign w:val="bottom"/>
            <w:gridSpan w:val="16"/>
          </w:tcPr>
          <w:p>
            <w:pPr>
              <w:spacing w:after="0"/>
              <w:rPr>
                <w:rFonts w:ascii="Arial" w:cs="Arial" w:eastAsia="Arial" w:hAnsi="Arial"/>
                <w:sz w:val="18"/>
                <w:szCs w:val="18"/>
                <w:color w:val="0000EE"/>
                <w:w w:val="94"/>
              </w:rPr>
            </w:pPr>
            <w:hyperlink w:anchor="page4">
              <w:r>
                <w:rPr>
                  <w:rFonts w:ascii="Arial" w:cs="Arial" w:eastAsia="Arial" w:hAnsi="Arial"/>
                  <w:sz w:val="18"/>
                  <w:szCs w:val="18"/>
                  <w:color w:val="0000EE"/>
                  <w:w w:val="94"/>
                </w:rPr>
                <w:t>Consolidated Condensed Balance Sheets at March 29, 2008, December 29, 2007, and March 31, 2007</w:t>
              </w:r>
            </w:hyperlink>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340" w:type="dxa"/>
            <w:vAlign w:val="bottom"/>
            <w:tcBorders>
              <w:top w:val="single" w:sz="8" w:color="0000EE"/>
            </w:tcBorders>
            <w:gridSpan w:val="15"/>
          </w:tcPr>
          <w:p>
            <w:pPr>
              <w:spacing w:after="0"/>
              <w:rPr>
                <w:rFonts w:ascii="Arial" w:cs="Arial" w:eastAsia="Arial" w:hAnsi="Arial"/>
                <w:sz w:val="18"/>
                <w:szCs w:val="18"/>
                <w:color w:val="0000EE"/>
                <w:w w:val="92"/>
              </w:rPr>
            </w:pPr>
            <w:hyperlink w:anchor="page5">
              <w:r>
                <w:rPr>
                  <w:rFonts w:ascii="Arial" w:cs="Arial" w:eastAsia="Arial" w:hAnsi="Arial"/>
                  <w:sz w:val="18"/>
                  <w:szCs w:val="18"/>
                  <w:color w:val="0000EE"/>
                  <w:w w:val="92"/>
                </w:rPr>
                <w:t>Consolidated Condensed Statements of Earnings for the Three Months Ended March 29, 2008 and</w:t>
              </w:r>
            </w:hyperlink>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688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March 31, 2007</w:t>
              </w:r>
            </w:hyperlink>
          </w:p>
        </w:tc>
        <w:tc>
          <w:tcPr>
            <w:tcW w:w="740" w:type="dxa"/>
            <w:vAlign w:val="bottom"/>
            <w:gridSpan w:val="4"/>
          </w:tcPr>
          <w:p>
            <w:pPr>
              <w:spacing w:after="0"/>
              <w:rPr>
                <w:sz w:val="17"/>
                <w:szCs w:val="17"/>
                <w:color w:val="auto"/>
              </w:rPr>
            </w:pPr>
          </w:p>
        </w:tc>
        <w:tc>
          <w:tcPr>
            <w:tcW w:w="10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20" w:type="dxa"/>
            <w:vAlign w:val="bottom"/>
            <w:gridSpan w:val="16"/>
          </w:tcPr>
          <w:p>
            <w:pPr>
              <w:spacing w:after="0"/>
              <w:rPr>
                <w:rFonts w:ascii="Arial" w:cs="Arial" w:eastAsia="Arial" w:hAnsi="Arial"/>
                <w:sz w:val="18"/>
                <w:szCs w:val="18"/>
                <w:color w:val="0000EE"/>
                <w:w w:val="99"/>
              </w:rPr>
            </w:pPr>
            <w:hyperlink w:anchor="page6">
              <w:r>
                <w:rPr>
                  <w:rFonts w:ascii="Arial" w:cs="Arial" w:eastAsia="Arial" w:hAnsi="Arial"/>
                  <w:sz w:val="18"/>
                  <w:szCs w:val="18"/>
                  <w:color w:val="0000EE"/>
                  <w:w w:val="99"/>
                </w:rPr>
                <w:t>Consolidated Statements of Shareholders’ Equity for the Three Months Ended March 29, 2008 and</w:t>
              </w:r>
            </w:hyperlink>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692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March 31, 2007</w:t>
              </w:r>
            </w:hyperlink>
          </w:p>
        </w:tc>
        <w:tc>
          <w:tcPr>
            <w:tcW w:w="700" w:type="dxa"/>
            <w:vAlign w:val="bottom"/>
            <w:gridSpan w:val="3"/>
          </w:tcPr>
          <w:p>
            <w:pPr>
              <w:spacing w:after="0"/>
              <w:rPr>
                <w:sz w:val="17"/>
                <w:szCs w:val="17"/>
                <w:color w:val="auto"/>
              </w:rPr>
            </w:pPr>
          </w:p>
        </w:tc>
        <w:tc>
          <w:tcPr>
            <w:tcW w:w="10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30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8">
              <w:r>
                <w:rPr>
                  <w:rFonts w:ascii="Arial" w:cs="Arial" w:eastAsia="Arial" w:hAnsi="Arial"/>
                  <w:sz w:val="18"/>
                  <w:szCs w:val="18"/>
                  <w:color w:val="0000EE"/>
                  <w:w w:val="89"/>
                </w:rPr>
                <w:t>Consolidated Condensed Statements of Cash Flows for the Three Months Ended March 29, 2008 and</w:t>
              </w:r>
            </w:hyperlink>
          </w:p>
        </w:tc>
        <w:tc>
          <w:tcPr>
            <w:tcW w:w="520" w:type="dxa"/>
            <w:vAlign w:val="bottom"/>
            <w:gridSpan w:val="2"/>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20" w:type="dxa"/>
            <w:vAlign w:val="bottom"/>
            <w:gridSpan w:val="15"/>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March 31, 2007</w:t>
              </w:r>
            </w:hyperlink>
          </w:p>
        </w:tc>
        <w:tc>
          <w:tcPr>
            <w:tcW w:w="10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0" w:type="dxa"/>
            <w:vAlign w:val="bottom"/>
            <w:tcBorders>
              <w:bottom w:val="single" w:sz="8" w:color="0000EE"/>
            </w:tcBorders>
            <w:gridSpan w:val="8"/>
          </w:tcPr>
          <w:p>
            <w:pPr>
              <w:spacing w:after="0"/>
              <w:rPr>
                <w:rFonts w:ascii="Arial" w:cs="Arial" w:eastAsia="Arial" w:hAnsi="Arial"/>
                <w:sz w:val="18"/>
                <w:szCs w:val="18"/>
                <w:color w:val="0000EE"/>
                <w:w w:val="88"/>
              </w:rPr>
            </w:pPr>
            <w:hyperlink w:anchor="page10">
              <w:r>
                <w:rPr>
                  <w:rFonts w:ascii="Arial" w:cs="Arial" w:eastAsia="Arial" w:hAnsi="Arial"/>
                  <w:sz w:val="18"/>
                  <w:szCs w:val="18"/>
                  <w:color w:val="0000EE"/>
                  <w:w w:val="88"/>
                </w:rPr>
                <w:t>Notes to Consolidated Condensed Financial Statements</w:t>
              </w:r>
            </w:hyperlink>
          </w:p>
        </w:tc>
        <w:tc>
          <w:tcPr>
            <w:tcW w:w="3820" w:type="dxa"/>
            <w:vAlign w:val="bottom"/>
            <w:gridSpan w:val="8"/>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8-16</w:t>
            </w:r>
          </w:p>
        </w:tc>
        <w:tc>
          <w:tcPr>
            <w:tcW w:w="0" w:type="dxa"/>
            <w:vAlign w:val="bottom"/>
          </w:tcPr>
          <w:p>
            <w:pPr>
              <w:spacing w:after="0"/>
              <w:rPr>
                <w:sz w:val="1"/>
                <w:szCs w:val="1"/>
                <w:color w:val="auto"/>
              </w:rPr>
            </w:pP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20" w:type="dxa"/>
            <w:vAlign w:val="bottom"/>
            <w:gridSpan w:val="17"/>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Item 2. Management’s Discussion and Analysis of Financial Condition and Results of Operations</w:t>
              </w:r>
            </w:hyperlink>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17-27</w:t>
            </w:r>
          </w:p>
        </w:tc>
        <w:tc>
          <w:tcPr>
            <w:tcW w:w="0" w:type="dxa"/>
            <w:vAlign w:val="bottom"/>
          </w:tcPr>
          <w:p>
            <w:pPr>
              <w:spacing w:after="0"/>
              <w:rPr>
                <w:sz w:val="1"/>
                <w:szCs w:val="1"/>
                <w:color w:val="auto"/>
              </w:rPr>
            </w:pP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92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92"/>
              </w:rPr>
            </w:pPr>
            <w:hyperlink w:anchor="page30">
              <w:r>
                <w:rPr>
                  <w:rFonts w:ascii="Arial" w:cs="Arial" w:eastAsia="Arial" w:hAnsi="Arial"/>
                  <w:sz w:val="18"/>
                  <w:szCs w:val="18"/>
                  <w:color w:val="0000EE"/>
                  <w:w w:val="92"/>
                </w:rPr>
                <w:t>Item 3. Quantitative and Qualitative Disclosures About Market Risk</w:t>
              </w:r>
            </w:hyperlink>
          </w:p>
        </w:tc>
        <w:tc>
          <w:tcPr>
            <w:tcW w:w="2080" w:type="dxa"/>
            <w:vAlign w:val="bottom"/>
            <w:tcBorders>
              <w:top w:val="single" w:sz="8" w:color="0000EE"/>
            </w:tcBorders>
          </w:tcPr>
          <w:p>
            <w:pPr>
              <w:spacing w:after="0"/>
              <w:rPr>
                <w:sz w:val="24"/>
                <w:szCs w:val="24"/>
                <w:color w:val="auto"/>
              </w:rPr>
            </w:pPr>
          </w:p>
        </w:tc>
        <w:tc>
          <w:tcPr>
            <w:tcW w:w="1020" w:type="dxa"/>
            <w:vAlign w:val="bottom"/>
            <w:gridSpan w:val="5"/>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20" w:type="dxa"/>
            <w:vAlign w:val="bottom"/>
            <w:gridSpan w:val="17"/>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Item 4. Controls and Procedures</w:t>
              </w:r>
            </w:hyperlink>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3120" w:type="dxa"/>
            <w:vAlign w:val="bottom"/>
            <w:gridSpan w:val="7"/>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220" w:type="dxa"/>
            <w:vAlign w:val="bottom"/>
            <w:gridSpan w:val="19"/>
          </w:tcPr>
          <w:p>
            <w:pPr>
              <w:spacing w:after="0"/>
              <w:rPr>
                <w:rFonts w:ascii="Arial" w:cs="Arial" w:eastAsia="Arial" w:hAnsi="Arial"/>
                <w:sz w:val="18"/>
                <w:szCs w:val="18"/>
                <w:b w:val="1"/>
                <w:bCs w:val="1"/>
                <w:color w:val="0000EE"/>
              </w:rPr>
            </w:pPr>
            <w:hyperlink w:anchor="page32">
              <w:r>
                <w:rPr>
                  <w:rFonts w:ascii="Arial" w:cs="Arial" w:eastAsia="Arial" w:hAnsi="Arial"/>
                  <w:sz w:val="18"/>
                  <w:szCs w:val="18"/>
                  <w:b w:val="1"/>
                  <w:bCs w:val="1"/>
                  <w:color w:val="0000EE"/>
                </w:rPr>
                <w:t>PART II. OTHER INFORMATION</w:t>
              </w:r>
            </w:hyperlink>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3120" w:type="dxa"/>
            <w:vAlign w:val="bottom"/>
            <w:gridSpan w:val="7"/>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20" w:type="dxa"/>
            <w:vAlign w:val="bottom"/>
            <w:gridSpan w:val="17"/>
          </w:tcPr>
          <w:p>
            <w:pPr>
              <w:spacing w:after="0"/>
              <w:rPr>
                <w:sz w:val="20"/>
                <w:szCs w:val="20"/>
                <w:color w:val="auto"/>
              </w:rPr>
            </w:pPr>
            <w:r>
              <w:rPr>
                <w:rFonts w:ascii="Arial" w:cs="Arial" w:eastAsia="Arial" w:hAnsi="Arial"/>
                <w:sz w:val="18"/>
                <w:szCs w:val="18"/>
                <w:color w:val="auto"/>
              </w:rPr>
              <w:t>Item 1. Legal Proceedings — NONE</w:t>
            </w: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20" w:type="dxa"/>
            <w:vAlign w:val="bottom"/>
            <w:gridSpan w:val="17"/>
          </w:tcPr>
          <w:p>
            <w:pPr>
              <w:spacing w:after="0"/>
              <w:rPr>
                <w:sz w:val="20"/>
                <w:szCs w:val="20"/>
                <w:color w:val="auto"/>
              </w:rPr>
            </w:pPr>
            <w:r>
              <w:rPr>
                <w:rFonts w:ascii="Arial" w:cs="Arial" w:eastAsia="Arial" w:hAnsi="Arial"/>
                <w:sz w:val="18"/>
                <w:szCs w:val="18"/>
                <w:color w:val="auto"/>
              </w:rPr>
              <w:t>Item 1A. Risk Factors — NONE</w:t>
            </w: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90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32">
              <w:r>
                <w:rPr>
                  <w:rFonts w:ascii="Arial" w:cs="Arial" w:eastAsia="Arial" w:hAnsi="Arial"/>
                  <w:sz w:val="18"/>
                  <w:szCs w:val="18"/>
                  <w:color w:val="0000EE"/>
                  <w:w w:val="89"/>
                </w:rPr>
                <w:t>Item 2. Unregistered Sales of Equity Securities and Use of Proceeds</w:t>
              </w:r>
            </w:hyperlink>
          </w:p>
        </w:tc>
        <w:tc>
          <w:tcPr>
            <w:tcW w:w="3120" w:type="dxa"/>
            <w:vAlign w:val="bottom"/>
            <w:gridSpan w:val="7"/>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453"/>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20" w:type="dxa"/>
            <w:vAlign w:val="bottom"/>
            <w:gridSpan w:val="17"/>
          </w:tcPr>
          <w:p>
            <w:pPr>
              <w:spacing w:after="0"/>
              <w:rPr>
                <w:sz w:val="20"/>
                <w:szCs w:val="20"/>
                <w:color w:val="auto"/>
              </w:rPr>
            </w:pPr>
            <w:r>
              <w:rPr>
                <w:rFonts w:ascii="Arial" w:cs="Arial" w:eastAsia="Arial" w:hAnsi="Arial"/>
                <w:sz w:val="18"/>
                <w:szCs w:val="18"/>
                <w:color w:val="auto"/>
              </w:rPr>
              <w:t>Item 3. Defaults Upon Senior Securities — NONE</w:t>
            </w: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20" w:type="dxa"/>
            <w:vAlign w:val="bottom"/>
            <w:gridSpan w:val="17"/>
          </w:tcPr>
          <w:p>
            <w:pPr>
              <w:spacing w:after="0"/>
              <w:rPr>
                <w:sz w:val="20"/>
                <w:szCs w:val="20"/>
                <w:color w:val="auto"/>
              </w:rPr>
            </w:pPr>
            <w:r>
              <w:rPr>
                <w:rFonts w:ascii="Arial" w:cs="Arial" w:eastAsia="Arial" w:hAnsi="Arial"/>
                <w:sz w:val="18"/>
                <w:szCs w:val="18"/>
                <w:color w:val="auto"/>
              </w:rPr>
              <w:t>Item 4. Submission of Matters to a Vote of Security Holders — NONE</w:t>
            </w: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20" w:type="dxa"/>
            <w:vAlign w:val="bottom"/>
            <w:gridSpan w:val="17"/>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Item 5. Other Information</w:t>
              </w:r>
            </w:hyperlink>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2"/>
              </w:rPr>
            </w:pPr>
            <w:hyperlink w:anchor="page33">
              <w:r>
                <w:rPr>
                  <w:rFonts w:ascii="Arial" w:cs="Arial" w:eastAsia="Arial" w:hAnsi="Arial"/>
                  <w:sz w:val="18"/>
                  <w:szCs w:val="18"/>
                  <w:color w:val="0000EE"/>
                  <w:w w:val="92"/>
                </w:rPr>
                <w:t>Item 6. Exhibits</w:t>
              </w:r>
            </w:hyperlink>
          </w:p>
        </w:tc>
        <w:tc>
          <w:tcPr>
            <w:tcW w:w="700" w:type="dxa"/>
            <w:vAlign w:val="bottom"/>
            <w:tcBorders>
              <w:top w:val="single" w:sz="8" w:color="0000EE"/>
            </w:tcBorders>
            <w:gridSpan w:val="2"/>
          </w:tcPr>
          <w:p>
            <w:pPr>
              <w:spacing w:after="0"/>
              <w:rPr>
                <w:sz w:val="24"/>
                <w:szCs w:val="24"/>
                <w:color w:val="auto"/>
              </w:rPr>
            </w:pPr>
          </w:p>
        </w:tc>
        <w:tc>
          <w:tcPr>
            <w:tcW w:w="6160" w:type="dxa"/>
            <w:vAlign w:val="bottom"/>
            <w:gridSpan w:val="11"/>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412"/>
        </w:trPr>
        <w:tc>
          <w:tcPr>
            <w:tcW w:w="40" w:type="dxa"/>
            <w:vAlign w:val="bottom"/>
          </w:tcPr>
          <w:p>
            <w:pPr>
              <w:spacing w:after="0"/>
              <w:rPr>
                <w:sz w:val="24"/>
                <w:szCs w:val="24"/>
                <w:color w:val="auto"/>
              </w:rPr>
            </w:pPr>
          </w:p>
        </w:tc>
        <w:tc>
          <w:tcPr>
            <w:tcW w:w="8180" w:type="dxa"/>
            <w:vAlign w:val="bottom"/>
            <w:gridSpan w:val="18"/>
          </w:tcPr>
          <w:p>
            <w:pPr>
              <w:spacing w:after="0"/>
              <w:rPr>
                <w:sz w:val="20"/>
                <w:szCs w:val="20"/>
                <w:color w:val="auto"/>
              </w:rPr>
            </w:pPr>
            <w:r>
              <w:rPr>
                <w:rFonts w:ascii="Arial" w:cs="Arial" w:eastAsia="Arial" w:hAnsi="Arial"/>
                <w:sz w:val="18"/>
                <w:szCs w:val="18"/>
                <w:color w:val="0000EE"/>
              </w:rPr>
              <w:t>Exhibit 31(a)</w:t>
            </w: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Exhibit 31(b)</w:t>
      </w:r>
    </w:p>
    <w:p>
      <w:pPr>
        <w:spacing w:after="0" w:line="15"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Exhibit 32(a)</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Exhibit 32(b)</w:t>
      </w:r>
    </w:p>
    <w:p>
      <w:pPr>
        <w:spacing w:after="0" w:line="200" w:lineRule="exact"/>
        <w:rPr>
          <w:sz w:val="20"/>
          <w:szCs w:val="20"/>
          <w:color w:val="auto"/>
        </w:rPr>
      </w:pPr>
    </w:p>
    <w:p>
      <w:pPr>
        <w:spacing w:after="0" w:line="378"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CONSOLIDATED CONDENSED BALANCE SHEETS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(Unaudited)</w:t>
      </w:r>
    </w:p>
    <w:p>
      <w:pPr>
        <w:spacing w:after="0" w:line="184"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5680" w:type="dxa"/>
            <w:vAlign w:val="bottom"/>
          </w:tcPr>
          <w:p>
            <w:pPr>
              <w:spacing w:after="0"/>
              <w:rPr>
                <w:sz w:val="20"/>
                <w:szCs w:val="20"/>
                <w:color w:val="auto"/>
              </w:rPr>
            </w:pPr>
            <w:r>
              <w:rPr>
                <w:rFonts w:ascii="Arial" w:cs="Arial" w:eastAsia="Arial" w:hAnsi="Arial"/>
                <w:sz w:val="18"/>
                <w:szCs w:val="18"/>
                <w:color w:val="auto"/>
              </w:rPr>
              <w:t>(in thousands, except share data)</w:t>
            </w: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8"/>
        </w:trPr>
        <w:tc>
          <w:tcPr>
            <w:tcW w:w="5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w w:val="89"/>
              </w:rPr>
              <w:t>March 29,</w:t>
            </w:r>
          </w:p>
        </w:tc>
        <w:tc>
          <w:tcPr>
            <w:tcW w:w="1360" w:type="dxa"/>
            <w:vAlign w:val="bottom"/>
            <w:gridSpan w:val="3"/>
          </w:tcPr>
          <w:p>
            <w:pPr>
              <w:spacing w:after="0"/>
              <w:rPr>
                <w:sz w:val="20"/>
                <w:szCs w:val="20"/>
                <w:color w:val="auto"/>
              </w:rPr>
            </w:pPr>
            <w:r>
              <w:rPr>
                <w:rFonts w:ascii="Arial" w:cs="Arial" w:eastAsia="Arial" w:hAnsi="Arial"/>
                <w:sz w:val="18"/>
                <w:szCs w:val="18"/>
                <w:color w:val="auto"/>
              </w:rPr>
              <w:t>December 29,</w:t>
            </w:r>
          </w:p>
        </w:tc>
        <w:tc>
          <w:tcPr>
            <w:tcW w:w="80" w:type="dxa"/>
            <w:vAlign w:val="bottom"/>
          </w:tcPr>
          <w:p>
            <w:pPr>
              <w:spacing w:after="0"/>
              <w:rPr>
                <w:sz w:val="24"/>
                <w:szCs w:val="24"/>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March 31,</w:t>
            </w:r>
          </w:p>
        </w:tc>
      </w:tr>
      <w:tr>
        <w:trPr>
          <w:trHeight w:val="230"/>
        </w:trPr>
        <w:tc>
          <w:tcPr>
            <w:tcW w:w="56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2008</w:t>
            </w:r>
          </w:p>
        </w:tc>
        <w:tc>
          <w:tcPr>
            <w:tcW w:w="3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2007</w:t>
            </w:r>
          </w:p>
        </w:tc>
        <w:tc>
          <w:tcPr>
            <w:tcW w:w="3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2007</w:t>
            </w:r>
          </w:p>
        </w:tc>
        <w:tc>
          <w:tcPr>
            <w:tcW w:w="80" w:type="dxa"/>
            <w:vAlign w:val="bottom"/>
          </w:tcPr>
          <w:p>
            <w:pPr>
              <w:spacing w:after="0"/>
              <w:rPr>
                <w:sz w:val="20"/>
                <w:szCs w:val="20"/>
                <w:color w:val="auto"/>
              </w:rPr>
            </w:pPr>
          </w:p>
        </w:tc>
      </w:tr>
      <w:tr>
        <w:trPr>
          <w:trHeight w:val="210"/>
        </w:trPr>
        <w:tc>
          <w:tcPr>
            <w:tcW w:w="5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33,584</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43,605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44,024</w:t>
            </w:r>
          </w:p>
        </w:tc>
      </w:tr>
      <w:tr>
        <w:trPr>
          <w:trHeight w:val="216"/>
        </w:trPr>
        <w:tc>
          <w:tcPr>
            <w:tcW w:w="5680" w:type="dxa"/>
            <w:vAlign w:val="bottom"/>
          </w:tcPr>
          <w:p>
            <w:pPr>
              <w:ind w:left="200"/>
              <w:spacing w:after="0"/>
              <w:rPr>
                <w:sz w:val="20"/>
                <w:szCs w:val="20"/>
                <w:color w:val="auto"/>
              </w:rPr>
            </w:pPr>
            <w:r>
              <w:rPr>
                <w:rFonts w:ascii="Arial" w:cs="Arial" w:eastAsia="Arial" w:hAnsi="Arial"/>
                <w:sz w:val="18"/>
                <w:szCs w:val="18"/>
                <w:color w:val="auto"/>
              </w:rPr>
              <w:t>Accounts receivable, net</w:t>
            </w:r>
          </w:p>
        </w:tc>
        <w:tc>
          <w:tcPr>
            <w:tcW w:w="10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161,896</w:t>
            </w:r>
          </w:p>
        </w:tc>
        <w:tc>
          <w:tcPr>
            <w:tcW w:w="20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142,562</w:t>
            </w:r>
          </w:p>
        </w:tc>
        <w:tc>
          <w:tcPr>
            <w:tcW w:w="8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195,617</w:t>
            </w:r>
          </w:p>
        </w:tc>
      </w:tr>
      <w:tr>
        <w:trPr>
          <w:trHeight w:val="216"/>
        </w:trPr>
        <w:tc>
          <w:tcPr>
            <w:tcW w:w="5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680" w:type="dxa"/>
            <w:vAlign w:val="bottom"/>
          </w:tcPr>
          <w:p>
            <w:pPr>
              <w:ind w:left="400"/>
              <w:spacing w:after="0"/>
              <w:rPr>
                <w:sz w:val="20"/>
                <w:szCs w:val="20"/>
                <w:color w:val="auto"/>
              </w:rPr>
            </w:pPr>
            <w:r>
              <w:rPr>
                <w:rFonts w:ascii="Arial" w:cs="Arial" w:eastAsia="Arial" w:hAnsi="Arial"/>
                <w:sz w:val="18"/>
                <w:szCs w:val="18"/>
                <w:color w:val="auto"/>
              </w:rPr>
              <w:t>Raw materials</w:t>
            </w:r>
          </w:p>
        </w:tc>
        <w:tc>
          <w:tcPr>
            <w:tcW w:w="10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135,767</w:t>
            </w:r>
          </w:p>
        </w:tc>
        <w:tc>
          <w:tcPr>
            <w:tcW w:w="20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120,805</w:t>
            </w:r>
          </w:p>
        </w:tc>
        <w:tc>
          <w:tcPr>
            <w:tcW w:w="8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152,645</w:t>
            </w:r>
          </w:p>
        </w:tc>
      </w:tr>
      <w:tr>
        <w:trPr>
          <w:trHeight w:val="216"/>
        </w:trPr>
        <w:tc>
          <w:tcPr>
            <w:tcW w:w="5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Finished goods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124,525</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115,063</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133,108</w:t>
            </w:r>
          </w:p>
        </w:tc>
      </w:tr>
      <w:tr>
        <w:trPr>
          <w:trHeight w:val="223"/>
        </w:trPr>
        <w:tc>
          <w:tcPr>
            <w:tcW w:w="5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260,292</w:t>
            </w:r>
          </w:p>
        </w:tc>
        <w:tc>
          <w:tcPr>
            <w:tcW w:w="3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235,868</w:t>
            </w:r>
          </w:p>
        </w:tc>
        <w:tc>
          <w:tcPr>
            <w:tcW w:w="3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285,753</w:t>
            </w:r>
          </w:p>
        </w:tc>
        <w:tc>
          <w:tcPr>
            <w:tcW w:w="80" w:type="dxa"/>
            <w:vAlign w:val="bottom"/>
          </w:tcPr>
          <w:p>
            <w:pPr>
              <w:spacing w:after="0"/>
              <w:rPr>
                <w:sz w:val="19"/>
                <w:szCs w:val="19"/>
                <w:color w:val="auto"/>
              </w:rPr>
            </w:pPr>
          </w:p>
        </w:tc>
      </w:tr>
      <w:tr>
        <w:trPr>
          <w:trHeight w:val="216"/>
        </w:trPr>
        <w:tc>
          <w:tcPr>
            <w:tcW w:w="5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Assets held for sale</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10,412</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33,624</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17,115</w:t>
            </w:r>
          </w:p>
        </w:tc>
      </w:tr>
      <w:tr>
        <w:trPr>
          <w:trHeight w:val="216"/>
        </w:trPr>
        <w:tc>
          <w:tcPr>
            <w:tcW w:w="5680" w:type="dxa"/>
            <w:vAlign w:val="bottom"/>
          </w:tcPr>
          <w:p>
            <w:pPr>
              <w:ind w:left="200"/>
              <w:spacing w:after="0"/>
              <w:rPr>
                <w:sz w:val="20"/>
                <w:szCs w:val="20"/>
                <w:color w:val="auto"/>
              </w:rPr>
            </w:pPr>
            <w:r>
              <w:rPr>
                <w:rFonts w:ascii="Arial" w:cs="Arial" w:eastAsia="Arial" w:hAnsi="Arial"/>
                <w:sz w:val="18"/>
                <w:szCs w:val="18"/>
                <w:color w:val="auto"/>
              </w:rPr>
              <w:t>Prepaid income taxes</w:t>
            </w:r>
          </w:p>
        </w:tc>
        <w:tc>
          <w:tcPr>
            <w:tcW w:w="10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7,799</w:t>
            </w:r>
          </w:p>
        </w:tc>
        <w:tc>
          <w:tcPr>
            <w:tcW w:w="20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15,077</w:t>
            </w:r>
          </w:p>
        </w:tc>
        <w:tc>
          <w:tcPr>
            <w:tcW w:w="8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4,002</w:t>
            </w:r>
          </w:p>
        </w:tc>
      </w:tr>
      <w:tr>
        <w:trPr>
          <w:trHeight w:val="216"/>
        </w:trPr>
        <w:tc>
          <w:tcPr>
            <w:tcW w:w="5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current assets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30,204</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29,789</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18,190</w:t>
            </w:r>
          </w:p>
        </w:tc>
      </w:tr>
      <w:tr>
        <w:trPr>
          <w:trHeight w:val="224"/>
        </w:trPr>
        <w:tc>
          <w:tcPr>
            <w:tcW w:w="5680" w:type="dxa"/>
            <w:vAlign w:val="bottom"/>
          </w:tcPr>
          <w:p>
            <w:pPr>
              <w:ind w:left="600"/>
              <w:spacing w:after="0"/>
              <w:rPr>
                <w:sz w:val="20"/>
                <w:szCs w:val="20"/>
                <w:color w:val="auto"/>
              </w:rPr>
            </w:pPr>
            <w:r>
              <w:rPr>
                <w:rFonts w:ascii="Arial" w:cs="Arial" w:eastAsia="Arial" w:hAnsi="Arial"/>
                <w:sz w:val="18"/>
                <w:szCs w:val="18"/>
                <w:color w:val="auto"/>
              </w:rPr>
              <w:t>TOTAL CURRENT ASSETS</w:t>
            </w: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504,187</w:t>
            </w:r>
          </w:p>
        </w:tc>
        <w:tc>
          <w:tcPr>
            <w:tcW w:w="3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500,525</w:t>
            </w:r>
          </w:p>
        </w:tc>
        <w:tc>
          <w:tcPr>
            <w:tcW w:w="3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564,701</w:t>
            </w:r>
          </w:p>
        </w:tc>
        <w:tc>
          <w:tcPr>
            <w:tcW w:w="80" w:type="dxa"/>
            <w:vAlign w:val="bottom"/>
          </w:tcPr>
          <w:p>
            <w:pPr>
              <w:spacing w:after="0"/>
              <w:rPr>
                <w:sz w:val="19"/>
                <w:szCs w:val="19"/>
                <w:color w:val="auto"/>
              </w:rPr>
            </w:pPr>
          </w:p>
        </w:tc>
      </w:tr>
      <w:tr>
        <w:trPr>
          <w:trHeight w:val="215"/>
        </w:trPr>
        <w:tc>
          <w:tcPr>
            <w:tcW w:w="5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7,747</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8,094</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7,881</w:t>
            </w: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GOODWILL AND INDEFINITE-LIVED INTANGIBLE ASSETS</w:t>
            </w:r>
          </w:p>
        </w:tc>
        <w:tc>
          <w:tcPr>
            <w:tcW w:w="10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155,053</w:t>
            </w:r>
          </w:p>
        </w:tc>
        <w:tc>
          <w:tcPr>
            <w:tcW w:w="20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150,272</w:t>
            </w:r>
          </w:p>
        </w:tc>
        <w:tc>
          <w:tcPr>
            <w:tcW w:w="8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147,514</w:t>
            </w: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 net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27,407</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23,849</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38,844</w:t>
            </w: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Property, plant and equipment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509,716</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513,003</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511,396</w:t>
            </w:r>
          </w:p>
        </w:tc>
      </w:tr>
      <w:tr>
        <w:trPr>
          <w:trHeight w:val="216"/>
        </w:trPr>
        <w:tc>
          <w:tcPr>
            <w:tcW w:w="5680" w:type="dxa"/>
            <w:vAlign w:val="bottom"/>
          </w:tcPr>
          <w:p>
            <w:pPr>
              <w:ind w:left="200"/>
              <w:spacing w:after="0"/>
              <w:rPr>
                <w:sz w:val="20"/>
                <w:szCs w:val="20"/>
                <w:color w:val="auto"/>
              </w:rPr>
            </w:pPr>
            <w:r>
              <w:rPr>
                <w:rFonts w:ascii="Arial" w:cs="Arial" w:eastAsia="Arial" w:hAnsi="Arial"/>
                <w:sz w:val="18"/>
                <w:szCs w:val="18"/>
                <w:color w:val="auto"/>
              </w:rPr>
              <w:t>Accumulated depreciation and amortization</w:t>
            </w:r>
          </w:p>
        </w:tc>
        <w:tc>
          <w:tcPr>
            <w:tcW w:w="1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(242,668)</w:t>
            </w:r>
          </w:p>
        </w:tc>
        <w:tc>
          <w:tcPr>
            <w:tcW w:w="20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(238,743)</w:t>
            </w:r>
          </w:p>
        </w:tc>
        <w:tc>
          <w:tcPr>
            <w:tcW w:w="8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(223,906)</w:t>
            </w:r>
          </w:p>
        </w:tc>
      </w:tr>
      <w:tr>
        <w:trPr>
          <w:trHeight w:val="27"/>
        </w:trPr>
        <w:tc>
          <w:tcPr>
            <w:tcW w:w="5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56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PROPERTY, PLANT AND EQUIPMENT, NET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267,048</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274,260</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287,490</w:t>
            </w:r>
          </w:p>
        </w:tc>
      </w:tr>
      <w:tr>
        <w:trPr>
          <w:trHeight w:val="223"/>
        </w:trPr>
        <w:tc>
          <w:tcPr>
            <w:tcW w:w="5680" w:type="dxa"/>
            <w:vAlign w:val="bottom"/>
          </w:tcPr>
          <w:p>
            <w:pPr>
              <w:spacing w:after="0"/>
              <w:rPr>
                <w:sz w:val="20"/>
                <w:szCs w:val="20"/>
                <w:color w:val="auto"/>
              </w:rPr>
            </w:pPr>
            <w:r>
              <w:rPr>
                <w:rFonts w:ascii="Arial" w:cs="Arial" w:eastAsia="Arial" w:hAnsi="Arial"/>
                <w:sz w:val="18"/>
                <w:szCs w:val="18"/>
                <w:color w:val="auto"/>
              </w:rPr>
              <w:t>TOTAL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961,442</w:t>
            </w:r>
          </w:p>
        </w:tc>
        <w:tc>
          <w:tcPr>
            <w:tcW w:w="3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957,000</w:t>
            </w:r>
          </w:p>
        </w:tc>
        <w:tc>
          <w:tcPr>
            <w:tcW w:w="3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1,046,430</w:t>
            </w:r>
          </w:p>
        </w:tc>
        <w:tc>
          <w:tcPr>
            <w:tcW w:w="80" w:type="dxa"/>
            <w:vAlign w:val="bottom"/>
          </w:tcPr>
          <w:p>
            <w:pPr>
              <w:spacing w:after="0"/>
              <w:rPr>
                <w:sz w:val="19"/>
                <w:szCs w:val="19"/>
                <w:color w:val="auto"/>
              </w:rPr>
            </w:pPr>
          </w:p>
        </w:tc>
      </w:tr>
      <w:tr>
        <w:trPr>
          <w:trHeight w:val="20"/>
        </w:trPr>
        <w:tc>
          <w:tcPr>
            <w:tcW w:w="5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5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103,198</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83,505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119,006</w:t>
            </w:r>
          </w:p>
        </w:tc>
      </w:tr>
      <w:tr>
        <w:trPr>
          <w:trHeight w:val="216"/>
        </w:trPr>
        <w:tc>
          <w:tcPr>
            <w:tcW w:w="5680" w:type="dxa"/>
            <w:vAlign w:val="bottom"/>
          </w:tcPr>
          <w:p>
            <w:pPr>
              <w:ind w:left="200"/>
              <w:spacing w:after="0"/>
              <w:rPr>
                <w:sz w:val="20"/>
                <w:szCs w:val="20"/>
                <w:color w:val="auto"/>
              </w:rPr>
            </w:pPr>
            <w:r>
              <w:rPr>
                <w:rFonts w:ascii="Arial" w:cs="Arial" w:eastAsia="Arial" w:hAnsi="Arial"/>
                <w:sz w:val="18"/>
                <w:szCs w:val="18"/>
                <w:color w:val="auto"/>
              </w:rPr>
              <w:t>Accrued liabilities:</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Compensation and benefits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47,864</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49,558</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46,427</w:t>
            </w:r>
          </w:p>
        </w:tc>
      </w:tr>
      <w:tr>
        <w:trPr>
          <w:trHeight w:val="216"/>
        </w:trPr>
        <w:tc>
          <w:tcPr>
            <w:tcW w:w="5680" w:type="dxa"/>
            <w:vAlign w:val="bottom"/>
          </w:tcPr>
          <w:p>
            <w:pPr>
              <w:ind w:left="40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29,412</w:t>
            </w:r>
          </w:p>
        </w:tc>
        <w:tc>
          <w:tcPr>
            <w:tcW w:w="20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28,717</w:t>
            </w:r>
          </w:p>
        </w:tc>
        <w:tc>
          <w:tcPr>
            <w:tcW w:w="8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26,035</w:t>
            </w:r>
          </w:p>
        </w:tc>
      </w:tr>
      <w:tr>
        <w:trPr>
          <w:trHeight w:val="216"/>
        </w:trPr>
        <w:tc>
          <w:tcPr>
            <w:tcW w:w="5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portion of long-term debt and capital lease obligations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1,012</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945</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1,223</w:t>
            </w:r>
          </w:p>
        </w:tc>
      </w:tr>
      <w:tr>
        <w:trPr>
          <w:trHeight w:val="224"/>
        </w:trPr>
        <w:tc>
          <w:tcPr>
            <w:tcW w:w="5680" w:type="dxa"/>
            <w:vAlign w:val="bottom"/>
          </w:tcPr>
          <w:p>
            <w:pPr>
              <w:ind w:left="600"/>
              <w:spacing w:after="0"/>
              <w:rPr>
                <w:sz w:val="20"/>
                <w:szCs w:val="20"/>
                <w:color w:val="auto"/>
              </w:rPr>
            </w:pPr>
            <w:r>
              <w:rPr>
                <w:rFonts w:ascii="Arial" w:cs="Arial" w:eastAsia="Arial" w:hAnsi="Arial"/>
                <w:sz w:val="18"/>
                <w:szCs w:val="18"/>
                <w:color w:val="auto"/>
              </w:rPr>
              <w:t>TOTAL CURRENT LIABILITIES</w:t>
            </w: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181,486</w:t>
            </w:r>
          </w:p>
        </w:tc>
        <w:tc>
          <w:tcPr>
            <w:tcW w:w="3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162,725</w:t>
            </w:r>
          </w:p>
        </w:tc>
        <w:tc>
          <w:tcPr>
            <w:tcW w:w="3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192,691</w:t>
            </w:r>
          </w:p>
        </w:tc>
        <w:tc>
          <w:tcPr>
            <w:tcW w:w="80" w:type="dxa"/>
            <w:vAlign w:val="bottom"/>
          </w:tcPr>
          <w:p>
            <w:pPr>
              <w:spacing w:after="0"/>
              <w:rPr>
                <w:sz w:val="19"/>
                <w:szCs w:val="19"/>
                <w:color w:val="auto"/>
              </w:rPr>
            </w:pPr>
          </w:p>
        </w:tc>
      </w:tr>
      <w:tr>
        <w:trPr>
          <w:trHeight w:val="215"/>
        </w:trPr>
        <w:tc>
          <w:tcPr>
            <w:tcW w:w="5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2"/>
        </w:trPr>
        <w:tc>
          <w:tcPr>
            <w:tcW w:w="5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LONG-TERM DEBT AND CAPITAL LEASE OBLIGATIONS, less</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5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portion</w:t>
            </w: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194,277</w:t>
            </w:r>
          </w:p>
        </w:tc>
        <w:tc>
          <w:tcPr>
            <w:tcW w:w="2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205,126</w:t>
            </w:r>
          </w:p>
        </w:tc>
        <w:tc>
          <w:tcPr>
            <w:tcW w:w="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278,198</w:t>
            </w: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24,469</w:t>
            </w:r>
          </w:p>
        </w:tc>
        <w:tc>
          <w:tcPr>
            <w:tcW w:w="20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24,536</w:t>
            </w:r>
          </w:p>
        </w:tc>
        <w:tc>
          <w:tcPr>
            <w:tcW w:w="8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24,202</w:t>
            </w: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10,837</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10,376</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10,743</w:t>
            </w: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OTHER LIABILITIES</w:t>
            </w:r>
          </w:p>
        </w:tc>
        <w:tc>
          <w:tcPr>
            <w:tcW w:w="10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17,376</w:t>
            </w:r>
          </w:p>
        </w:tc>
        <w:tc>
          <w:tcPr>
            <w:tcW w:w="20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17,569</w:t>
            </w:r>
          </w:p>
        </w:tc>
        <w:tc>
          <w:tcPr>
            <w:tcW w:w="8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16,254</w:t>
            </w:r>
          </w:p>
        </w:tc>
      </w:tr>
      <w:tr>
        <w:trPr>
          <w:trHeight w:val="27"/>
        </w:trPr>
        <w:tc>
          <w:tcPr>
            <w:tcW w:w="5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56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428,445</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420,332</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522,088</w:t>
            </w:r>
          </w:p>
        </w:tc>
      </w:tr>
      <w:tr>
        <w:trPr>
          <w:trHeight w:val="432"/>
        </w:trPr>
        <w:tc>
          <w:tcPr>
            <w:tcW w:w="5680" w:type="dxa"/>
            <w:vAlign w:val="bottom"/>
          </w:tcPr>
          <w:p>
            <w:pPr>
              <w:spacing w:after="0"/>
              <w:rPr>
                <w:sz w:val="20"/>
                <w:szCs w:val="20"/>
                <w:color w:val="auto"/>
              </w:rPr>
            </w:pPr>
            <w:r>
              <w:rPr>
                <w:rFonts w:ascii="Arial" w:cs="Arial" w:eastAsia="Arial" w:hAnsi="Arial"/>
                <w:sz w:val="18"/>
                <w:szCs w:val="18"/>
                <w:color w:val="auto"/>
              </w:rPr>
              <w:t>SHAREHOLDERS’ EQUITY:</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2"/>
        </w:trPr>
        <w:tc>
          <w:tcPr>
            <w:tcW w:w="56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6"/>
              </w:rPr>
              <w:t>Preferred stock, no par value; shares authorized 1,000,000; issued and</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5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outstanding, none</w:t>
            </w: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02"/>
        </w:trPr>
        <w:tc>
          <w:tcPr>
            <w:tcW w:w="5680" w:type="dxa"/>
            <w:vAlign w:val="bottom"/>
          </w:tcPr>
          <w:p>
            <w:pPr>
              <w:ind w:left="200"/>
              <w:spacing w:after="0" w:line="201" w:lineRule="exact"/>
              <w:rPr>
                <w:sz w:val="20"/>
                <w:szCs w:val="20"/>
                <w:color w:val="auto"/>
              </w:rPr>
            </w:pPr>
            <w:r>
              <w:rPr>
                <w:rFonts w:ascii="Arial" w:cs="Arial" w:eastAsia="Arial" w:hAnsi="Arial"/>
                <w:sz w:val="18"/>
                <w:szCs w:val="18"/>
                <w:color w:val="auto"/>
                <w:w w:val="95"/>
              </w:rPr>
              <w:t>Common stock, no par value; shares authorized 40,000,000; issued and</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5680" w:type="dxa"/>
            <w:vAlign w:val="bottom"/>
          </w:tcPr>
          <w:p>
            <w:pPr>
              <w:ind w:left="400"/>
              <w:spacing w:after="0"/>
              <w:rPr>
                <w:sz w:val="20"/>
                <w:szCs w:val="20"/>
                <w:color w:val="auto"/>
              </w:rPr>
            </w:pPr>
            <w:r>
              <w:rPr>
                <w:rFonts w:ascii="Arial" w:cs="Arial" w:eastAsia="Arial" w:hAnsi="Arial"/>
                <w:sz w:val="18"/>
                <w:szCs w:val="18"/>
                <w:color w:val="auto"/>
              </w:rPr>
              <w:t>outstanding, 18,940,741, 18,907,841 and 18,968,009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18,941</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18,908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18,968</w:t>
            </w:r>
          </w:p>
        </w:tc>
      </w:tr>
      <w:tr>
        <w:trPr>
          <w:trHeight w:val="216"/>
        </w:trPr>
        <w:tc>
          <w:tcPr>
            <w:tcW w:w="5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124,457</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123,368</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119,311</w:t>
            </w:r>
          </w:p>
        </w:tc>
      </w:tr>
      <w:tr>
        <w:trPr>
          <w:trHeight w:val="216"/>
        </w:trPr>
        <w:tc>
          <w:tcPr>
            <w:tcW w:w="5680" w:type="dxa"/>
            <w:vAlign w:val="bottom"/>
          </w:tcPr>
          <w:p>
            <w:pPr>
              <w:ind w:left="200"/>
              <w:spacing w:after="0"/>
              <w:rPr>
                <w:sz w:val="20"/>
                <w:szCs w:val="20"/>
                <w:color w:val="auto"/>
              </w:rPr>
            </w:pPr>
            <w:r>
              <w:rPr>
                <w:rFonts w:ascii="Arial" w:cs="Arial" w:eastAsia="Arial" w:hAnsi="Arial"/>
                <w:sz w:val="18"/>
                <w:szCs w:val="18"/>
                <w:color w:val="auto"/>
              </w:rPr>
              <w:t>Retained earnings</w:t>
            </w:r>
          </w:p>
        </w:tc>
        <w:tc>
          <w:tcPr>
            <w:tcW w:w="10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386,677</w:t>
            </w:r>
          </w:p>
        </w:tc>
        <w:tc>
          <w:tcPr>
            <w:tcW w:w="20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391,253</w:t>
            </w:r>
          </w:p>
        </w:tc>
        <w:tc>
          <w:tcPr>
            <w:tcW w:w="8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384,817</w:t>
            </w:r>
          </w:p>
        </w:tc>
      </w:tr>
      <w:tr>
        <w:trPr>
          <w:trHeight w:val="216"/>
        </w:trPr>
        <w:tc>
          <w:tcPr>
            <w:tcW w:w="5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Accumulated other comprehensive earnings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4,460</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4,704</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2,395</w:t>
            </w:r>
          </w:p>
        </w:tc>
      </w:tr>
      <w:tr>
        <w:trPr>
          <w:trHeight w:val="223"/>
        </w:trPr>
        <w:tc>
          <w:tcPr>
            <w:tcW w:w="5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534,535</w:t>
            </w:r>
          </w:p>
        </w:tc>
        <w:tc>
          <w:tcPr>
            <w:tcW w:w="3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538,233</w:t>
            </w:r>
          </w:p>
        </w:tc>
        <w:tc>
          <w:tcPr>
            <w:tcW w:w="3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525,491</w:t>
            </w:r>
          </w:p>
        </w:tc>
        <w:tc>
          <w:tcPr>
            <w:tcW w:w="80" w:type="dxa"/>
            <w:vAlign w:val="bottom"/>
          </w:tcPr>
          <w:p>
            <w:pPr>
              <w:spacing w:after="0"/>
              <w:rPr>
                <w:sz w:val="19"/>
                <w:szCs w:val="19"/>
                <w:color w:val="auto"/>
              </w:rPr>
            </w:pPr>
          </w:p>
        </w:tc>
      </w:tr>
      <w:tr>
        <w:trPr>
          <w:trHeight w:val="216"/>
        </w:trPr>
        <w:tc>
          <w:tcPr>
            <w:tcW w:w="5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Employee stock notes receivable</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(1,538)</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(1,565)</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(1,149)</w:t>
            </w:r>
          </w:p>
        </w:tc>
      </w:tr>
      <w:tr>
        <w:trPr>
          <w:trHeight w:val="230"/>
        </w:trPr>
        <w:tc>
          <w:tcPr>
            <w:tcW w:w="5680" w:type="dxa"/>
            <w:vAlign w:val="bottom"/>
          </w:tcPr>
          <w:p>
            <w:pPr>
              <w:ind w:left="600"/>
              <w:spacing w:after="0"/>
              <w:rPr>
                <w:sz w:val="20"/>
                <w:szCs w:val="20"/>
                <w:color w:val="auto"/>
              </w:rPr>
            </w:pPr>
            <w:r>
              <w:rPr>
                <w:rFonts w:ascii="Arial" w:cs="Arial" w:eastAsia="Arial" w:hAnsi="Arial"/>
                <w:sz w:val="18"/>
                <w:szCs w:val="18"/>
                <w:color w:val="auto"/>
              </w:rPr>
              <w:t>TOTAL SHAREHOLDERS’ EQUITY</w:t>
            </w: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532,997</w:t>
            </w:r>
          </w:p>
        </w:tc>
        <w:tc>
          <w:tcPr>
            <w:tcW w:w="36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536,668</w:t>
            </w:r>
          </w:p>
        </w:tc>
        <w:tc>
          <w:tcPr>
            <w:tcW w:w="3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524,342</w:t>
            </w:r>
          </w:p>
        </w:tc>
        <w:tc>
          <w:tcPr>
            <w:tcW w:w="80" w:type="dxa"/>
            <w:vAlign w:val="bottom"/>
          </w:tcPr>
          <w:p>
            <w:pPr>
              <w:spacing w:after="0"/>
              <w:rPr>
                <w:sz w:val="20"/>
                <w:szCs w:val="20"/>
                <w:color w:val="auto"/>
              </w:rPr>
            </w:pP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SHAREHOLDERS’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961,442</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957,000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1,046,430</w:t>
            </w:r>
          </w:p>
        </w:tc>
      </w:tr>
      <w:tr>
        <w:trPr>
          <w:trHeight w:val="20"/>
        </w:trPr>
        <w:tc>
          <w:tcPr>
            <w:tcW w:w="5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notes to unaudited consolidated condensed financial statements.</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90"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580" w:right="2080"/>
        <w:spacing w:after="0" w:line="275" w:lineRule="auto"/>
        <w:rPr>
          <w:sz w:val="20"/>
          <w:szCs w:val="20"/>
          <w:color w:val="auto"/>
        </w:rPr>
      </w:pPr>
      <w:r>
        <w:rPr>
          <w:rFonts w:ascii="Arial" w:cs="Arial" w:eastAsia="Arial" w:hAnsi="Arial"/>
          <w:sz w:val="18"/>
          <w:szCs w:val="18"/>
          <w:b w:val="1"/>
          <w:bCs w:val="1"/>
          <w:color w:val="auto"/>
        </w:rPr>
        <w:t xml:space="preserve">UNIVERSAL FOREST PRODUCTS, INC. CONSOLIDATED CONDENSED STATEMENTS OF EARNINGS </w:t>
      </w:r>
      <w:r>
        <w:rPr>
          <w:rFonts w:ascii="Arial" w:cs="Arial" w:eastAsia="Arial" w:hAnsi="Arial"/>
          <w:sz w:val="18"/>
          <w:szCs w:val="18"/>
          <w:color w:val="auto"/>
        </w:rPr>
        <w:t>(Unaudited)</w:t>
      </w:r>
    </w:p>
    <w:p>
      <w:pPr>
        <w:spacing w:after="0" w:line="367"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(in thousands, except per share data)</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60" w:type="dxa"/>
            <w:vAlign w:val="bottom"/>
            <w:gridSpan w:val="5"/>
          </w:tcPr>
          <w:p>
            <w:pPr>
              <w:jc w:val="right"/>
              <w:ind w:right="520"/>
              <w:spacing w:after="0"/>
              <w:rPr>
                <w:sz w:val="20"/>
                <w:szCs w:val="20"/>
                <w:color w:val="auto"/>
              </w:rPr>
            </w:pPr>
            <w:r>
              <w:rPr>
                <w:rFonts w:ascii="Arial" w:cs="Arial" w:eastAsia="Arial" w:hAnsi="Arial"/>
                <w:sz w:val="18"/>
                <w:szCs w:val="18"/>
                <w:color w:val="auto"/>
              </w:rPr>
              <w:t>Three Months Ended</w:t>
            </w:r>
          </w:p>
        </w:tc>
      </w:tr>
      <w:tr>
        <w:trPr>
          <w:trHeight w:val="195"/>
        </w:trPr>
        <w:tc>
          <w:tcPr>
            <w:tcW w:w="68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jc w:val="right"/>
              <w:ind w:right="480"/>
              <w:spacing w:after="0" w:line="195" w:lineRule="exact"/>
              <w:rPr>
                <w:sz w:val="20"/>
                <w:szCs w:val="20"/>
                <w:color w:val="auto"/>
              </w:rPr>
            </w:pPr>
            <w:r>
              <w:rPr>
                <w:rFonts w:ascii="Arial" w:cs="Arial" w:eastAsia="Arial" w:hAnsi="Arial"/>
                <w:sz w:val="18"/>
                <w:szCs w:val="18"/>
                <w:color w:val="auto"/>
                <w:w w:val="92"/>
              </w:rPr>
              <w:t>March 29,</w:t>
            </w:r>
          </w:p>
        </w:tc>
        <w:tc>
          <w:tcPr>
            <w:tcW w:w="1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50"/>
              <w:spacing w:after="0" w:line="195" w:lineRule="exact"/>
              <w:rPr>
                <w:sz w:val="20"/>
                <w:szCs w:val="20"/>
                <w:color w:val="auto"/>
              </w:rPr>
            </w:pPr>
            <w:r>
              <w:rPr>
                <w:rFonts w:ascii="Arial" w:cs="Arial" w:eastAsia="Arial" w:hAnsi="Arial"/>
                <w:sz w:val="18"/>
                <w:szCs w:val="18"/>
                <w:color w:val="auto"/>
                <w:w w:val="92"/>
              </w:rPr>
              <w:t>March 31,</w:t>
            </w:r>
          </w:p>
        </w:tc>
        <w:tc>
          <w:tcPr>
            <w:tcW w:w="100" w:type="dxa"/>
            <w:vAlign w:val="bottom"/>
          </w:tcPr>
          <w:p>
            <w:pPr>
              <w:spacing w:after="0"/>
              <w:rPr>
                <w:sz w:val="16"/>
                <w:szCs w:val="16"/>
                <w:color w:val="auto"/>
              </w:rPr>
            </w:pPr>
          </w:p>
        </w:tc>
      </w:tr>
      <w:tr>
        <w:trPr>
          <w:trHeight w:val="230"/>
        </w:trPr>
        <w:tc>
          <w:tcPr>
            <w:tcW w:w="68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2008</w:t>
            </w:r>
          </w:p>
        </w:tc>
        <w:tc>
          <w:tcPr>
            <w:tcW w:w="3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2007</w:t>
            </w:r>
          </w:p>
        </w:tc>
        <w:tc>
          <w:tcPr>
            <w:tcW w:w="100" w:type="dxa"/>
            <w:vAlign w:val="bottom"/>
          </w:tcPr>
          <w:p>
            <w:pPr>
              <w:spacing w:after="0"/>
              <w:rPr>
                <w:sz w:val="20"/>
                <w:szCs w:val="20"/>
                <w:color w:val="auto"/>
              </w:rPr>
            </w:pPr>
          </w:p>
        </w:tc>
      </w:tr>
      <w:tr>
        <w:trPr>
          <w:trHeight w:val="210"/>
        </w:trPr>
        <w:tc>
          <w:tcPr>
            <w:tcW w:w="6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489,512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549,038</w:t>
            </w:r>
          </w:p>
        </w:tc>
      </w:tr>
      <w:tr>
        <w:trPr>
          <w:trHeight w:val="432"/>
        </w:trPr>
        <w:tc>
          <w:tcPr>
            <w:tcW w:w="6860" w:type="dxa"/>
            <w:vAlign w:val="bottom"/>
          </w:tcPr>
          <w:p>
            <w:pPr>
              <w:spacing w:after="0"/>
              <w:rPr>
                <w:sz w:val="20"/>
                <w:szCs w:val="20"/>
                <w:color w:val="auto"/>
              </w:rPr>
            </w:pPr>
            <w:r>
              <w:rPr>
                <w:rFonts w:ascii="Arial" w:cs="Arial" w:eastAsia="Arial" w:hAnsi="Arial"/>
                <w:sz w:val="18"/>
                <w:szCs w:val="18"/>
                <w:color w:val="auto"/>
              </w:rPr>
              <w:t>COST OF GOODS SOLD</w:t>
            </w:r>
          </w:p>
        </w:tc>
        <w:tc>
          <w:tcPr>
            <w:tcW w:w="100" w:type="dxa"/>
            <w:vAlign w:val="bottom"/>
          </w:tcPr>
          <w:p>
            <w:pPr>
              <w:spacing w:after="0"/>
              <w:rPr>
                <w:sz w:val="24"/>
                <w:szCs w:val="24"/>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434,692</w:t>
            </w:r>
          </w:p>
        </w:tc>
        <w:tc>
          <w:tcPr>
            <w:tcW w:w="120" w:type="dxa"/>
            <w:vAlign w:val="bottom"/>
          </w:tcPr>
          <w:p>
            <w:pPr>
              <w:spacing w:after="0"/>
              <w:rPr>
                <w:sz w:val="24"/>
                <w:szCs w:val="24"/>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475,518</w:t>
            </w:r>
          </w:p>
        </w:tc>
      </w:tr>
      <w:tr>
        <w:trPr>
          <w:trHeight w:val="223"/>
        </w:trPr>
        <w:tc>
          <w:tcPr>
            <w:tcW w:w="68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54,820</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73,520</w:t>
            </w:r>
          </w:p>
        </w:tc>
      </w:tr>
      <w:tr>
        <w:trPr>
          <w:trHeight w:val="432"/>
        </w:trPr>
        <w:tc>
          <w:tcPr>
            <w:tcW w:w="686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00" w:type="dxa"/>
            <w:vAlign w:val="bottom"/>
          </w:tcPr>
          <w:p>
            <w:pPr>
              <w:spacing w:after="0"/>
              <w:rPr>
                <w:sz w:val="24"/>
                <w:szCs w:val="24"/>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59,351</w:t>
            </w:r>
          </w:p>
        </w:tc>
        <w:tc>
          <w:tcPr>
            <w:tcW w:w="120" w:type="dxa"/>
            <w:vAlign w:val="bottom"/>
          </w:tcPr>
          <w:p>
            <w:pPr>
              <w:spacing w:after="0"/>
              <w:rPr>
                <w:sz w:val="24"/>
                <w:szCs w:val="24"/>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63,458</w:t>
            </w:r>
          </w:p>
        </w:tc>
      </w:tr>
      <w:tr>
        <w:trPr>
          <w:trHeight w:val="223"/>
        </w:trPr>
        <w:tc>
          <w:tcPr>
            <w:tcW w:w="68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EARNINGS (LOSS) FROM OPERATIONS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(4,531)</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10,062</w:t>
            </w:r>
          </w:p>
        </w:tc>
      </w:tr>
      <w:tr>
        <w:trPr>
          <w:trHeight w:val="432"/>
        </w:trPr>
        <w:tc>
          <w:tcPr>
            <w:tcW w:w="6860" w:type="dxa"/>
            <w:vAlign w:val="bottom"/>
          </w:tcPr>
          <w:p>
            <w:pPr>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24"/>
                <w:szCs w:val="24"/>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3,594</w:t>
            </w:r>
          </w:p>
        </w:tc>
        <w:tc>
          <w:tcPr>
            <w:tcW w:w="120" w:type="dxa"/>
            <w:vAlign w:val="bottom"/>
          </w:tcPr>
          <w:p>
            <w:pPr>
              <w:spacing w:after="0"/>
              <w:rPr>
                <w:sz w:val="24"/>
                <w:szCs w:val="24"/>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4,324</w:t>
            </w: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(373)</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(582)</w:t>
            </w:r>
          </w:p>
        </w:tc>
      </w:tr>
      <w:tr>
        <w:trPr>
          <w:trHeight w:val="223"/>
        </w:trPr>
        <w:tc>
          <w:tcPr>
            <w:tcW w:w="68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3,221</w:t>
            </w:r>
          </w:p>
        </w:tc>
        <w:tc>
          <w:tcPr>
            <w:tcW w:w="3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3,742</w:t>
            </w:r>
          </w:p>
        </w:tc>
        <w:tc>
          <w:tcPr>
            <w:tcW w:w="100" w:type="dxa"/>
            <w:vAlign w:val="bottom"/>
          </w:tcPr>
          <w:p>
            <w:pPr>
              <w:spacing w:after="0"/>
              <w:rPr>
                <w:sz w:val="19"/>
                <w:szCs w:val="19"/>
                <w:color w:val="auto"/>
              </w:rPr>
            </w:pPr>
          </w:p>
        </w:tc>
      </w:tr>
      <w:tr>
        <w:trPr>
          <w:trHeight w:val="223"/>
        </w:trPr>
        <w:tc>
          <w:tcPr>
            <w:tcW w:w="6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EARNINGS (LOSS) BEFORE INCOME TAXES AND MINORITY INTEREST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(7,752)</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6,320</w:t>
            </w:r>
          </w:p>
        </w:tc>
      </w:tr>
      <w:tr>
        <w:trPr>
          <w:trHeight w:val="432"/>
        </w:trPr>
        <w:tc>
          <w:tcPr>
            <w:tcW w:w="6860" w:type="dxa"/>
            <w:vAlign w:val="bottom"/>
          </w:tcPr>
          <w:p>
            <w:pPr>
              <w:spacing w:after="0"/>
              <w:rPr>
                <w:sz w:val="20"/>
                <w:szCs w:val="20"/>
                <w:color w:val="auto"/>
              </w:rPr>
            </w:pPr>
            <w:r>
              <w:rPr>
                <w:rFonts w:ascii="Arial" w:cs="Arial" w:eastAsia="Arial" w:hAnsi="Arial"/>
                <w:sz w:val="18"/>
                <w:szCs w:val="18"/>
                <w:color w:val="auto"/>
              </w:rPr>
              <w:t>INCOME TAXES</w:t>
            </w:r>
          </w:p>
        </w:tc>
        <w:tc>
          <w:tcPr>
            <w:tcW w:w="100" w:type="dxa"/>
            <w:vAlign w:val="bottom"/>
          </w:tcPr>
          <w:p>
            <w:pPr>
              <w:spacing w:after="0"/>
              <w:rPr>
                <w:sz w:val="24"/>
                <w:szCs w:val="24"/>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(3,350)</w:t>
            </w:r>
          </w:p>
        </w:tc>
        <w:tc>
          <w:tcPr>
            <w:tcW w:w="120" w:type="dxa"/>
            <w:vAlign w:val="bottom"/>
          </w:tcPr>
          <w:p>
            <w:pPr>
              <w:spacing w:after="0"/>
              <w:rPr>
                <w:sz w:val="24"/>
                <w:szCs w:val="24"/>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2,068</w:t>
            </w:r>
          </w:p>
        </w:tc>
      </w:tr>
      <w:tr>
        <w:trPr>
          <w:trHeight w:val="223"/>
        </w:trPr>
        <w:tc>
          <w:tcPr>
            <w:tcW w:w="68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EARNINGS (LOSS) BEFORE MINORITY INTEREST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(4,402)</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4,252</w:t>
            </w:r>
          </w:p>
        </w:tc>
      </w:tr>
      <w:tr>
        <w:trPr>
          <w:trHeight w:val="432"/>
        </w:trPr>
        <w:tc>
          <w:tcPr>
            <w:tcW w:w="6860" w:type="dxa"/>
            <w:vAlign w:val="bottom"/>
          </w:tcPr>
          <w:p>
            <w:pPr>
              <w:spacing w:after="0"/>
              <w:rPr>
                <w:sz w:val="20"/>
                <w:szCs w:val="20"/>
                <w:color w:val="auto"/>
              </w:rPr>
            </w:pPr>
            <w:r>
              <w:rPr>
                <w:rFonts w:ascii="Arial" w:cs="Arial" w:eastAsia="Arial" w:hAnsi="Arial"/>
                <w:sz w:val="18"/>
                <w:szCs w:val="18"/>
                <w:color w:val="auto"/>
              </w:rPr>
              <w:t>MINORITY INTEREST</w:t>
            </w:r>
          </w:p>
        </w:tc>
        <w:tc>
          <w:tcPr>
            <w:tcW w:w="100" w:type="dxa"/>
            <w:vAlign w:val="bottom"/>
          </w:tcPr>
          <w:p>
            <w:pPr>
              <w:spacing w:after="0"/>
              <w:rPr>
                <w:sz w:val="24"/>
                <w:szCs w:val="24"/>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(174)</w:t>
            </w:r>
          </w:p>
        </w:tc>
        <w:tc>
          <w:tcPr>
            <w:tcW w:w="120" w:type="dxa"/>
            <w:vAlign w:val="bottom"/>
          </w:tcPr>
          <w:p>
            <w:pPr>
              <w:spacing w:after="0"/>
              <w:rPr>
                <w:sz w:val="24"/>
                <w:szCs w:val="24"/>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(366)</w:t>
            </w:r>
          </w:p>
        </w:tc>
      </w:tr>
      <w:tr>
        <w:trPr>
          <w:trHeight w:val="223"/>
        </w:trPr>
        <w:tc>
          <w:tcPr>
            <w:tcW w:w="68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NET EARNINGS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(4,576)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3,886</w:t>
            </w:r>
          </w:p>
        </w:tc>
      </w:tr>
      <w:tr>
        <w:trPr>
          <w:trHeight w:val="20"/>
        </w:trPr>
        <w:tc>
          <w:tcPr>
            <w:tcW w:w="6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6"/>
        </w:trPr>
        <w:tc>
          <w:tcPr>
            <w:tcW w:w="6860" w:type="dxa"/>
            <w:vAlign w:val="bottom"/>
          </w:tcPr>
          <w:p>
            <w:pPr>
              <w:spacing w:after="0"/>
              <w:rPr>
                <w:sz w:val="20"/>
                <w:szCs w:val="20"/>
                <w:color w:val="auto"/>
              </w:rPr>
            </w:pPr>
            <w:r>
              <w:rPr>
                <w:rFonts w:ascii="Arial" w:cs="Arial" w:eastAsia="Arial" w:hAnsi="Arial"/>
                <w:sz w:val="18"/>
                <w:szCs w:val="18"/>
                <w:color w:val="auto"/>
              </w:rPr>
              <w:t>EARNINGS (LOSS) PER SHARE — BASIC</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(0.24)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0.20</w:t>
            </w:r>
          </w:p>
        </w:tc>
      </w:tr>
      <w:tr>
        <w:trPr>
          <w:trHeight w:val="216"/>
        </w:trPr>
        <w:tc>
          <w:tcPr>
            <w:tcW w:w="6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EARNINGS (LOSS) PER SHARE —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(0.24)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0.20</w:t>
            </w:r>
          </w:p>
        </w:tc>
      </w:tr>
      <w:tr>
        <w:trPr>
          <w:trHeight w:val="432"/>
        </w:trPr>
        <w:tc>
          <w:tcPr>
            <w:tcW w:w="6860" w:type="dxa"/>
            <w:vAlign w:val="bottom"/>
          </w:tcPr>
          <w:p>
            <w:pPr>
              <w:spacing w:after="0"/>
              <w:rPr>
                <w:sz w:val="20"/>
                <w:szCs w:val="20"/>
                <w:color w:val="auto"/>
              </w:rPr>
            </w:pPr>
            <w:r>
              <w:rPr>
                <w:rFonts w:ascii="Arial" w:cs="Arial" w:eastAsia="Arial" w:hAnsi="Arial"/>
                <w:sz w:val="18"/>
                <w:szCs w:val="18"/>
                <w:color w:val="auto"/>
              </w:rPr>
              <w:t>WEIGHTED AVERAGE SHARES OUTSTANDING FOR BASIC EARNINGS (LOSS)</w:t>
            </w:r>
          </w:p>
        </w:tc>
        <w:tc>
          <w:tcPr>
            <w:tcW w:w="100" w:type="dxa"/>
            <w:vAlign w:val="bottom"/>
          </w:tcPr>
          <w:p>
            <w:pPr>
              <w:spacing w:after="0"/>
              <w:rPr>
                <w:sz w:val="24"/>
                <w:szCs w:val="24"/>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18,996</w:t>
            </w:r>
          </w:p>
        </w:tc>
        <w:tc>
          <w:tcPr>
            <w:tcW w:w="120" w:type="dxa"/>
            <w:vAlign w:val="bottom"/>
          </w:tcPr>
          <w:p>
            <w:pPr>
              <w:spacing w:after="0"/>
              <w:rPr>
                <w:sz w:val="24"/>
                <w:szCs w:val="24"/>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18,985</w:t>
            </w:r>
          </w:p>
        </w:tc>
      </w:tr>
      <w:tr>
        <w:trPr>
          <w:trHeight w:val="216"/>
        </w:trPr>
        <w:tc>
          <w:tcPr>
            <w:tcW w:w="6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6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 AVERAGE SHARES OUTSTANDING FOR DILUTED EARNINGS</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6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(LOSS)</w:t>
            </w: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18,996</w:t>
            </w: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19,409</w:t>
            </w:r>
          </w:p>
        </w:tc>
      </w:tr>
    </w:tbl>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notes to unaudited consolidated condensed financial statements.</w:t>
      </w:r>
    </w:p>
    <w:p>
      <w:pPr>
        <w:spacing w:after="0" w:line="200" w:lineRule="exact"/>
        <w:rPr>
          <w:sz w:val="20"/>
          <w:szCs w:val="20"/>
          <w:color w:val="auto"/>
        </w:rPr>
      </w:pPr>
    </w:p>
    <w:p>
      <w:pPr>
        <w:spacing w:after="0" w:line="39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580" w:right="1980"/>
        <w:spacing w:after="0" w:line="275" w:lineRule="auto"/>
        <w:rPr>
          <w:sz w:val="20"/>
          <w:szCs w:val="20"/>
          <w:color w:val="auto"/>
        </w:rPr>
      </w:pPr>
      <w:r>
        <w:rPr>
          <w:rFonts w:ascii="Arial" w:cs="Arial" w:eastAsia="Arial" w:hAnsi="Arial"/>
          <w:sz w:val="18"/>
          <w:szCs w:val="18"/>
          <w:b w:val="1"/>
          <w:bCs w:val="1"/>
          <w:color w:val="auto"/>
        </w:rPr>
        <w:t xml:space="preserve">UNIVERSAL FOREST PRODUCTS, INC. CONSOLIDATED STATEMENTS OF SHAREHOLDERS’ EQUITY </w:t>
      </w:r>
      <w:r>
        <w:rPr>
          <w:rFonts w:ascii="Arial" w:cs="Arial" w:eastAsia="Arial" w:hAnsi="Arial"/>
          <w:sz w:val="18"/>
          <w:szCs w:val="18"/>
          <w:color w:val="auto"/>
        </w:rPr>
        <w:t>(Unaudited)</w:t>
      </w:r>
    </w:p>
    <w:p>
      <w:pPr>
        <w:spacing w:after="0" w:line="36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thousands, except share and per share data)</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2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3"/>
          </w:tcPr>
          <w:p>
            <w:pPr>
              <w:jc w:val="center"/>
              <w:ind w:right="260"/>
              <w:spacing w:after="0"/>
              <w:rPr>
                <w:sz w:val="20"/>
                <w:szCs w:val="20"/>
                <w:color w:val="auto"/>
              </w:rPr>
            </w:pPr>
            <w:r>
              <w:rPr>
                <w:rFonts w:ascii="Arial" w:cs="Arial" w:eastAsia="Arial" w:hAnsi="Arial"/>
                <w:sz w:val="18"/>
                <w:szCs w:val="18"/>
                <w:color w:val="auto"/>
                <w:w w:val="92"/>
              </w:rPr>
              <w:t>Accumulated</w:t>
            </w: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8"/>
                <w:szCs w:val="18"/>
                <w:color w:val="auto"/>
                <w:w w:val="88"/>
              </w:rPr>
              <w:t>Other</w:t>
            </w:r>
          </w:p>
        </w:tc>
        <w:tc>
          <w:tcPr>
            <w:tcW w:w="1120" w:type="dxa"/>
            <w:vAlign w:val="bottom"/>
            <w:gridSpan w:val="3"/>
          </w:tcPr>
          <w:p>
            <w:pPr>
              <w:ind w:left="20"/>
              <w:spacing w:after="0"/>
              <w:rPr>
                <w:sz w:val="20"/>
                <w:szCs w:val="20"/>
                <w:color w:val="auto"/>
              </w:rPr>
            </w:pPr>
            <w:r>
              <w:rPr>
                <w:rFonts w:ascii="Arial" w:cs="Arial" w:eastAsia="Arial" w:hAnsi="Arial"/>
                <w:sz w:val="18"/>
                <w:szCs w:val="18"/>
                <w:color w:val="auto"/>
              </w:rPr>
              <w:t>Employees</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3"/>
          </w:tcPr>
          <w:p>
            <w:pPr>
              <w:spacing w:after="0"/>
              <w:rPr>
                <w:sz w:val="20"/>
                <w:szCs w:val="20"/>
                <w:color w:val="auto"/>
              </w:rPr>
            </w:pPr>
            <w:r>
              <w:rPr>
                <w:rFonts w:ascii="Arial" w:cs="Arial" w:eastAsia="Arial" w:hAnsi="Arial"/>
                <w:sz w:val="18"/>
                <w:szCs w:val="18"/>
                <w:color w:val="auto"/>
              </w:rPr>
              <w:t>Additional Paid-</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w w:val="94"/>
              </w:rPr>
              <w:t>Retained</w:t>
            </w:r>
          </w:p>
        </w:tc>
        <w:tc>
          <w:tcPr>
            <w:tcW w:w="1380" w:type="dxa"/>
            <w:vAlign w:val="bottom"/>
            <w:gridSpan w:val="3"/>
          </w:tcPr>
          <w:p>
            <w:pPr>
              <w:spacing w:after="0"/>
              <w:rPr>
                <w:sz w:val="20"/>
                <w:szCs w:val="20"/>
                <w:color w:val="auto"/>
              </w:rPr>
            </w:pPr>
            <w:r>
              <w:rPr>
                <w:rFonts w:ascii="Arial" w:cs="Arial" w:eastAsia="Arial" w:hAnsi="Arial"/>
                <w:sz w:val="18"/>
                <w:szCs w:val="18"/>
                <w:color w:val="auto"/>
              </w:rPr>
              <w:t>Comprehensive</w:t>
            </w:r>
          </w:p>
        </w:tc>
        <w:tc>
          <w:tcPr>
            <w:tcW w:w="1120" w:type="dxa"/>
            <w:vAlign w:val="bottom"/>
            <w:gridSpan w:val="3"/>
          </w:tcPr>
          <w:p>
            <w:pPr>
              <w:spacing w:after="0"/>
              <w:rPr>
                <w:sz w:val="20"/>
                <w:szCs w:val="20"/>
                <w:color w:val="auto"/>
              </w:rPr>
            </w:pPr>
            <w:r>
              <w:rPr>
                <w:rFonts w:ascii="Arial" w:cs="Arial" w:eastAsia="Arial" w:hAnsi="Arial"/>
                <w:sz w:val="18"/>
                <w:szCs w:val="18"/>
                <w:color w:val="auto"/>
              </w:rPr>
              <w:t>Stock Notes</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2200" w:type="dxa"/>
            <w:vAlign w:val="bottom"/>
          </w:tcPr>
          <w:p>
            <w:pPr>
              <w:spacing w:after="0"/>
              <w:rPr>
                <w:sz w:val="20"/>
                <w:szCs w:val="20"/>
                <w:color w:val="auto"/>
              </w:rPr>
            </w:pPr>
          </w:p>
        </w:tc>
        <w:tc>
          <w:tcPr>
            <w:tcW w:w="1380" w:type="dxa"/>
            <w:vAlign w:val="bottom"/>
            <w:gridSpan w:val="3"/>
          </w:tcPr>
          <w:p>
            <w:pPr>
              <w:spacing w:after="0"/>
              <w:rPr>
                <w:sz w:val="20"/>
                <w:szCs w:val="20"/>
                <w:color w:val="auto"/>
              </w:rPr>
            </w:pPr>
            <w:r>
              <w:rPr>
                <w:rFonts w:ascii="Arial" w:cs="Arial" w:eastAsia="Arial" w:hAnsi="Arial"/>
                <w:sz w:val="18"/>
                <w:szCs w:val="18"/>
                <w:color w:val="auto"/>
              </w:rPr>
              <w:t>Common Stock</w:t>
            </w:r>
          </w:p>
        </w:tc>
        <w:tc>
          <w:tcPr>
            <w:tcW w:w="160" w:type="dxa"/>
            <w:vAlign w:val="bottom"/>
          </w:tcPr>
          <w:p>
            <w:pPr>
              <w:spacing w:after="0"/>
              <w:rPr>
                <w:sz w:val="20"/>
                <w:szCs w:val="20"/>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In Capital</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Earnings</w:t>
            </w:r>
          </w:p>
        </w:tc>
        <w:tc>
          <w:tcPr>
            <w:tcW w:w="160" w:type="dxa"/>
            <w:vAlign w:val="bottom"/>
          </w:tcPr>
          <w:p>
            <w:pPr>
              <w:spacing w:after="0"/>
              <w:rPr>
                <w:sz w:val="20"/>
                <w:szCs w:val="20"/>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8"/>
                <w:szCs w:val="18"/>
                <w:color w:val="auto"/>
                <w:w w:val="90"/>
              </w:rPr>
              <w:t>Earnings</w:t>
            </w:r>
          </w:p>
        </w:tc>
        <w:tc>
          <w:tcPr>
            <w:tcW w:w="1120" w:type="dxa"/>
            <w:vAlign w:val="bottom"/>
            <w:gridSpan w:val="3"/>
          </w:tcPr>
          <w:p>
            <w:pPr>
              <w:ind w:left="20"/>
              <w:spacing w:after="0"/>
              <w:rPr>
                <w:sz w:val="20"/>
                <w:szCs w:val="20"/>
                <w:color w:val="auto"/>
              </w:rPr>
            </w:pPr>
            <w:r>
              <w:rPr>
                <w:rFonts w:ascii="Arial" w:cs="Arial" w:eastAsia="Arial" w:hAnsi="Arial"/>
                <w:sz w:val="18"/>
                <w:szCs w:val="18"/>
                <w:color w:val="auto"/>
              </w:rPr>
              <w:t>Receivable</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Total</w:t>
            </w:r>
          </w:p>
        </w:tc>
      </w:tr>
      <w:tr>
        <w:trPr>
          <w:trHeight w:val="191"/>
        </w:trPr>
        <w:tc>
          <w:tcPr>
            <w:tcW w:w="2200" w:type="dxa"/>
            <w:vAlign w:val="bottom"/>
            <w:shd w:val="clear" w:color="auto" w:fill="CCEEFF"/>
          </w:tcPr>
          <w:p>
            <w:pPr>
              <w:spacing w:after="0" w:line="191" w:lineRule="exact"/>
              <w:rPr>
                <w:sz w:val="20"/>
                <w:szCs w:val="20"/>
                <w:color w:val="auto"/>
              </w:rPr>
            </w:pPr>
            <w:r>
              <w:rPr>
                <w:rFonts w:ascii="Arial" w:cs="Arial" w:eastAsia="Arial" w:hAnsi="Arial"/>
                <w:sz w:val="18"/>
                <w:szCs w:val="18"/>
                <w:b w:val="1"/>
                <w:bCs w:val="1"/>
                <w:color w:val="auto"/>
              </w:rPr>
              <w:t>Balance at December 30,</w:t>
            </w:r>
          </w:p>
        </w:tc>
        <w:tc>
          <w:tcPr>
            <w:tcW w:w="36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34"/>
        </w:trPr>
        <w:tc>
          <w:tcPr>
            <w:tcW w:w="22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2006</w:t>
            </w:r>
          </w:p>
        </w:tc>
        <w:tc>
          <w:tcPr>
            <w:tcW w:w="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18,859</w:t>
            </w: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113,754</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89"/>
              </w:rPr>
              <w:t>$ 380,931</w:t>
            </w: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2,451</w:t>
            </w: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(1,253)</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87"/>
              </w:rPr>
              <w:t>$ 514,742</w:t>
            </w:r>
          </w:p>
        </w:tc>
      </w:tr>
      <w:tr>
        <w:trPr>
          <w:trHeight w:val="216"/>
        </w:trPr>
        <w:tc>
          <w:tcPr>
            <w:tcW w:w="2200" w:type="dxa"/>
            <w:vAlign w:val="bottom"/>
          </w:tcPr>
          <w:p>
            <w:pPr>
              <w:spacing w:after="0"/>
              <w:rPr>
                <w:sz w:val="20"/>
                <w:szCs w:val="20"/>
                <w:color w:val="auto"/>
              </w:rPr>
            </w:pPr>
            <w:r>
              <w:rPr>
                <w:rFonts w:ascii="Arial" w:cs="Arial" w:eastAsia="Arial" w:hAnsi="Arial"/>
                <w:sz w:val="18"/>
                <w:szCs w:val="18"/>
                <w:color w:val="auto"/>
              </w:rPr>
              <w:t>Comprehensive earnings:</w:t>
            </w: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earnings</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3,886</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2"/>
        </w:trPr>
        <w:tc>
          <w:tcPr>
            <w:tcW w:w="2200" w:type="dxa"/>
            <w:vAlign w:val="bottom"/>
          </w:tcPr>
          <w:p>
            <w:pPr>
              <w:ind w:left="200"/>
              <w:spacing w:after="0" w:line="201" w:lineRule="exact"/>
              <w:rPr>
                <w:sz w:val="20"/>
                <w:szCs w:val="20"/>
                <w:color w:val="auto"/>
              </w:rPr>
            </w:pPr>
            <w:r>
              <w:rPr>
                <w:rFonts w:ascii="Arial" w:cs="Arial" w:eastAsia="Arial" w:hAnsi="Arial"/>
                <w:sz w:val="18"/>
                <w:szCs w:val="18"/>
                <w:color w:val="auto"/>
              </w:rPr>
              <w:t>Foreign currency</w:t>
            </w: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2200" w:type="dxa"/>
            <w:vAlign w:val="bottom"/>
          </w:tcPr>
          <w:p>
            <w:pPr>
              <w:ind w:left="400"/>
              <w:spacing w:after="0"/>
              <w:rPr>
                <w:sz w:val="20"/>
                <w:szCs w:val="20"/>
                <w:color w:val="auto"/>
              </w:rPr>
            </w:pPr>
            <w:r>
              <w:rPr>
                <w:rFonts w:ascii="Arial" w:cs="Arial" w:eastAsia="Arial" w:hAnsi="Arial"/>
                <w:sz w:val="18"/>
                <w:szCs w:val="18"/>
                <w:color w:val="auto"/>
              </w:rPr>
              <w:t>translation adjustment</w:t>
            </w: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(56)</w:t>
            </w: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2"/>
        </w:trPr>
        <w:tc>
          <w:tcPr>
            <w:tcW w:w="220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Total comprehensive</w:t>
            </w: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22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earnings</w:t>
            </w:r>
          </w:p>
        </w:tc>
        <w:tc>
          <w:tcPr>
            <w:tcW w:w="3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3,830</w:t>
            </w:r>
          </w:p>
        </w:tc>
      </w:tr>
      <w:tr>
        <w:trPr>
          <w:trHeight w:val="202"/>
        </w:trPr>
        <w:tc>
          <w:tcPr>
            <w:tcW w:w="2200" w:type="dxa"/>
            <w:vAlign w:val="bottom"/>
          </w:tcPr>
          <w:p>
            <w:pPr>
              <w:spacing w:after="0" w:line="201" w:lineRule="exact"/>
              <w:rPr>
                <w:sz w:val="20"/>
                <w:szCs w:val="20"/>
                <w:color w:val="auto"/>
              </w:rPr>
            </w:pPr>
            <w:r>
              <w:rPr>
                <w:rFonts w:ascii="Arial" w:cs="Arial" w:eastAsia="Arial" w:hAnsi="Arial"/>
                <w:sz w:val="18"/>
                <w:szCs w:val="18"/>
                <w:color w:val="auto"/>
              </w:rPr>
              <w:t>Issuance of 84,477 shares</w:t>
            </w: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2200" w:type="dxa"/>
            <w:vAlign w:val="bottom"/>
          </w:tcPr>
          <w:p>
            <w:pPr>
              <w:ind w:left="200"/>
              <w:spacing w:after="0"/>
              <w:rPr>
                <w:sz w:val="20"/>
                <w:szCs w:val="20"/>
                <w:color w:val="auto"/>
              </w:rPr>
            </w:pPr>
            <w:r>
              <w:rPr>
                <w:rFonts w:ascii="Arial" w:cs="Arial" w:eastAsia="Arial" w:hAnsi="Arial"/>
                <w:sz w:val="18"/>
                <w:szCs w:val="18"/>
                <w:color w:val="auto"/>
              </w:rPr>
              <w:t>under employee stock</w:t>
            </w: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2200" w:type="dxa"/>
            <w:vAlign w:val="bottom"/>
          </w:tcPr>
          <w:p>
            <w:pPr>
              <w:ind w:left="200"/>
              <w:spacing w:after="0"/>
              <w:rPr>
                <w:sz w:val="20"/>
                <w:szCs w:val="20"/>
                <w:color w:val="auto"/>
              </w:rPr>
            </w:pPr>
            <w:r>
              <w:rPr>
                <w:rFonts w:ascii="Arial" w:cs="Arial" w:eastAsia="Arial" w:hAnsi="Arial"/>
                <w:sz w:val="18"/>
                <w:szCs w:val="18"/>
                <w:color w:val="auto"/>
              </w:rPr>
              <w:t>plans</w:t>
            </w:r>
          </w:p>
        </w:tc>
        <w:tc>
          <w:tcPr>
            <w:tcW w:w="36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84</w:t>
            </w:r>
          </w:p>
        </w:tc>
        <w:tc>
          <w:tcPr>
            <w:tcW w:w="16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1,650</w:t>
            </w: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1,734</w:t>
            </w:r>
          </w:p>
        </w:tc>
      </w:tr>
      <w:tr>
        <w:trPr>
          <w:trHeight w:val="202"/>
        </w:trPr>
        <w:tc>
          <w:tcPr>
            <w:tcW w:w="2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2,622 shares</w:t>
            </w: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2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under stock grant</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2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programs</w:t>
            </w:r>
          </w:p>
        </w:tc>
        <w:tc>
          <w:tcPr>
            <w:tcW w:w="3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119</w:t>
            </w:r>
          </w:p>
        </w:tc>
        <w:tc>
          <w:tcPr>
            <w:tcW w:w="7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122</w:t>
            </w:r>
          </w:p>
        </w:tc>
      </w:tr>
      <w:tr>
        <w:trPr>
          <w:trHeight w:val="202"/>
        </w:trPr>
        <w:tc>
          <w:tcPr>
            <w:tcW w:w="2200" w:type="dxa"/>
            <w:vAlign w:val="bottom"/>
          </w:tcPr>
          <w:p>
            <w:pPr>
              <w:spacing w:after="0" w:line="201" w:lineRule="exact"/>
              <w:rPr>
                <w:sz w:val="20"/>
                <w:szCs w:val="20"/>
                <w:color w:val="auto"/>
              </w:rPr>
            </w:pPr>
            <w:r>
              <w:rPr>
                <w:rFonts w:ascii="Arial" w:cs="Arial" w:eastAsia="Arial" w:hAnsi="Arial"/>
                <w:sz w:val="18"/>
                <w:szCs w:val="18"/>
                <w:color w:val="auto"/>
              </w:rPr>
              <w:t>Issuance of 23,755 shares</w:t>
            </w: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2200" w:type="dxa"/>
            <w:vAlign w:val="bottom"/>
          </w:tcPr>
          <w:p>
            <w:pPr>
              <w:ind w:left="200"/>
              <w:spacing w:after="0"/>
              <w:rPr>
                <w:sz w:val="20"/>
                <w:szCs w:val="20"/>
                <w:color w:val="auto"/>
              </w:rPr>
            </w:pPr>
            <w:r>
              <w:rPr>
                <w:rFonts w:ascii="Arial" w:cs="Arial" w:eastAsia="Arial" w:hAnsi="Arial"/>
                <w:sz w:val="18"/>
                <w:szCs w:val="18"/>
                <w:color w:val="auto"/>
              </w:rPr>
              <w:t>under deferred</w:t>
            </w: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2200" w:type="dxa"/>
            <w:vAlign w:val="bottom"/>
          </w:tcPr>
          <w:p>
            <w:pPr>
              <w:ind w:left="200"/>
              <w:spacing w:after="0"/>
              <w:rPr>
                <w:sz w:val="20"/>
                <w:szCs w:val="20"/>
                <w:color w:val="auto"/>
              </w:rPr>
            </w:pPr>
            <w:r>
              <w:rPr>
                <w:rFonts w:ascii="Arial" w:cs="Arial" w:eastAsia="Arial" w:hAnsi="Arial"/>
                <w:sz w:val="18"/>
                <w:szCs w:val="18"/>
                <w:color w:val="auto"/>
              </w:rPr>
              <w:t>compensation plans</w:t>
            </w:r>
          </w:p>
        </w:tc>
        <w:tc>
          <w:tcPr>
            <w:tcW w:w="36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24</w:t>
            </w:r>
          </w:p>
        </w:tc>
        <w:tc>
          <w:tcPr>
            <w:tcW w:w="16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(24)</w:t>
            </w: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02"/>
        </w:trPr>
        <w:tc>
          <w:tcPr>
            <w:tcW w:w="2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Received 1,737 shares for</w:t>
            </w: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2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the exercise of stock</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2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options</w:t>
            </w:r>
          </w:p>
        </w:tc>
        <w:tc>
          <w:tcPr>
            <w:tcW w:w="3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(83)</w:t>
            </w:r>
          </w:p>
        </w:tc>
        <w:tc>
          <w:tcPr>
            <w:tcW w:w="7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w:t>
            </w:r>
          </w:p>
        </w:tc>
      </w:tr>
      <w:tr>
        <w:trPr>
          <w:trHeight w:val="202"/>
        </w:trPr>
        <w:tc>
          <w:tcPr>
            <w:tcW w:w="2200" w:type="dxa"/>
            <w:vAlign w:val="bottom"/>
          </w:tcPr>
          <w:p>
            <w:pPr>
              <w:spacing w:after="0" w:line="201" w:lineRule="exact"/>
              <w:rPr>
                <w:sz w:val="20"/>
                <w:szCs w:val="20"/>
                <w:color w:val="auto"/>
              </w:rPr>
            </w:pPr>
            <w:r>
              <w:rPr>
                <w:rFonts w:ascii="Arial" w:cs="Arial" w:eastAsia="Arial" w:hAnsi="Arial"/>
                <w:sz w:val="18"/>
                <w:szCs w:val="18"/>
                <w:color w:val="auto"/>
              </w:rPr>
              <w:t>Tax benefits from non-</w:t>
            </w: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2200" w:type="dxa"/>
            <w:vAlign w:val="bottom"/>
          </w:tcPr>
          <w:p>
            <w:pPr>
              <w:ind w:left="200"/>
              <w:spacing w:after="0"/>
              <w:rPr>
                <w:sz w:val="20"/>
                <w:szCs w:val="20"/>
                <w:color w:val="auto"/>
              </w:rPr>
            </w:pPr>
            <w:r>
              <w:rPr>
                <w:rFonts w:ascii="Arial" w:cs="Arial" w:eastAsia="Arial" w:hAnsi="Arial"/>
                <w:sz w:val="18"/>
                <w:szCs w:val="18"/>
                <w:color w:val="auto"/>
              </w:rPr>
              <w:t>qualified stock options</w:t>
            </w: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2200" w:type="dxa"/>
            <w:vAlign w:val="bottom"/>
          </w:tcPr>
          <w:p>
            <w:pPr>
              <w:ind w:left="200"/>
              <w:spacing w:after="0"/>
              <w:rPr>
                <w:sz w:val="20"/>
                <w:szCs w:val="20"/>
                <w:color w:val="auto"/>
              </w:rPr>
            </w:pPr>
            <w:r>
              <w:rPr>
                <w:rFonts w:ascii="Arial" w:cs="Arial" w:eastAsia="Arial" w:hAnsi="Arial"/>
                <w:sz w:val="18"/>
                <w:szCs w:val="18"/>
                <w:color w:val="auto"/>
              </w:rPr>
              <w:t>exercised</w:t>
            </w: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484</w:t>
            </w: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484</w:t>
            </w:r>
          </w:p>
        </w:tc>
      </w:tr>
      <w:tr>
        <w:trPr>
          <w:trHeight w:val="202"/>
        </w:trPr>
        <w:tc>
          <w:tcPr>
            <w:tcW w:w="2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Expense associated with</w:t>
            </w: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2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share-based</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compensation</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2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arrangements</w:t>
            </w:r>
          </w:p>
        </w:tc>
        <w:tc>
          <w:tcPr>
            <w:tcW w:w="3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127</w:t>
            </w:r>
          </w:p>
        </w:tc>
        <w:tc>
          <w:tcPr>
            <w:tcW w:w="7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127</w:t>
            </w:r>
          </w:p>
        </w:tc>
      </w:tr>
      <w:tr>
        <w:trPr>
          <w:trHeight w:val="202"/>
        </w:trPr>
        <w:tc>
          <w:tcPr>
            <w:tcW w:w="2200" w:type="dxa"/>
            <w:vAlign w:val="bottom"/>
          </w:tcPr>
          <w:p>
            <w:pPr>
              <w:spacing w:after="0" w:line="201" w:lineRule="exact"/>
              <w:rPr>
                <w:sz w:val="20"/>
                <w:szCs w:val="20"/>
                <w:color w:val="auto"/>
              </w:rPr>
            </w:pPr>
            <w:r>
              <w:rPr>
                <w:rFonts w:ascii="Arial" w:cs="Arial" w:eastAsia="Arial" w:hAnsi="Arial"/>
                <w:sz w:val="18"/>
                <w:szCs w:val="18"/>
                <w:color w:val="auto"/>
              </w:rPr>
              <w:t>Accrued expense under</w:t>
            </w: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2200" w:type="dxa"/>
            <w:vAlign w:val="bottom"/>
          </w:tcPr>
          <w:p>
            <w:pPr>
              <w:ind w:left="200"/>
              <w:spacing w:after="0"/>
              <w:rPr>
                <w:sz w:val="20"/>
                <w:szCs w:val="20"/>
                <w:color w:val="auto"/>
              </w:rPr>
            </w:pPr>
            <w:r>
              <w:rPr>
                <w:rFonts w:ascii="Arial" w:cs="Arial" w:eastAsia="Arial" w:hAnsi="Arial"/>
                <w:sz w:val="18"/>
                <w:szCs w:val="18"/>
                <w:color w:val="auto"/>
              </w:rPr>
              <w:t>deferred compensation</w:t>
            </w: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2200" w:type="dxa"/>
            <w:vAlign w:val="bottom"/>
          </w:tcPr>
          <w:p>
            <w:pPr>
              <w:ind w:left="200"/>
              <w:spacing w:after="0"/>
              <w:rPr>
                <w:sz w:val="20"/>
                <w:szCs w:val="20"/>
                <w:color w:val="auto"/>
              </w:rPr>
            </w:pPr>
            <w:r>
              <w:rPr>
                <w:rFonts w:ascii="Arial" w:cs="Arial" w:eastAsia="Arial" w:hAnsi="Arial"/>
                <w:sz w:val="18"/>
                <w:szCs w:val="18"/>
                <w:color w:val="auto"/>
              </w:rPr>
              <w:t>plans</w:t>
            </w: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3,284</w:t>
            </w: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3,284</w:t>
            </w:r>
          </w:p>
        </w:tc>
      </w:tr>
      <w:tr>
        <w:trPr>
          <w:trHeight w:val="202"/>
        </w:trPr>
        <w:tc>
          <w:tcPr>
            <w:tcW w:w="2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Payments received on</w:t>
            </w: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2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employee stock notes</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2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receivable</w:t>
            </w:r>
          </w:p>
        </w:tc>
        <w:tc>
          <w:tcPr>
            <w:tcW w:w="3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104</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104</w:t>
            </w:r>
          </w:p>
        </w:tc>
      </w:tr>
      <w:tr>
        <w:trPr>
          <w:trHeight w:val="223"/>
        </w:trPr>
        <w:tc>
          <w:tcPr>
            <w:tcW w:w="2200" w:type="dxa"/>
            <w:vAlign w:val="bottom"/>
          </w:tcPr>
          <w:p>
            <w:pPr>
              <w:spacing w:after="0"/>
              <w:rPr>
                <w:sz w:val="20"/>
                <w:szCs w:val="20"/>
                <w:color w:val="auto"/>
              </w:rPr>
            </w:pPr>
            <w:r>
              <w:rPr>
                <w:rFonts w:ascii="Arial" w:cs="Arial" w:eastAsia="Arial" w:hAnsi="Arial"/>
                <w:sz w:val="18"/>
                <w:szCs w:val="18"/>
                <w:b w:val="1"/>
                <w:bCs w:val="1"/>
                <w:color w:val="auto"/>
                <w:w w:val="97"/>
              </w:rPr>
              <w:t>Balance at March 31, 2007</w:t>
            </w:r>
          </w:p>
        </w:tc>
        <w:tc>
          <w:tcPr>
            <w:tcW w:w="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18,968</w:t>
            </w: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119,311</w:t>
            </w:r>
          </w:p>
        </w:tc>
        <w:tc>
          <w:tcPr>
            <w:tcW w:w="24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$ 384,817</w:t>
            </w: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2,395</w:t>
            </w:r>
          </w:p>
        </w:tc>
        <w:tc>
          <w:tcPr>
            <w:tcW w:w="2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(1,149</w:t>
            </w:r>
          </w:p>
        </w:tc>
        <w:tc>
          <w:tcPr>
            <w:tcW w:w="260" w:type="dxa"/>
            <w:vAlign w:val="bottom"/>
          </w:tcPr>
          <w:p>
            <w:pPr>
              <w:jc w:val="right"/>
              <w:ind w:right="120"/>
              <w:spacing w:after="0"/>
              <w:rPr>
                <w:sz w:val="20"/>
                <w:szCs w:val="20"/>
                <w:color w:val="auto"/>
              </w:rPr>
            </w:pPr>
            <w:r>
              <w:rPr>
                <w:rFonts w:ascii="Arial" w:cs="Arial" w:eastAsia="Arial" w:hAnsi="Arial"/>
                <w:sz w:val="16"/>
                <w:szCs w:val="16"/>
                <w:b w:val="1"/>
                <w:bCs w:val="1"/>
                <w:color w:val="auto"/>
                <w:w w:val="74"/>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$ 524,342</w:t>
            </w:r>
          </w:p>
        </w:tc>
        <w:tc>
          <w:tcPr>
            <w:tcW w:w="80" w:type="dxa"/>
            <w:vAlign w:val="bottom"/>
          </w:tcPr>
          <w:p>
            <w:pPr>
              <w:spacing w:after="0"/>
              <w:rPr>
                <w:sz w:val="19"/>
                <w:szCs w:val="19"/>
                <w:color w:val="auto"/>
              </w:rPr>
            </w:pPr>
          </w:p>
        </w:tc>
      </w:tr>
      <w:tr>
        <w:trPr>
          <w:trHeight w:val="20"/>
        </w:trPr>
        <w:tc>
          <w:tcPr>
            <w:tcW w:w="2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2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8"/>
        </w:trPr>
        <w:tc>
          <w:tcPr>
            <w:tcW w:w="220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Balance at December 29,</w:t>
            </w: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22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2007</w:t>
            </w:r>
          </w:p>
        </w:tc>
        <w:tc>
          <w:tcPr>
            <w:tcW w:w="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18,908</w:t>
            </w: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123,368</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89"/>
              </w:rPr>
              <w:t>$ 391,253</w:t>
            </w: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4,704</w:t>
            </w: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(1,565)</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87"/>
              </w:rPr>
              <w:t>$ 536,668</w:t>
            </w:r>
          </w:p>
        </w:tc>
      </w:tr>
      <w:tr>
        <w:trPr>
          <w:trHeight w:val="216"/>
        </w:trPr>
        <w:tc>
          <w:tcPr>
            <w:tcW w:w="2200" w:type="dxa"/>
            <w:vAlign w:val="bottom"/>
          </w:tcPr>
          <w:p>
            <w:pPr>
              <w:spacing w:after="0"/>
              <w:rPr>
                <w:sz w:val="20"/>
                <w:szCs w:val="20"/>
                <w:color w:val="auto"/>
              </w:rPr>
            </w:pPr>
            <w:r>
              <w:rPr>
                <w:rFonts w:ascii="Arial" w:cs="Arial" w:eastAsia="Arial" w:hAnsi="Arial"/>
                <w:sz w:val="18"/>
                <w:szCs w:val="18"/>
                <w:color w:val="auto"/>
              </w:rPr>
              <w:t>Comprehensive earnings:</w:t>
            </w: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loss</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(4,576)</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2"/>
        </w:trPr>
        <w:tc>
          <w:tcPr>
            <w:tcW w:w="2200" w:type="dxa"/>
            <w:vAlign w:val="bottom"/>
          </w:tcPr>
          <w:p>
            <w:pPr>
              <w:ind w:left="200"/>
              <w:spacing w:after="0" w:line="201" w:lineRule="exact"/>
              <w:rPr>
                <w:sz w:val="20"/>
                <w:szCs w:val="20"/>
                <w:color w:val="auto"/>
              </w:rPr>
            </w:pPr>
            <w:r>
              <w:rPr>
                <w:rFonts w:ascii="Arial" w:cs="Arial" w:eastAsia="Arial" w:hAnsi="Arial"/>
                <w:sz w:val="18"/>
                <w:szCs w:val="18"/>
                <w:color w:val="auto"/>
              </w:rPr>
              <w:t>Foreign currency</w:t>
            </w: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2200" w:type="dxa"/>
            <w:vAlign w:val="bottom"/>
          </w:tcPr>
          <w:p>
            <w:pPr>
              <w:ind w:left="400"/>
              <w:spacing w:after="0"/>
              <w:rPr>
                <w:sz w:val="20"/>
                <w:szCs w:val="20"/>
                <w:color w:val="auto"/>
              </w:rPr>
            </w:pPr>
            <w:r>
              <w:rPr>
                <w:rFonts w:ascii="Arial" w:cs="Arial" w:eastAsia="Arial" w:hAnsi="Arial"/>
                <w:sz w:val="18"/>
                <w:szCs w:val="18"/>
                <w:color w:val="auto"/>
              </w:rPr>
              <w:t>translation adjustment</w:t>
            </w: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(244)</w:t>
            </w: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22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7"/>
              </w:rPr>
              <w:t>Total comprehensive loss</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(4,820)</w:t>
            </w:r>
          </w:p>
        </w:tc>
      </w:tr>
      <w:tr>
        <w:trPr>
          <w:trHeight w:val="202"/>
        </w:trPr>
        <w:tc>
          <w:tcPr>
            <w:tcW w:w="2200" w:type="dxa"/>
            <w:vAlign w:val="bottom"/>
          </w:tcPr>
          <w:p>
            <w:pPr>
              <w:spacing w:after="0" w:line="201" w:lineRule="exact"/>
              <w:rPr>
                <w:sz w:val="20"/>
                <w:szCs w:val="20"/>
                <w:color w:val="auto"/>
              </w:rPr>
            </w:pPr>
            <w:r>
              <w:rPr>
                <w:rFonts w:ascii="Arial" w:cs="Arial" w:eastAsia="Arial" w:hAnsi="Arial"/>
                <w:sz w:val="18"/>
                <w:szCs w:val="18"/>
                <w:color w:val="auto"/>
              </w:rPr>
              <w:t>Issuance of 20,476 shares</w:t>
            </w: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2200" w:type="dxa"/>
            <w:vAlign w:val="bottom"/>
          </w:tcPr>
          <w:p>
            <w:pPr>
              <w:ind w:left="200"/>
              <w:spacing w:after="0"/>
              <w:rPr>
                <w:sz w:val="20"/>
                <w:szCs w:val="20"/>
                <w:color w:val="auto"/>
              </w:rPr>
            </w:pPr>
            <w:r>
              <w:rPr>
                <w:rFonts w:ascii="Arial" w:cs="Arial" w:eastAsia="Arial" w:hAnsi="Arial"/>
                <w:sz w:val="18"/>
                <w:szCs w:val="18"/>
                <w:color w:val="auto"/>
              </w:rPr>
              <w:t>under employee stock</w:t>
            </w: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2200" w:type="dxa"/>
            <w:vAlign w:val="bottom"/>
          </w:tcPr>
          <w:p>
            <w:pPr>
              <w:ind w:left="200"/>
              <w:spacing w:after="0"/>
              <w:rPr>
                <w:sz w:val="20"/>
                <w:szCs w:val="20"/>
                <w:color w:val="auto"/>
              </w:rPr>
            </w:pPr>
            <w:r>
              <w:rPr>
                <w:rFonts w:ascii="Arial" w:cs="Arial" w:eastAsia="Arial" w:hAnsi="Arial"/>
                <w:sz w:val="18"/>
                <w:szCs w:val="18"/>
                <w:color w:val="auto"/>
              </w:rPr>
              <w:t>plans</w:t>
            </w:r>
          </w:p>
        </w:tc>
        <w:tc>
          <w:tcPr>
            <w:tcW w:w="36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368</w:t>
            </w: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389</w:t>
            </w:r>
          </w:p>
        </w:tc>
      </w:tr>
      <w:tr>
        <w:trPr>
          <w:trHeight w:val="202"/>
        </w:trPr>
        <w:tc>
          <w:tcPr>
            <w:tcW w:w="2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2,444 shares</w:t>
            </w: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2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under stock grant</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2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programs</w:t>
            </w:r>
          </w:p>
        </w:tc>
        <w:tc>
          <w:tcPr>
            <w:tcW w:w="3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65</w:t>
            </w:r>
          </w:p>
        </w:tc>
        <w:tc>
          <w:tcPr>
            <w:tcW w:w="7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w:t>
            </w:r>
          </w:p>
        </w:tc>
      </w:tr>
      <w:tr>
        <w:trPr>
          <w:trHeight w:val="202"/>
        </w:trPr>
        <w:tc>
          <w:tcPr>
            <w:tcW w:w="2200" w:type="dxa"/>
            <w:vAlign w:val="bottom"/>
          </w:tcPr>
          <w:p>
            <w:pPr>
              <w:spacing w:after="0" w:line="201" w:lineRule="exact"/>
              <w:rPr>
                <w:sz w:val="20"/>
                <w:szCs w:val="20"/>
                <w:color w:val="auto"/>
              </w:rPr>
            </w:pPr>
            <w:r>
              <w:rPr>
                <w:rFonts w:ascii="Arial" w:cs="Arial" w:eastAsia="Arial" w:hAnsi="Arial"/>
                <w:sz w:val="18"/>
                <w:szCs w:val="18"/>
                <w:color w:val="auto"/>
              </w:rPr>
              <w:t>Issuance of 9,980 shares</w:t>
            </w: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2200" w:type="dxa"/>
            <w:vAlign w:val="bottom"/>
          </w:tcPr>
          <w:p>
            <w:pPr>
              <w:ind w:left="200"/>
              <w:spacing w:after="0"/>
              <w:rPr>
                <w:sz w:val="20"/>
                <w:szCs w:val="20"/>
                <w:color w:val="auto"/>
              </w:rPr>
            </w:pPr>
            <w:r>
              <w:rPr>
                <w:rFonts w:ascii="Arial" w:cs="Arial" w:eastAsia="Arial" w:hAnsi="Arial"/>
                <w:sz w:val="18"/>
                <w:szCs w:val="18"/>
                <w:color w:val="auto"/>
              </w:rPr>
              <w:t>under deferred</w:t>
            </w: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2200" w:type="dxa"/>
            <w:vAlign w:val="bottom"/>
          </w:tcPr>
          <w:p>
            <w:pPr>
              <w:ind w:left="200"/>
              <w:spacing w:after="0"/>
              <w:rPr>
                <w:sz w:val="20"/>
                <w:szCs w:val="20"/>
                <w:color w:val="auto"/>
              </w:rPr>
            </w:pPr>
            <w:r>
              <w:rPr>
                <w:rFonts w:ascii="Arial" w:cs="Arial" w:eastAsia="Arial" w:hAnsi="Arial"/>
                <w:sz w:val="18"/>
                <w:szCs w:val="18"/>
                <w:color w:val="auto"/>
              </w:rPr>
              <w:t>compensation plans</w:t>
            </w:r>
          </w:p>
        </w:tc>
        <w:tc>
          <w:tcPr>
            <w:tcW w:w="36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(10)</w:t>
            </w: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02"/>
        </w:trPr>
        <w:tc>
          <w:tcPr>
            <w:tcW w:w="2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Tax benefits from non-</w:t>
            </w: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2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qualified stock options</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2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exercised</w:t>
            </w:r>
          </w:p>
        </w:tc>
        <w:tc>
          <w:tcPr>
            <w:tcW w:w="3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43</w:t>
            </w:r>
          </w:p>
        </w:tc>
        <w:tc>
          <w:tcPr>
            <w:tcW w:w="7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w:t>
            </w:r>
          </w:p>
        </w:tc>
      </w:tr>
      <w:tr>
        <w:trPr>
          <w:trHeight w:val="202"/>
        </w:trPr>
        <w:tc>
          <w:tcPr>
            <w:tcW w:w="2200" w:type="dxa"/>
            <w:vAlign w:val="bottom"/>
          </w:tcPr>
          <w:p>
            <w:pPr>
              <w:spacing w:after="0" w:line="201" w:lineRule="exact"/>
              <w:rPr>
                <w:sz w:val="20"/>
                <w:szCs w:val="20"/>
                <w:color w:val="auto"/>
              </w:rPr>
            </w:pPr>
            <w:r>
              <w:rPr>
                <w:rFonts w:ascii="Arial" w:cs="Arial" w:eastAsia="Arial" w:hAnsi="Arial"/>
                <w:sz w:val="18"/>
                <w:szCs w:val="18"/>
                <w:color w:val="auto"/>
              </w:rPr>
              <w:t>Expense associated with</w:t>
            </w: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2200" w:type="dxa"/>
            <w:vAlign w:val="bottom"/>
          </w:tcPr>
          <w:p>
            <w:pPr>
              <w:ind w:left="200"/>
              <w:spacing w:after="0"/>
              <w:rPr>
                <w:sz w:val="20"/>
                <w:szCs w:val="20"/>
                <w:color w:val="auto"/>
              </w:rPr>
            </w:pPr>
            <w:r>
              <w:rPr>
                <w:rFonts w:ascii="Arial" w:cs="Arial" w:eastAsia="Arial" w:hAnsi="Arial"/>
                <w:sz w:val="18"/>
                <w:szCs w:val="18"/>
                <w:color w:val="auto"/>
              </w:rPr>
              <w:t>share-based</w:t>
            </w: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200" w:type="dxa"/>
            <w:vAlign w:val="bottom"/>
          </w:tcPr>
          <w:p>
            <w:pPr>
              <w:ind w:left="200"/>
              <w:spacing w:after="0"/>
              <w:rPr>
                <w:sz w:val="20"/>
                <w:szCs w:val="20"/>
                <w:color w:val="auto"/>
              </w:rPr>
            </w:pPr>
            <w:r>
              <w:rPr>
                <w:rFonts w:ascii="Arial" w:cs="Arial" w:eastAsia="Arial" w:hAnsi="Arial"/>
                <w:sz w:val="18"/>
                <w:szCs w:val="18"/>
                <w:color w:val="auto"/>
              </w:rPr>
              <w:t>compensation</w:t>
            </w: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2200" w:type="dxa"/>
            <w:vAlign w:val="bottom"/>
          </w:tcPr>
          <w:p>
            <w:pPr>
              <w:ind w:left="200"/>
              <w:spacing w:after="0"/>
              <w:rPr>
                <w:sz w:val="20"/>
                <w:szCs w:val="20"/>
                <w:color w:val="auto"/>
              </w:rPr>
            </w:pPr>
            <w:r>
              <w:rPr>
                <w:rFonts w:ascii="Arial" w:cs="Arial" w:eastAsia="Arial" w:hAnsi="Arial"/>
                <w:sz w:val="18"/>
                <w:szCs w:val="18"/>
                <w:color w:val="auto"/>
              </w:rPr>
              <w:t>arrangements</w:t>
            </w: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250</w:t>
            </w: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250</w:t>
            </w:r>
          </w:p>
        </w:tc>
      </w:tr>
      <w:tr>
        <w:trPr>
          <w:trHeight w:val="202"/>
        </w:trPr>
        <w:tc>
          <w:tcPr>
            <w:tcW w:w="2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Accrued expense under</w:t>
            </w: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2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compensation</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2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plans</w:t>
            </w:r>
          </w:p>
        </w:tc>
        <w:tc>
          <w:tcPr>
            <w:tcW w:w="3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373</w:t>
            </w:r>
          </w:p>
        </w:tc>
        <w:tc>
          <w:tcPr>
            <w:tcW w:w="7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373</w:t>
            </w:r>
          </w:p>
        </w:tc>
      </w:tr>
      <w:tr>
        <w:trPr>
          <w:trHeight w:val="230"/>
        </w:trPr>
        <w:tc>
          <w:tcPr>
            <w:tcW w:w="2200" w:type="dxa"/>
            <w:vAlign w:val="bottom"/>
          </w:tcPr>
          <w:p>
            <w:pPr>
              <w:spacing w:after="0"/>
              <w:rPr>
                <w:sz w:val="20"/>
                <w:szCs w:val="20"/>
                <w:color w:val="auto"/>
              </w:rPr>
            </w:pPr>
            <w:r>
              <w:rPr>
                <w:rFonts w:ascii="Arial" w:cs="Arial" w:eastAsia="Arial" w:hAnsi="Arial"/>
                <w:sz w:val="18"/>
                <w:szCs w:val="18"/>
                <w:color w:val="auto"/>
              </w:rPr>
              <w:t>Payments received on</w:t>
            </w: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27</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27</w:t>
            </w:r>
          </w:p>
        </w:tc>
      </w:tr>
    </w:tbl>
    <w:p>
      <w:pPr>
        <w:sectPr>
          <w:pgSz w:w="11900" w:h="16838" w:orient="portrait"/>
          <w:cols w:equalWidth="0" w:num="1">
            <w:col w:w="10219"/>
          </w:cols>
          <w:pgMar w:left="240" w:top="419" w:right="1440" w:bottom="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20" w:type="dxa"/>
            <w:vAlign w:val="bottom"/>
          </w:tcPr>
          <w:p>
            <w:pPr>
              <w:ind w:left="200"/>
              <w:spacing w:after="0"/>
              <w:rPr>
                <w:sz w:val="20"/>
                <w:szCs w:val="20"/>
                <w:color w:val="auto"/>
              </w:rPr>
            </w:pPr>
            <w:r>
              <w:rPr>
                <w:rFonts w:ascii="Arial" w:cs="Arial" w:eastAsia="Arial" w:hAnsi="Arial"/>
                <w:sz w:val="18"/>
                <w:szCs w:val="18"/>
                <w:color w:val="auto"/>
              </w:rPr>
              <w:t>employee stock notes</w:t>
            </w: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30"/>
        </w:trPr>
        <w:tc>
          <w:tcPr>
            <w:tcW w:w="2120" w:type="dxa"/>
            <w:vAlign w:val="bottom"/>
          </w:tcPr>
          <w:p>
            <w:pPr>
              <w:ind w:left="200"/>
              <w:spacing w:after="0"/>
              <w:rPr>
                <w:sz w:val="20"/>
                <w:szCs w:val="20"/>
                <w:color w:val="auto"/>
              </w:rPr>
            </w:pPr>
            <w:r>
              <w:rPr>
                <w:rFonts w:ascii="Arial" w:cs="Arial" w:eastAsia="Arial" w:hAnsi="Arial"/>
                <w:sz w:val="18"/>
                <w:szCs w:val="18"/>
                <w:color w:val="auto"/>
              </w:rPr>
              <w:t>receivable</w:t>
            </w:r>
          </w:p>
        </w:tc>
        <w:tc>
          <w:tcPr>
            <w:tcW w:w="4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243"/>
        </w:trPr>
        <w:tc>
          <w:tcPr>
            <w:tcW w:w="2120" w:type="dxa"/>
            <w:vAlign w:val="bottom"/>
          </w:tcPr>
          <w:p>
            <w:pPr>
              <w:spacing w:after="0"/>
              <w:rPr>
                <w:sz w:val="20"/>
                <w:szCs w:val="20"/>
                <w:color w:val="auto"/>
              </w:rPr>
            </w:pPr>
            <w:r>
              <w:rPr>
                <w:rFonts w:ascii="Arial" w:cs="Arial" w:eastAsia="Arial" w:hAnsi="Arial"/>
                <w:sz w:val="18"/>
                <w:szCs w:val="18"/>
                <w:b w:val="1"/>
                <w:bCs w:val="1"/>
                <w:color w:val="auto"/>
                <w:w w:val="94"/>
              </w:rPr>
              <w:t>Balance at March 29, 2008</w:t>
            </w:r>
          </w:p>
        </w:tc>
        <w:tc>
          <w:tcPr>
            <w:tcW w:w="44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50"/>
              <w:spacing w:after="0"/>
              <w:rPr>
                <w:sz w:val="20"/>
                <w:szCs w:val="20"/>
                <w:color w:val="auto"/>
              </w:rPr>
            </w:pPr>
            <w:r>
              <w:rPr>
                <w:rFonts w:ascii="Arial" w:cs="Arial" w:eastAsia="Arial" w:hAnsi="Arial"/>
                <w:sz w:val="18"/>
                <w:szCs w:val="18"/>
                <w:b w:val="1"/>
                <w:bCs w:val="1"/>
                <w:color w:val="auto"/>
              </w:rPr>
              <w:t>18,941</w:t>
            </w:r>
          </w:p>
        </w:tc>
        <w:tc>
          <w:tcPr>
            <w:tcW w:w="48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b w:val="1"/>
                <w:bCs w:val="1"/>
                <w:color w:val="auto"/>
              </w:rPr>
              <w:t>124,457</w:t>
            </w: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u w:val="single" w:color="auto"/>
                <w:color w:val="auto"/>
              </w:rPr>
              <w:t>$ 386,677</w:t>
            </w:r>
          </w:p>
        </w:tc>
        <w:tc>
          <w:tcPr>
            <w:tcW w:w="540" w:type="dxa"/>
            <w:vAlign w:val="bottom"/>
          </w:tcPr>
          <w:p>
            <w:pPr>
              <w:jc w:val="right"/>
              <w:ind w:right="23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ind w:right="30"/>
              <w:spacing w:after="0"/>
              <w:rPr>
                <w:sz w:val="20"/>
                <w:szCs w:val="20"/>
                <w:color w:val="auto"/>
              </w:rPr>
            </w:pPr>
            <w:r>
              <w:rPr>
                <w:rFonts w:ascii="Arial" w:cs="Arial" w:eastAsia="Arial" w:hAnsi="Arial"/>
                <w:sz w:val="18"/>
                <w:szCs w:val="18"/>
                <w:b w:val="1"/>
                <w:bCs w:val="1"/>
                <w:color w:val="auto"/>
              </w:rPr>
              <w:t>4,460</w:t>
            </w:r>
          </w:p>
        </w:tc>
        <w:tc>
          <w:tcPr>
            <w:tcW w:w="380" w:type="dxa"/>
            <w:vAlign w:val="bottom"/>
          </w:tcPr>
          <w:p>
            <w:pPr>
              <w:jc w:val="right"/>
              <w:ind w:right="70"/>
              <w:spacing w:after="0"/>
              <w:rPr>
                <w:sz w:val="20"/>
                <w:szCs w:val="20"/>
                <w:color w:val="auto"/>
              </w:rPr>
            </w:pPr>
            <w:r>
              <w:rPr>
                <w:rFonts w:ascii="Arial" w:cs="Arial" w:eastAsia="Arial" w:hAnsi="Arial"/>
                <w:sz w:val="18"/>
                <w:szCs w:val="18"/>
                <w:b w:val="1"/>
                <w:bCs w:val="1"/>
                <w:u w:val="single" w:color="auto"/>
                <w:color w:val="auto"/>
              </w:rPr>
              <w:t>$</w:t>
            </w:r>
          </w:p>
        </w:tc>
        <w:tc>
          <w:tcPr>
            <w:tcW w:w="160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rPr>
              <w:t>(1,538</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$ 532,997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-153670</wp:posOffset>
            </wp:positionV>
            <wp:extent cx="5925820" cy="1803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925820" cy="180340"/>
                    </a:xfrm>
                    <a:prstGeom prst="rect">
                      <a:avLst/>
                    </a:prstGeom>
                    <a:noFill/>
                  </pic:spPr>
                </pic:pic>
              </a:graphicData>
            </a:graphic>
          </wp:anchor>
        </w:drawing>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See notes to unaudited consolidated condensed financial statements.</w:t>
      </w:r>
    </w:p>
    <w:p>
      <w:pPr>
        <w:spacing w:after="0" w:line="200" w:lineRule="exact"/>
        <w:rPr>
          <w:sz w:val="20"/>
          <w:szCs w:val="20"/>
          <w:color w:val="auto"/>
        </w:rPr>
      </w:pPr>
    </w:p>
    <w:p>
      <w:pPr>
        <w:spacing w:after="0" w:line="390"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125" w:right="1440"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580" w:right="1960"/>
        <w:spacing w:after="0" w:line="275" w:lineRule="auto"/>
        <w:rPr>
          <w:sz w:val="20"/>
          <w:szCs w:val="20"/>
          <w:color w:val="auto"/>
        </w:rPr>
      </w:pPr>
      <w:r>
        <w:rPr>
          <w:rFonts w:ascii="Arial" w:cs="Arial" w:eastAsia="Arial" w:hAnsi="Arial"/>
          <w:sz w:val="18"/>
          <w:szCs w:val="18"/>
          <w:b w:val="1"/>
          <w:bCs w:val="1"/>
          <w:color w:val="auto"/>
        </w:rPr>
        <w:t xml:space="preserve">UNIVERSAL FOREST PRODUCTS, INC. CONSOLIDATED CONDENSED STATEMENTS OF CASH FLOWS </w:t>
      </w:r>
      <w:r>
        <w:rPr>
          <w:rFonts w:ascii="Arial" w:cs="Arial" w:eastAsia="Arial" w:hAnsi="Arial"/>
          <w:sz w:val="18"/>
          <w:szCs w:val="18"/>
          <w:color w:val="auto"/>
        </w:rPr>
        <w:t>(Unaudited)</w:t>
      </w:r>
    </w:p>
    <w:p>
      <w:pPr>
        <w:spacing w:after="0" w:line="367"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(in thousands)</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60" w:type="dxa"/>
            <w:vAlign w:val="bottom"/>
            <w:gridSpan w:val="5"/>
          </w:tcPr>
          <w:p>
            <w:pPr>
              <w:jc w:val="right"/>
              <w:ind w:right="520"/>
              <w:spacing w:after="0"/>
              <w:rPr>
                <w:sz w:val="20"/>
                <w:szCs w:val="20"/>
                <w:color w:val="auto"/>
              </w:rPr>
            </w:pPr>
            <w:r>
              <w:rPr>
                <w:rFonts w:ascii="Arial" w:cs="Arial" w:eastAsia="Arial" w:hAnsi="Arial"/>
                <w:sz w:val="18"/>
                <w:szCs w:val="18"/>
                <w:color w:val="auto"/>
              </w:rPr>
              <w:t>Three Months Ended</w:t>
            </w:r>
          </w:p>
        </w:tc>
      </w:tr>
      <w:tr>
        <w:trPr>
          <w:trHeight w:val="195"/>
        </w:trPr>
        <w:tc>
          <w:tcPr>
            <w:tcW w:w="68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jc w:val="right"/>
              <w:ind w:right="480"/>
              <w:spacing w:after="0" w:line="195" w:lineRule="exact"/>
              <w:rPr>
                <w:sz w:val="20"/>
                <w:szCs w:val="20"/>
                <w:color w:val="auto"/>
              </w:rPr>
            </w:pPr>
            <w:r>
              <w:rPr>
                <w:rFonts w:ascii="Arial" w:cs="Arial" w:eastAsia="Arial" w:hAnsi="Arial"/>
                <w:sz w:val="18"/>
                <w:szCs w:val="18"/>
                <w:color w:val="auto"/>
                <w:w w:val="92"/>
              </w:rPr>
              <w:t>March 29,</w:t>
            </w:r>
          </w:p>
        </w:tc>
        <w:tc>
          <w:tcPr>
            <w:tcW w:w="1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50"/>
              <w:spacing w:after="0" w:line="195" w:lineRule="exact"/>
              <w:rPr>
                <w:sz w:val="20"/>
                <w:szCs w:val="20"/>
                <w:color w:val="auto"/>
              </w:rPr>
            </w:pPr>
            <w:r>
              <w:rPr>
                <w:rFonts w:ascii="Arial" w:cs="Arial" w:eastAsia="Arial" w:hAnsi="Arial"/>
                <w:sz w:val="18"/>
                <w:szCs w:val="18"/>
                <w:color w:val="auto"/>
                <w:w w:val="92"/>
              </w:rPr>
              <w:t>March 31,</w:t>
            </w:r>
          </w:p>
        </w:tc>
        <w:tc>
          <w:tcPr>
            <w:tcW w:w="100" w:type="dxa"/>
            <w:vAlign w:val="bottom"/>
          </w:tcPr>
          <w:p>
            <w:pPr>
              <w:spacing w:after="0"/>
              <w:rPr>
                <w:sz w:val="16"/>
                <w:szCs w:val="16"/>
                <w:color w:val="auto"/>
              </w:rPr>
            </w:pPr>
          </w:p>
        </w:tc>
      </w:tr>
      <w:tr>
        <w:trPr>
          <w:trHeight w:val="230"/>
        </w:trPr>
        <w:tc>
          <w:tcPr>
            <w:tcW w:w="68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2008</w:t>
            </w:r>
          </w:p>
        </w:tc>
        <w:tc>
          <w:tcPr>
            <w:tcW w:w="3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2007</w:t>
            </w:r>
          </w:p>
        </w:tc>
        <w:tc>
          <w:tcPr>
            <w:tcW w:w="100" w:type="dxa"/>
            <w:vAlign w:val="bottom"/>
          </w:tcPr>
          <w:p>
            <w:pPr>
              <w:spacing w:after="0"/>
              <w:rPr>
                <w:sz w:val="20"/>
                <w:szCs w:val="20"/>
                <w:color w:val="auto"/>
              </w:rPr>
            </w:pPr>
          </w:p>
        </w:tc>
      </w:tr>
      <w:tr>
        <w:trPr>
          <w:trHeight w:val="210"/>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Net earnings (loss)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(4,576)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3,886</w:t>
            </w: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earnings to net cash from operating activities: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60" w:type="dxa"/>
            <w:vAlign w:val="bottom"/>
          </w:tcPr>
          <w:p>
            <w:pPr>
              <w:ind w:left="200"/>
              <w:spacing w:after="0"/>
              <w:rPr>
                <w:sz w:val="20"/>
                <w:szCs w:val="20"/>
                <w:color w:val="auto"/>
              </w:rPr>
            </w:pPr>
            <w:r>
              <w:rPr>
                <w:rFonts w:ascii="Arial" w:cs="Arial" w:eastAsia="Arial" w:hAnsi="Arial"/>
                <w:sz w:val="18"/>
                <w:szCs w:val="18"/>
                <w:color w:val="auto"/>
              </w:rPr>
              <w:t>Depreciation</w:t>
            </w: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9,601</w:t>
            </w:r>
          </w:p>
        </w:tc>
        <w:tc>
          <w:tcPr>
            <w:tcW w:w="1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9,146</w:t>
            </w:r>
          </w:p>
        </w:tc>
      </w:tr>
      <w:tr>
        <w:trPr>
          <w:trHeight w:val="216"/>
        </w:trPr>
        <w:tc>
          <w:tcPr>
            <w:tcW w:w="6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 of intangibles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2,280</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2,367</w:t>
            </w:r>
          </w:p>
        </w:tc>
      </w:tr>
      <w:tr>
        <w:trPr>
          <w:trHeight w:val="216"/>
        </w:trPr>
        <w:tc>
          <w:tcPr>
            <w:tcW w:w="6860" w:type="dxa"/>
            <w:vAlign w:val="bottom"/>
          </w:tcPr>
          <w:p>
            <w:pPr>
              <w:ind w:left="200"/>
              <w:spacing w:after="0"/>
              <w:rPr>
                <w:sz w:val="20"/>
                <w:szCs w:val="20"/>
                <w:color w:val="auto"/>
              </w:rPr>
            </w:pPr>
            <w:r>
              <w:rPr>
                <w:rFonts w:ascii="Arial" w:cs="Arial" w:eastAsia="Arial" w:hAnsi="Arial"/>
                <w:sz w:val="18"/>
                <w:szCs w:val="18"/>
                <w:color w:val="auto"/>
              </w:rPr>
              <w:t>Expense associated with share-based compensation arrangements</w:t>
            </w: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127</w:t>
            </w:r>
          </w:p>
        </w:tc>
      </w:tr>
      <w:tr>
        <w:trPr>
          <w:trHeight w:val="216"/>
        </w:trPr>
        <w:tc>
          <w:tcPr>
            <w:tcW w:w="6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Expense associated with stock grant plans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67</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122</w:t>
            </w:r>
          </w:p>
        </w:tc>
      </w:tr>
      <w:tr>
        <w:trPr>
          <w:trHeight w:val="216"/>
        </w:trPr>
        <w:tc>
          <w:tcPr>
            <w:tcW w:w="6860" w:type="dxa"/>
            <w:vAlign w:val="bottom"/>
          </w:tcPr>
          <w:p>
            <w:pPr>
              <w:ind w:left="200"/>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r>
      <w:tr>
        <w:trPr>
          <w:trHeight w:val="216"/>
        </w:trPr>
        <w:tc>
          <w:tcPr>
            <w:tcW w:w="6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Minority interest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174</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366</w:t>
            </w:r>
          </w:p>
        </w:tc>
      </w:tr>
      <w:tr>
        <w:trPr>
          <w:trHeight w:val="216"/>
        </w:trPr>
        <w:tc>
          <w:tcPr>
            <w:tcW w:w="6860" w:type="dxa"/>
            <w:vAlign w:val="bottom"/>
          </w:tcPr>
          <w:p>
            <w:pPr>
              <w:ind w:left="200"/>
              <w:spacing w:after="0"/>
              <w:rPr>
                <w:sz w:val="20"/>
                <w:szCs w:val="20"/>
                <w:color w:val="auto"/>
              </w:rPr>
            </w:pPr>
            <w:r>
              <w:rPr>
                <w:rFonts w:ascii="Arial" w:cs="Arial" w:eastAsia="Arial" w:hAnsi="Arial"/>
                <w:sz w:val="18"/>
                <w:szCs w:val="18"/>
                <w:color w:val="auto"/>
              </w:rPr>
              <w:t>Net loss on sale or impairment of property, plant and equipment</w:t>
            </w: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262</w:t>
            </w:r>
          </w:p>
        </w:tc>
        <w:tc>
          <w:tcPr>
            <w:tcW w:w="1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23</w:t>
            </w: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Changes in:</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60" w:type="dxa"/>
            <w:vAlign w:val="bottom"/>
          </w:tcPr>
          <w:p>
            <w:pPr>
              <w:ind w:left="200"/>
              <w:spacing w:after="0"/>
              <w:rPr>
                <w:sz w:val="20"/>
                <w:szCs w:val="20"/>
                <w:color w:val="auto"/>
              </w:rPr>
            </w:pPr>
            <w:r>
              <w:rPr>
                <w:rFonts w:ascii="Arial" w:cs="Arial" w:eastAsia="Arial" w:hAnsi="Arial"/>
                <w:sz w:val="18"/>
                <w:szCs w:val="18"/>
                <w:color w:val="auto"/>
              </w:rPr>
              <w:t>Accounts receivable</w:t>
            </w:r>
          </w:p>
        </w:tc>
        <w:tc>
          <w:tcPr>
            <w:tcW w:w="10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(17,053)</w:t>
            </w:r>
          </w:p>
        </w:tc>
        <w:tc>
          <w:tcPr>
            <w:tcW w:w="12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(33,439)</w:t>
            </w:r>
          </w:p>
        </w:tc>
      </w:tr>
      <w:tr>
        <w:trPr>
          <w:trHeight w:val="216"/>
        </w:trPr>
        <w:tc>
          <w:tcPr>
            <w:tcW w:w="6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(21,954)</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(23,321)</w:t>
            </w:r>
          </w:p>
        </w:tc>
      </w:tr>
      <w:tr>
        <w:trPr>
          <w:trHeight w:val="216"/>
        </w:trPr>
        <w:tc>
          <w:tcPr>
            <w:tcW w:w="686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18,600</w:t>
            </w:r>
          </w:p>
        </w:tc>
        <w:tc>
          <w:tcPr>
            <w:tcW w:w="1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24,891</w:t>
            </w:r>
          </w:p>
        </w:tc>
      </w:tr>
      <w:tr>
        <w:trPr>
          <w:trHeight w:val="216"/>
        </w:trPr>
        <w:tc>
          <w:tcPr>
            <w:tcW w:w="6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liabilities and other</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7,077</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(11,249)</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Excess tax benefits from share-based compensation arrangements</w:t>
            </w:r>
          </w:p>
        </w:tc>
        <w:tc>
          <w:tcPr>
            <w:tcW w:w="10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(437)</w:t>
            </w:r>
          </w:p>
        </w:tc>
      </w:tr>
      <w:tr>
        <w:trPr>
          <w:trHeight w:val="27"/>
        </w:trPr>
        <w:tc>
          <w:tcPr>
            <w:tcW w:w="6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CASH FROM OPERATING ACTIVITIES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(5,383)</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(27,568)</w:t>
            </w:r>
          </w:p>
        </w:tc>
      </w:tr>
      <w:tr>
        <w:trPr>
          <w:trHeight w:val="432"/>
        </w:trPr>
        <w:tc>
          <w:tcPr>
            <w:tcW w:w="686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Purchase of property, plant and equipment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(5,612)</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(8,638)</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Acquisitions, net of cash received</w:t>
            </w:r>
          </w:p>
        </w:tc>
        <w:tc>
          <w:tcPr>
            <w:tcW w:w="10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(14,100)</w:t>
            </w:r>
          </w:p>
        </w:tc>
        <w:tc>
          <w:tcPr>
            <w:tcW w:w="12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(54,770)</w:t>
            </w: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property, plant and equipment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26,660</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267</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Collections of notes receivable</w:t>
            </w: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332</w:t>
            </w:r>
          </w:p>
        </w:tc>
        <w:tc>
          <w:tcPr>
            <w:tcW w:w="1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109</w:t>
            </w: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Advances on notes receivable</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(815)</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Other, net</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103</w:t>
            </w:r>
          </w:p>
        </w:tc>
      </w:tr>
      <w:tr>
        <w:trPr>
          <w:trHeight w:val="27"/>
        </w:trPr>
        <w:tc>
          <w:tcPr>
            <w:tcW w:w="6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CASH FROM INVESTING ACTIVITIES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6,481</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(62,929)</w:t>
            </w:r>
          </w:p>
        </w:tc>
      </w:tr>
      <w:tr>
        <w:trPr>
          <w:trHeight w:val="432"/>
        </w:trPr>
        <w:tc>
          <w:tcPr>
            <w:tcW w:w="686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Net borrowings (repayments) under revolving credit facilities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(11,271)</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106,488</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Repayment of long-term debt</w:t>
            </w:r>
          </w:p>
        </w:tc>
        <w:tc>
          <w:tcPr>
            <w:tcW w:w="10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(24,525)</w:t>
            </w: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common stock</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389</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1,649</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Distributions to minority shareholders</w:t>
            </w:r>
          </w:p>
        </w:tc>
        <w:tc>
          <w:tcPr>
            <w:tcW w:w="10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(371)</w:t>
            </w: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Excess tax benefits from share-based compensation arrangements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437</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Other, net</w:t>
            </w:r>
          </w:p>
        </w:tc>
        <w:tc>
          <w:tcPr>
            <w:tcW w:w="10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(265)</w:t>
            </w:r>
          </w:p>
        </w:tc>
      </w:tr>
      <w:tr>
        <w:trPr>
          <w:trHeight w:val="27"/>
        </w:trPr>
        <w:tc>
          <w:tcPr>
            <w:tcW w:w="6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CASH FROM FINANCING ACTIVITIES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(11,119)</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83,413</w:t>
            </w:r>
          </w:p>
        </w:tc>
      </w:tr>
      <w:tr>
        <w:trPr>
          <w:trHeight w:val="20"/>
        </w:trPr>
        <w:tc>
          <w:tcPr>
            <w:tcW w:w="68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9"/>
        </w:trPr>
        <w:tc>
          <w:tcPr>
            <w:tcW w:w="6860" w:type="dxa"/>
            <w:vAlign w:val="bottom"/>
          </w:tcPr>
          <w:p>
            <w:pPr>
              <w:spacing w:after="0"/>
              <w:rPr>
                <w:sz w:val="20"/>
                <w:szCs w:val="20"/>
                <w:color w:val="auto"/>
              </w:rPr>
            </w:pPr>
            <w:r>
              <w:rPr>
                <w:rFonts w:ascii="Arial" w:cs="Arial" w:eastAsia="Arial" w:hAnsi="Arial"/>
                <w:sz w:val="18"/>
                <w:szCs w:val="18"/>
                <w:color w:val="auto"/>
              </w:rPr>
              <w:t>NET CHANGE IN CASH AND CASH EQUIVALENTS</w:t>
            </w:r>
          </w:p>
        </w:tc>
        <w:tc>
          <w:tcPr>
            <w:tcW w:w="100" w:type="dxa"/>
            <w:vAlign w:val="bottom"/>
          </w:tcPr>
          <w:p>
            <w:pPr>
              <w:spacing w:after="0"/>
              <w:rPr>
                <w:sz w:val="24"/>
                <w:szCs w:val="24"/>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(10,021)</w:t>
            </w:r>
          </w:p>
        </w:tc>
        <w:tc>
          <w:tcPr>
            <w:tcW w:w="120" w:type="dxa"/>
            <w:vAlign w:val="bottom"/>
          </w:tcPr>
          <w:p>
            <w:pPr>
              <w:spacing w:after="0"/>
              <w:rPr>
                <w:sz w:val="24"/>
                <w:szCs w:val="24"/>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(7,084)</w:t>
            </w: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YEAR</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43,605</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51,108</w:t>
            </w:r>
          </w:p>
        </w:tc>
      </w:tr>
      <w:tr>
        <w:trPr>
          <w:trHeight w:val="20"/>
        </w:trPr>
        <w:tc>
          <w:tcPr>
            <w:tcW w:w="68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9"/>
        </w:trPr>
        <w:tc>
          <w:tcPr>
            <w:tcW w:w="6860" w:type="dxa"/>
            <w:vAlign w:val="bottom"/>
          </w:tcPr>
          <w:p>
            <w:pPr>
              <w:spacing w:after="0"/>
              <w:rPr>
                <w:sz w:val="20"/>
                <w:szCs w:val="20"/>
                <w:color w:val="auto"/>
              </w:rPr>
            </w:pPr>
            <w:r>
              <w:rPr>
                <w:rFonts w:ascii="Arial" w:cs="Arial" w:eastAsia="Arial" w:hAnsi="Arial"/>
                <w:sz w:val="18"/>
                <w:szCs w:val="18"/>
                <w:color w:val="auto"/>
              </w:rPr>
              <w:t>CASH AND CASH EQUIVALENTS, END OF PERIOD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33,584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44,024</w:t>
            </w:r>
          </w:p>
        </w:tc>
      </w:tr>
      <w:tr>
        <w:trPr>
          <w:trHeight w:val="20"/>
        </w:trPr>
        <w:tc>
          <w:tcPr>
            <w:tcW w:w="6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SUPPLEMENTAL SCHEDULE OF CASH FLOW INFORMATION:</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Cash paid (refunded) during the period for:</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1,436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1,779</w:t>
            </w:r>
          </w:p>
        </w:tc>
      </w:tr>
      <w:tr>
        <w:trPr>
          <w:trHeight w:val="230"/>
        </w:trPr>
        <w:tc>
          <w:tcPr>
            <w:tcW w:w="6860" w:type="dxa"/>
            <w:vAlign w:val="bottom"/>
          </w:tcPr>
          <w:p>
            <w:pPr>
              <w:ind w:left="200"/>
              <w:spacing w:after="0"/>
              <w:rPr>
                <w:sz w:val="20"/>
                <w:szCs w:val="20"/>
                <w:color w:val="auto"/>
              </w:rPr>
            </w:pPr>
            <w:r>
              <w:rPr>
                <w:rFonts w:ascii="Arial" w:cs="Arial" w:eastAsia="Arial" w:hAnsi="Arial"/>
                <w:sz w:val="18"/>
                <w:szCs w:val="18"/>
                <w:color w:val="auto"/>
              </w:rPr>
              <w:t>Income taxes</w:t>
            </w:r>
          </w:p>
        </w:tc>
        <w:tc>
          <w:tcPr>
            <w:tcW w:w="100" w:type="dxa"/>
            <w:vAlign w:val="bottom"/>
          </w:tcPr>
          <w:p>
            <w:pPr>
              <w:spacing w:after="0"/>
              <w:rPr>
                <w:sz w:val="20"/>
                <w:szCs w:val="20"/>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(10,521)</w:t>
            </w:r>
          </w:p>
        </w:tc>
        <w:tc>
          <w:tcPr>
            <w:tcW w:w="12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(9,952)</w:t>
            </w:r>
          </w:p>
        </w:tc>
      </w:tr>
    </w:tbl>
    <w:p>
      <w:pPr>
        <w:spacing w:after="0" w:line="200" w:lineRule="exact"/>
        <w:rPr>
          <w:sz w:val="20"/>
          <w:szCs w:val="20"/>
          <w:color w:val="auto"/>
        </w:rPr>
      </w:pPr>
    </w:p>
    <w:p>
      <w:pPr>
        <w:sectPr>
          <w:pgSz w:w="11900" w:h="16838" w:orient="portrait"/>
          <w:cols w:equalWidth="0" w:num="1">
            <w:col w:w="10219"/>
          </w:cols>
          <w:pgMar w:left="240" w:top="419" w:right="1440" w:bottom="1440" w:gutter="0" w:footer="0" w:header="0"/>
        </w:sectPr>
      </w:pPr>
    </w:p>
    <w:p>
      <w:pPr>
        <w:spacing w:after="0" w:line="339"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720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515"/>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5840" w:type="dxa"/>
            <w:vAlign w:val="bottom"/>
          </w:tcPr>
          <w:p>
            <w:pPr>
              <w:jc w:val="center"/>
              <w:ind w:left="1350"/>
              <w:spacing w:after="0"/>
              <w:rPr>
                <w:sz w:val="20"/>
                <w:szCs w:val="20"/>
                <w:color w:val="auto"/>
              </w:rPr>
            </w:pPr>
            <w:r>
              <w:rPr>
                <w:rFonts w:ascii="Arial" w:cs="Arial" w:eastAsia="Arial" w:hAnsi="Arial"/>
                <w:sz w:val="18"/>
                <w:szCs w:val="18"/>
                <w:b w:val="1"/>
                <w:bCs w:val="1"/>
                <w:color w:val="auto"/>
                <w:w w:val="99"/>
              </w:rPr>
              <w:t>UNIVERSAL FOREST PRODUCTS, INC.</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180" w:type="dxa"/>
            <w:vAlign w:val="bottom"/>
            <w:gridSpan w:val="4"/>
          </w:tcPr>
          <w:p>
            <w:pPr>
              <w:jc w:val="center"/>
              <w:ind w:left="10"/>
              <w:spacing w:after="0"/>
              <w:rPr>
                <w:sz w:val="20"/>
                <w:szCs w:val="20"/>
                <w:color w:val="auto"/>
              </w:rPr>
            </w:pPr>
            <w:r>
              <w:rPr>
                <w:rFonts w:ascii="Arial" w:cs="Arial" w:eastAsia="Arial" w:hAnsi="Arial"/>
                <w:sz w:val="18"/>
                <w:szCs w:val="18"/>
                <w:b w:val="1"/>
                <w:bCs w:val="1"/>
                <w:color w:val="auto"/>
                <w:w w:val="98"/>
              </w:rPr>
              <w:t>CONSOLIDATED CONDENSED STATEMENTS OF CASH FLOWS -</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40" w:type="dxa"/>
            <w:vAlign w:val="bottom"/>
          </w:tcPr>
          <w:p>
            <w:pPr>
              <w:jc w:val="center"/>
              <w:ind w:left="1330"/>
              <w:spacing w:after="0"/>
              <w:rPr>
                <w:sz w:val="20"/>
                <w:szCs w:val="20"/>
                <w:color w:val="auto"/>
              </w:rPr>
            </w:pPr>
            <w:r>
              <w:rPr>
                <w:rFonts w:ascii="Arial" w:cs="Arial" w:eastAsia="Arial" w:hAnsi="Arial"/>
                <w:sz w:val="18"/>
                <w:szCs w:val="18"/>
                <w:b w:val="1"/>
                <w:bCs w:val="1"/>
                <w:color w:val="auto"/>
              </w:rPr>
              <w:t>(CONTINUED)</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60" w:type="dxa"/>
            <w:vAlign w:val="bottom"/>
            <w:gridSpan w:val="5"/>
          </w:tcPr>
          <w:p>
            <w:pPr>
              <w:jc w:val="right"/>
              <w:ind w:right="520"/>
              <w:spacing w:after="0"/>
              <w:rPr>
                <w:sz w:val="20"/>
                <w:szCs w:val="20"/>
                <w:color w:val="auto"/>
              </w:rPr>
            </w:pPr>
            <w:r>
              <w:rPr>
                <w:rFonts w:ascii="Arial" w:cs="Arial" w:eastAsia="Arial" w:hAnsi="Arial"/>
                <w:sz w:val="18"/>
                <w:szCs w:val="18"/>
                <w:color w:val="auto"/>
              </w:rPr>
              <w:t>Three Months Ended</w:t>
            </w:r>
          </w:p>
        </w:tc>
      </w:tr>
      <w:tr>
        <w:trPr>
          <w:trHeight w:val="195"/>
        </w:trPr>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8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jc w:val="center"/>
              <w:ind w:right="460"/>
              <w:spacing w:after="0" w:line="195" w:lineRule="exact"/>
              <w:rPr>
                <w:sz w:val="20"/>
                <w:szCs w:val="20"/>
                <w:color w:val="auto"/>
              </w:rPr>
            </w:pPr>
            <w:r>
              <w:rPr>
                <w:rFonts w:ascii="Arial" w:cs="Arial" w:eastAsia="Arial" w:hAnsi="Arial"/>
                <w:sz w:val="18"/>
                <w:szCs w:val="18"/>
                <w:color w:val="auto"/>
                <w:w w:val="92"/>
              </w:rPr>
              <w:t>March 29,</w:t>
            </w:r>
          </w:p>
        </w:tc>
        <w:tc>
          <w:tcPr>
            <w:tcW w:w="1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center"/>
              <w:ind w:right="30"/>
              <w:spacing w:after="0" w:line="195" w:lineRule="exact"/>
              <w:rPr>
                <w:sz w:val="20"/>
                <w:szCs w:val="20"/>
                <w:color w:val="auto"/>
              </w:rPr>
            </w:pPr>
            <w:r>
              <w:rPr>
                <w:rFonts w:ascii="Arial" w:cs="Arial" w:eastAsia="Arial" w:hAnsi="Arial"/>
                <w:sz w:val="18"/>
                <w:szCs w:val="18"/>
                <w:color w:val="auto"/>
                <w:w w:val="92"/>
              </w:rPr>
              <w:t>March 31,</w:t>
            </w:r>
          </w:p>
        </w:tc>
        <w:tc>
          <w:tcPr>
            <w:tcW w:w="100" w:type="dxa"/>
            <w:vAlign w:val="bottom"/>
          </w:tcPr>
          <w:p>
            <w:pPr>
              <w:spacing w:after="0"/>
              <w:rPr>
                <w:sz w:val="16"/>
                <w:szCs w:val="16"/>
                <w:color w:val="auto"/>
              </w:rPr>
            </w:pP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2008</w:t>
            </w:r>
          </w:p>
        </w:tc>
        <w:tc>
          <w:tcPr>
            <w:tcW w:w="3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2007</w:t>
            </w:r>
          </w:p>
        </w:tc>
        <w:tc>
          <w:tcPr>
            <w:tcW w:w="10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NON-CASH FINANCING ACTIVITIES: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6860" w:type="dxa"/>
            <w:vAlign w:val="bottom"/>
            <w:gridSpan w:val="2"/>
          </w:tcPr>
          <w:p>
            <w:pPr>
              <w:spacing w:after="0"/>
              <w:rPr>
                <w:sz w:val="20"/>
                <w:szCs w:val="20"/>
                <w:color w:val="auto"/>
              </w:rPr>
            </w:pPr>
            <w:r>
              <w:rPr>
                <w:rFonts w:ascii="Arial" w:cs="Arial" w:eastAsia="Arial" w:hAnsi="Arial"/>
                <w:sz w:val="18"/>
                <w:szCs w:val="18"/>
                <w:color w:val="auto"/>
              </w:rPr>
              <w:t>Common stock issued under deferred compensation plans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289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1,283</w:t>
            </w:r>
          </w:p>
        </w:tc>
      </w:tr>
    </w:tbl>
    <w:p>
      <w:pPr>
        <w:spacing w:after="0" w:line="16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notes to unaudited consolidated condensed financial statements</w:t>
      </w:r>
    </w:p>
    <w:p>
      <w:pPr>
        <w:spacing w:after="0" w:line="200" w:lineRule="exact"/>
        <w:rPr>
          <w:sz w:val="20"/>
          <w:szCs w:val="20"/>
          <w:color w:val="auto"/>
        </w:rPr>
      </w:pPr>
    </w:p>
    <w:p>
      <w:pPr>
        <w:spacing w:after="0" w:line="37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UNAUDITED CONSOLIDATED CONDENSED</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FINANCIAL STATEMENTS</w:t>
      </w:r>
    </w:p>
    <w:p>
      <w:pPr>
        <w:spacing w:after="0" w:line="180" w:lineRule="exact"/>
        <w:rPr>
          <w:sz w:val="20"/>
          <w:szCs w:val="20"/>
          <w:color w:val="auto"/>
        </w:rPr>
      </w:pPr>
    </w:p>
    <w:p>
      <w:pPr>
        <w:ind w:left="680" w:hanging="348"/>
        <w:spacing w:after="0"/>
        <w:tabs>
          <w:tab w:leader="none" w:pos="6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161" w:lineRule="exact"/>
        <w:rPr>
          <w:rFonts w:ascii="Arial" w:cs="Arial" w:eastAsia="Arial" w:hAnsi="Arial"/>
          <w:sz w:val="18"/>
          <w:szCs w:val="18"/>
          <w:b w:val="1"/>
          <w:bCs w:val="1"/>
          <w:color w:val="auto"/>
        </w:rPr>
      </w:pPr>
    </w:p>
    <w:p>
      <w:pPr>
        <w:jc w:val="both"/>
        <w:ind w:left="680" w:right="559"/>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The accompanying unaudited, interim, consolidated, condensed financial statements (the “Financial Statements”) include our accounts and those of our wholly-owned and majority-owned subsidiaries and partnerships, and have been prepared pursuant to the rules and regulations of the Securities and Exchange Commission. Accordingly, the Financial Statements do not include all of the information and footnotes normally included in the annual consolidated financial statements prepared in accordance with accounting principles generally accepted in the United States. All significant intercompany transactions and balances have been eliminated.</w:t>
      </w:r>
    </w:p>
    <w:p>
      <w:pPr>
        <w:spacing w:after="0" w:line="110" w:lineRule="exact"/>
        <w:rPr>
          <w:rFonts w:ascii="Arial" w:cs="Arial" w:eastAsia="Arial" w:hAnsi="Arial"/>
          <w:sz w:val="18"/>
          <w:szCs w:val="18"/>
          <w:b w:val="1"/>
          <w:bCs w:val="1"/>
          <w:color w:val="auto"/>
        </w:rPr>
      </w:pPr>
    </w:p>
    <w:p>
      <w:pPr>
        <w:jc w:val="both"/>
        <w:ind w:left="680" w:right="559"/>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In our opinion, the Financial Statements contain all material adjustments necessary to present fairly our consolidated financial position, results of operations and cash flows for the interim periods presented. All such adjustments are of a normal recurring nature. These Financial Statements should be read in conjunction with the annual consolidated financial statements, and footnotes thereto, included in our Annual Report to Shareholders on Form 10-K for the fiscal year ended December 29, 2007.</w:t>
      </w:r>
    </w:p>
    <w:p>
      <w:pPr>
        <w:spacing w:after="0" w:line="120" w:lineRule="exact"/>
        <w:rPr>
          <w:rFonts w:ascii="Arial" w:cs="Arial" w:eastAsia="Arial" w:hAnsi="Arial"/>
          <w:sz w:val="18"/>
          <w:szCs w:val="18"/>
          <w:b w:val="1"/>
          <w:bCs w:val="1"/>
          <w:color w:val="auto"/>
        </w:rPr>
      </w:pPr>
    </w:p>
    <w:p>
      <w:pPr>
        <w:ind w:left="680"/>
        <w:spacing w:after="0"/>
        <w:rPr>
          <w:rFonts w:ascii="Arial" w:cs="Arial" w:eastAsia="Arial" w:hAnsi="Arial"/>
          <w:sz w:val="18"/>
          <w:szCs w:val="18"/>
          <w:b w:val="1"/>
          <w:bCs w:val="1"/>
          <w:color w:val="auto"/>
        </w:rPr>
      </w:pPr>
      <w:r>
        <w:rPr>
          <w:rFonts w:ascii="Arial" w:cs="Arial" w:eastAsia="Arial" w:hAnsi="Arial"/>
          <w:sz w:val="16"/>
          <w:szCs w:val="16"/>
          <w:color w:val="auto"/>
        </w:rPr>
        <w:t>Certain reclassifications have been made to the Financial Statements for 2007 to conform to the classifications used in 2008.</w:t>
      </w:r>
    </w:p>
    <w:p>
      <w:pPr>
        <w:spacing w:after="0" w:line="180" w:lineRule="exact"/>
        <w:rPr>
          <w:rFonts w:ascii="Arial" w:cs="Arial" w:eastAsia="Arial" w:hAnsi="Arial"/>
          <w:sz w:val="18"/>
          <w:szCs w:val="18"/>
          <w:b w:val="1"/>
          <w:bCs w:val="1"/>
          <w:color w:val="auto"/>
        </w:rPr>
      </w:pPr>
    </w:p>
    <w:p>
      <w:pPr>
        <w:jc w:val="both"/>
        <w:ind w:left="680" w:right="559"/>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 xml:space="preserve">In September 2006, the FASB issued SFAS No. 157, </w:t>
      </w:r>
      <w:r>
        <w:rPr>
          <w:rFonts w:ascii="Arial" w:cs="Arial" w:eastAsia="Arial" w:hAnsi="Arial"/>
          <w:sz w:val="17"/>
          <w:szCs w:val="17"/>
          <w:i w:val="1"/>
          <w:iCs w:val="1"/>
          <w:color w:val="auto"/>
        </w:rPr>
        <w:t>Fair Value Measurements</w:t>
      </w:r>
      <w:r>
        <w:rPr>
          <w:rFonts w:ascii="Arial" w:cs="Arial" w:eastAsia="Arial" w:hAnsi="Arial"/>
          <w:sz w:val="17"/>
          <w:szCs w:val="17"/>
          <w:color w:val="auto"/>
        </w:rPr>
        <w:t xml:space="preserve"> (SFAS No. 157). This new standard establishes a framework for measuring the fair value of assets and liabilities. This framework is intended to provide increased consistency in how fair value determinations are made under various existing accounting standards which permit, or in some cases require, estimates of fair market value. SFAS No. 157 also expands financial statement disclosure requirements about a company’s use of fair value measurements, including the effect of such measures on earnings. We adopted this new accounting guidance at the beginning of the fiscal year ending December 27, 2008. The adoption has not had a material impact on our consolidated financial statements.</w:t>
      </w:r>
    </w:p>
    <w:p>
      <w:pPr>
        <w:spacing w:after="0" w:line="110" w:lineRule="exact"/>
        <w:rPr>
          <w:rFonts w:ascii="Arial" w:cs="Arial" w:eastAsia="Arial" w:hAnsi="Arial"/>
          <w:sz w:val="18"/>
          <w:szCs w:val="18"/>
          <w:b w:val="1"/>
          <w:bCs w:val="1"/>
          <w:color w:val="auto"/>
        </w:rPr>
      </w:pPr>
    </w:p>
    <w:p>
      <w:pPr>
        <w:jc w:val="both"/>
        <w:ind w:left="680" w:right="559"/>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In February 2007, the FASB issued SFAS No. 159, “The Fair Value Option for Financial Assets and Financial Liabilities” (“SFAS No. 159”). SFAS No. 159 allows companies to choose to measure certain financial instruments and certain other items at fair value. The statement requires that unrealized gains and losses are reported in earnings for items measured using the fair value option and establishes presentation and disclosure requirements. We adopted this new accounting guidance at the beginning of the fiscal year ending December 27, 2008. The adoption has not had a material impact on our consolidated financial statements.</w:t>
      </w:r>
    </w:p>
    <w:p>
      <w:pPr>
        <w:spacing w:after="0" w:line="200" w:lineRule="exact"/>
        <w:rPr>
          <w:sz w:val="20"/>
          <w:szCs w:val="20"/>
          <w:color w:val="auto"/>
        </w:rPr>
      </w:pPr>
    </w:p>
    <w:p>
      <w:pPr>
        <w:spacing w:after="0" w:line="34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UNAUDITED CONSOLIDATED CONDENSED</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FINANCIAL STATEMENTS</w:t>
      </w:r>
    </w:p>
    <w:p>
      <w:pPr>
        <w:spacing w:after="0" w:line="166" w:lineRule="exact"/>
        <w:rPr>
          <w:sz w:val="20"/>
          <w:szCs w:val="20"/>
          <w:color w:val="auto"/>
        </w:rPr>
      </w:pPr>
    </w:p>
    <w:p>
      <w:pPr>
        <w:ind w:left="680" w:hanging="348"/>
        <w:spacing w:after="0"/>
        <w:tabs>
          <w:tab w:leader="none" w:pos="6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w:t>
      </w:r>
    </w:p>
    <w:p>
      <w:pPr>
        <w:spacing w:after="0" w:line="161" w:lineRule="exact"/>
        <w:rPr>
          <w:rFonts w:ascii="Arial" w:cs="Arial" w:eastAsia="Arial" w:hAnsi="Arial"/>
          <w:sz w:val="18"/>
          <w:szCs w:val="18"/>
          <w:b w:val="1"/>
          <w:bCs w:val="1"/>
          <w:color w:val="auto"/>
        </w:rPr>
      </w:pPr>
    </w:p>
    <w:p>
      <w:pPr>
        <w:jc w:val="both"/>
        <w:ind w:left="680" w:right="559"/>
        <w:spacing w:after="0" w:line="288" w:lineRule="auto"/>
        <w:rPr>
          <w:rFonts w:ascii="Arial" w:cs="Arial" w:eastAsia="Arial" w:hAnsi="Arial"/>
          <w:sz w:val="18"/>
          <w:szCs w:val="18"/>
          <w:b w:val="1"/>
          <w:bCs w:val="1"/>
          <w:color w:val="auto"/>
        </w:rPr>
      </w:pPr>
      <w:r>
        <w:rPr>
          <w:rFonts w:ascii="Arial" w:cs="Arial" w:eastAsia="Arial" w:hAnsi="Arial"/>
          <w:sz w:val="16"/>
          <w:szCs w:val="16"/>
          <w:color w:val="auto"/>
        </w:rPr>
        <w:t>Earnings on construction contracts are reflected in operations using either percentage-of-completion accounting, which includes the cost to cost and units of delivery methods, or completed contract accounting, depending on the nature of the business at individual operations. Under percentage-of-completion using the cost to cost method, revenues and related earnings on construction contracts are measured by the relationships of actual costs incurred related to the total estimated costs. Under percentage-of-completion using the units of delivery method, revenues and related earnings on construction contracts are measured by the relationships of actual units produced related to the total number of units. Revisions in earnings estimates on the construction contracts are recorded in the accounting period in which the basis for such revisions becomes known. Projected losses on individual contracts are charged to operations in their entirety when such losses become apparent. Under the completed contract method, revenues and related earnings are recorded when the contracted work is complete and losses are charged to operations in their entirety when such losses becomes apparent.</w:t>
      </w:r>
    </w:p>
    <w:p>
      <w:pPr>
        <w:spacing w:after="0" w:line="101" w:lineRule="exact"/>
        <w:rPr>
          <w:rFonts w:ascii="Arial" w:cs="Arial" w:eastAsia="Arial" w:hAnsi="Arial"/>
          <w:sz w:val="18"/>
          <w:szCs w:val="18"/>
          <w:b w:val="1"/>
          <w:bCs w:val="1"/>
          <w:color w:val="auto"/>
        </w:rPr>
      </w:pPr>
    </w:p>
    <w:p>
      <w:pPr>
        <w:ind w:left="680" w:right="559"/>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following table presents the balances of percentage-of-completion accounts which are included in other current assets and accrued liabilities: other, respectively (in thousands):</w:t>
      </w:r>
    </w:p>
    <w:p>
      <w:pPr>
        <w:spacing w:after="0" w:line="170"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6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w w:val="92"/>
              </w:rPr>
              <w:t>March 29,</w:t>
            </w:r>
          </w:p>
        </w:tc>
        <w:tc>
          <w:tcPr>
            <w:tcW w:w="12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w w:val="92"/>
              </w:rPr>
              <w:t>March 31,</w:t>
            </w:r>
          </w:p>
        </w:tc>
      </w:tr>
      <w:tr>
        <w:trPr>
          <w:trHeight w:val="230"/>
        </w:trPr>
        <w:tc>
          <w:tcPr>
            <w:tcW w:w="68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2008</w:t>
            </w:r>
          </w:p>
        </w:tc>
        <w:tc>
          <w:tcPr>
            <w:tcW w:w="3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2007</w:t>
            </w:r>
          </w:p>
        </w:tc>
        <w:tc>
          <w:tcPr>
            <w:tcW w:w="100" w:type="dxa"/>
            <w:vAlign w:val="bottom"/>
          </w:tcPr>
          <w:p>
            <w:pPr>
              <w:spacing w:after="0"/>
              <w:rPr>
                <w:sz w:val="20"/>
                <w:szCs w:val="20"/>
                <w:color w:val="auto"/>
              </w:rPr>
            </w:pPr>
          </w:p>
        </w:tc>
      </w:tr>
      <w:tr>
        <w:trPr>
          <w:trHeight w:val="210"/>
        </w:trPr>
        <w:tc>
          <w:tcPr>
            <w:tcW w:w="6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Cost and Earnings in Excess of Billings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12,225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3,490</w:t>
            </w:r>
          </w:p>
        </w:tc>
      </w:t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Billings in Excess of Cost and Earnings</w:t>
            </w:r>
          </w:p>
        </w:tc>
        <w:tc>
          <w:tcPr>
            <w:tcW w:w="100" w:type="dxa"/>
            <w:vAlign w:val="bottom"/>
          </w:tcPr>
          <w:p>
            <w:pPr>
              <w:spacing w:after="0"/>
              <w:rPr>
                <w:sz w:val="20"/>
                <w:szCs w:val="20"/>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8,421</w:t>
            </w:r>
          </w:p>
        </w:tc>
        <w:tc>
          <w:tcPr>
            <w:tcW w:w="12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4,489</w:t>
            </w:r>
          </w:p>
        </w:tc>
      </w:tr>
    </w:tbl>
    <w:p>
      <w:pPr>
        <w:spacing w:after="0" w:line="143" w:lineRule="exact"/>
        <w:rPr>
          <w:sz w:val="20"/>
          <w:szCs w:val="20"/>
          <w:color w:val="auto"/>
        </w:rPr>
      </w:pPr>
    </w:p>
    <w:p>
      <w:pPr>
        <w:ind w:left="340"/>
        <w:spacing w:after="0"/>
        <w:tabs>
          <w:tab w:leader="none" w:pos="660" w:val="left"/>
        </w:tabs>
        <w:rPr>
          <w:sz w:val="20"/>
          <w:szCs w:val="20"/>
          <w:color w:val="auto"/>
        </w:rPr>
      </w:pPr>
      <w:r>
        <w:rPr>
          <w:rFonts w:ascii="Arial" w:cs="Arial" w:eastAsia="Arial" w:hAnsi="Arial"/>
          <w:sz w:val="18"/>
          <w:szCs w:val="18"/>
          <w:b w:val="1"/>
          <w:bCs w:val="1"/>
          <w:color w:val="auto"/>
        </w:rPr>
        <w:t>C.</w:t>
      </w:r>
      <w:r>
        <w:rPr>
          <w:sz w:val="20"/>
          <w:szCs w:val="20"/>
          <w:color w:val="auto"/>
        </w:rPr>
        <w:tab/>
      </w:r>
      <w:r>
        <w:rPr>
          <w:rFonts w:ascii="Arial" w:cs="Arial" w:eastAsia="Arial" w:hAnsi="Arial"/>
          <w:sz w:val="17"/>
          <w:szCs w:val="17"/>
          <w:b w:val="1"/>
          <w:bCs w:val="1"/>
          <w:color w:val="auto"/>
        </w:rPr>
        <w:t>EARNINGS PER SHARE</w:t>
      </w:r>
    </w:p>
    <w:p>
      <w:pPr>
        <w:spacing w:after="0" w:line="162" w:lineRule="exact"/>
        <w:rPr>
          <w:sz w:val="20"/>
          <w:szCs w:val="20"/>
          <w:color w:val="auto"/>
        </w:rPr>
      </w:pPr>
    </w:p>
    <w:p>
      <w:pPr>
        <w:ind w:left="680" w:right="559"/>
        <w:spacing w:after="0" w:line="277" w:lineRule="auto"/>
        <w:rPr>
          <w:sz w:val="20"/>
          <w:szCs w:val="20"/>
          <w:color w:val="auto"/>
        </w:rPr>
      </w:pPr>
      <w:r>
        <w:rPr>
          <w:rFonts w:ascii="Arial" w:cs="Arial" w:eastAsia="Arial" w:hAnsi="Arial"/>
          <w:sz w:val="18"/>
          <w:szCs w:val="18"/>
          <w:color w:val="auto"/>
        </w:rPr>
        <w:t>A reconciliation of the changes in the numerator and the denominator from the calculation of basic EPS to the calculation of diluted EPS follows (in thousands, except per share data):</w:t>
      </w:r>
    </w:p>
    <w:p>
      <w:pPr>
        <w:spacing w:after="0" w:line="99" w:lineRule="exact"/>
        <w:rPr>
          <w:sz w:val="20"/>
          <w:szCs w:val="20"/>
          <w:color w:val="auto"/>
        </w:rPr>
      </w:pPr>
    </w:p>
    <w:tbl>
      <w:tblPr>
        <w:tblLayout w:type="fixed"/>
        <w:tblInd w:w="340" w:type="dxa"/>
        <w:tblCellMar>
          <w:top w:w="0" w:type="dxa"/>
          <w:left w:w="0" w:type="dxa"/>
          <w:bottom w:w="0" w:type="dxa"/>
          <w:right w:w="0" w:type="dxa"/>
        </w:tblCellMar>
      </w:tblPr>
      <w:tr>
        <w:trPr>
          <w:trHeight w:val="167"/>
        </w:trPr>
        <w:tc>
          <w:tcPr>
            <w:tcW w:w="28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color w:val="auto"/>
              </w:rPr>
              <w:t>Three Months Ended 03/29/08</w:t>
            </w:r>
          </w:p>
        </w:tc>
        <w:tc>
          <w:tcPr>
            <w:tcW w:w="60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5"/>
          </w:tcPr>
          <w:p>
            <w:pPr>
              <w:jc w:val="center"/>
              <w:ind w:left="468"/>
              <w:spacing w:after="0"/>
              <w:rPr>
                <w:sz w:val="20"/>
                <w:szCs w:val="20"/>
                <w:color w:val="auto"/>
              </w:rPr>
            </w:pPr>
            <w:r>
              <w:rPr>
                <w:rFonts w:ascii="Arial" w:cs="Arial" w:eastAsia="Arial" w:hAnsi="Arial"/>
                <w:sz w:val="14"/>
                <w:szCs w:val="14"/>
                <w:color w:val="auto"/>
                <w:w w:val="93"/>
              </w:rPr>
              <w:t>Three Months Ended 03/31/07</w:t>
            </w:r>
          </w:p>
        </w:tc>
        <w:tc>
          <w:tcPr>
            <w:tcW w:w="6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23"/>
        </w:trPr>
        <w:tc>
          <w:tcPr>
            <w:tcW w:w="2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jc w:val="center"/>
              <w:ind w:right="48"/>
              <w:spacing w:after="0" w:line="123" w:lineRule="exact"/>
              <w:rPr>
                <w:sz w:val="20"/>
                <w:szCs w:val="20"/>
                <w:color w:val="auto"/>
              </w:rPr>
            </w:pPr>
            <w:r>
              <w:rPr>
                <w:rFonts w:ascii="Arial" w:cs="Arial" w:eastAsia="Arial" w:hAnsi="Arial"/>
                <w:sz w:val="14"/>
                <w:szCs w:val="14"/>
                <w:color w:val="auto"/>
                <w:w w:val="91"/>
              </w:rPr>
              <w:t>Per</w:t>
            </w: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jc w:val="center"/>
              <w:ind w:right="28"/>
              <w:spacing w:after="0" w:line="123" w:lineRule="exact"/>
              <w:rPr>
                <w:sz w:val="20"/>
                <w:szCs w:val="20"/>
                <w:color w:val="auto"/>
              </w:rPr>
            </w:pPr>
            <w:r>
              <w:rPr>
                <w:rFonts w:ascii="Arial" w:cs="Arial" w:eastAsia="Arial" w:hAnsi="Arial"/>
                <w:sz w:val="14"/>
                <w:szCs w:val="14"/>
                <w:color w:val="auto"/>
                <w:w w:val="91"/>
              </w:rPr>
              <w:t>Per</w:t>
            </w:r>
          </w:p>
        </w:tc>
        <w:tc>
          <w:tcPr>
            <w:tcW w:w="80" w:type="dxa"/>
            <w:vAlign w:val="bottom"/>
          </w:tcPr>
          <w:p>
            <w:pPr>
              <w:spacing w:after="0"/>
              <w:rPr>
                <w:sz w:val="10"/>
                <w:szCs w:val="10"/>
                <w:color w:val="auto"/>
              </w:rPr>
            </w:pPr>
          </w:p>
        </w:tc>
      </w:tr>
      <w:tr>
        <w:trPr>
          <w:trHeight w:val="149"/>
        </w:trPr>
        <w:tc>
          <w:tcPr>
            <w:tcW w:w="2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w w:val="95"/>
              </w:rPr>
              <w:t>Income</w:t>
            </w:r>
          </w:p>
        </w:tc>
        <w:tc>
          <w:tcPr>
            <w:tcW w:w="122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Shares</w:t>
            </w:r>
          </w:p>
        </w:tc>
        <w:tc>
          <w:tcPr>
            <w:tcW w:w="120" w:type="dxa"/>
            <w:vAlign w:val="bottom"/>
          </w:tcPr>
          <w:p>
            <w:pPr>
              <w:spacing w:after="0"/>
              <w:rPr>
                <w:sz w:val="12"/>
                <w:szCs w:val="12"/>
                <w:color w:val="auto"/>
              </w:rPr>
            </w:pPr>
          </w:p>
        </w:tc>
        <w:tc>
          <w:tcPr>
            <w:tcW w:w="960" w:type="dxa"/>
            <w:vAlign w:val="bottom"/>
            <w:gridSpan w:val="2"/>
          </w:tcPr>
          <w:p>
            <w:pPr>
              <w:jc w:val="center"/>
              <w:ind w:right="480"/>
              <w:spacing w:after="0" w:line="149" w:lineRule="exact"/>
              <w:rPr>
                <w:sz w:val="20"/>
                <w:szCs w:val="20"/>
                <w:color w:val="auto"/>
              </w:rPr>
            </w:pPr>
            <w:r>
              <w:rPr>
                <w:rFonts w:ascii="Arial" w:cs="Arial" w:eastAsia="Arial" w:hAnsi="Arial"/>
                <w:sz w:val="14"/>
                <w:szCs w:val="14"/>
                <w:color w:val="auto"/>
                <w:w w:val="85"/>
              </w:rPr>
              <w:t>Share</w:t>
            </w:r>
          </w:p>
        </w:tc>
        <w:tc>
          <w:tcPr>
            <w:tcW w:w="100" w:type="dxa"/>
            <w:vAlign w:val="bottom"/>
          </w:tcPr>
          <w:p>
            <w:pPr>
              <w:spacing w:after="0"/>
              <w:rPr>
                <w:sz w:val="12"/>
                <w:szCs w:val="12"/>
                <w:color w:val="auto"/>
              </w:rPr>
            </w:pPr>
          </w:p>
        </w:tc>
        <w:tc>
          <w:tcPr>
            <w:tcW w:w="98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Income</w:t>
            </w:r>
          </w:p>
        </w:tc>
        <w:tc>
          <w:tcPr>
            <w:tcW w:w="122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w w:val="85"/>
              </w:rPr>
              <w:t>Shares</w:t>
            </w:r>
          </w:p>
        </w:tc>
        <w:tc>
          <w:tcPr>
            <w:tcW w:w="100" w:type="dxa"/>
            <w:vAlign w:val="bottom"/>
          </w:tcPr>
          <w:p>
            <w:pPr>
              <w:spacing w:after="0"/>
              <w:rPr>
                <w:sz w:val="12"/>
                <w:szCs w:val="12"/>
                <w:color w:val="auto"/>
              </w:rPr>
            </w:pPr>
          </w:p>
        </w:tc>
        <w:tc>
          <w:tcPr>
            <w:tcW w:w="70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5"/>
              </w:rPr>
              <w:t>Share</w:t>
            </w:r>
          </w:p>
        </w:tc>
      </w:tr>
      <w:tr>
        <w:trPr>
          <w:trHeight w:val="167"/>
        </w:trPr>
        <w:tc>
          <w:tcPr>
            <w:tcW w:w="284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color w:val="auto"/>
              </w:rPr>
              <w:t>(Numerator)</w:t>
            </w:r>
          </w:p>
        </w:tc>
        <w:tc>
          <w:tcPr>
            <w:tcW w:w="1220" w:type="dxa"/>
            <w:vAlign w:val="bottom"/>
            <w:gridSpan w:val="2"/>
          </w:tcPr>
          <w:p>
            <w:pPr>
              <w:jc w:val="right"/>
              <w:ind w:right="360"/>
              <w:spacing w:after="0"/>
              <w:rPr>
                <w:sz w:val="20"/>
                <w:szCs w:val="20"/>
                <w:color w:val="auto"/>
              </w:rPr>
            </w:pPr>
            <w:r>
              <w:rPr>
                <w:rFonts w:ascii="Arial" w:cs="Arial" w:eastAsia="Arial" w:hAnsi="Arial"/>
                <w:sz w:val="14"/>
                <w:szCs w:val="14"/>
                <w:color w:val="auto"/>
                <w:w w:val="93"/>
              </w:rPr>
              <w:t>(Denominator)</w:t>
            </w:r>
          </w:p>
        </w:tc>
        <w:tc>
          <w:tcPr>
            <w:tcW w:w="120" w:type="dxa"/>
            <w:vAlign w:val="bottom"/>
          </w:tcPr>
          <w:p>
            <w:pPr>
              <w:spacing w:after="0"/>
              <w:rPr>
                <w:sz w:val="14"/>
                <w:szCs w:val="14"/>
                <w:color w:val="auto"/>
              </w:rPr>
            </w:pPr>
          </w:p>
        </w:tc>
        <w:tc>
          <w:tcPr>
            <w:tcW w:w="960" w:type="dxa"/>
            <w:vAlign w:val="bottom"/>
            <w:gridSpan w:val="2"/>
          </w:tcPr>
          <w:p>
            <w:pPr>
              <w:jc w:val="center"/>
              <w:ind w:right="480"/>
              <w:spacing w:after="0"/>
              <w:rPr>
                <w:sz w:val="20"/>
                <w:szCs w:val="20"/>
                <w:color w:val="auto"/>
              </w:rPr>
            </w:pPr>
            <w:r>
              <w:rPr>
                <w:rFonts w:ascii="Arial" w:cs="Arial" w:eastAsia="Arial" w:hAnsi="Arial"/>
                <w:sz w:val="14"/>
                <w:szCs w:val="14"/>
                <w:color w:val="auto"/>
                <w:w w:val="99"/>
              </w:rPr>
              <w:t>Amount</w:t>
            </w:r>
          </w:p>
        </w:tc>
        <w:tc>
          <w:tcPr>
            <w:tcW w:w="1080" w:type="dxa"/>
            <w:vAlign w:val="bottom"/>
            <w:gridSpan w:val="3"/>
          </w:tcPr>
          <w:p>
            <w:pPr>
              <w:jc w:val="right"/>
              <w:ind w:right="360"/>
              <w:spacing w:after="0"/>
              <w:rPr>
                <w:sz w:val="20"/>
                <w:szCs w:val="20"/>
                <w:color w:val="auto"/>
              </w:rPr>
            </w:pPr>
            <w:r>
              <w:rPr>
                <w:rFonts w:ascii="Arial" w:cs="Arial" w:eastAsia="Arial" w:hAnsi="Arial"/>
                <w:sz w:val="14"/>
                <w:szCs w:val="14"/>
                <w:color w:val="auto"/>
                <w:w w:val="92"/>
              </w:rPr>
              <w:t>(Numerator)</w:t>
            </w: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color w:val="auto"/>
                <w:w w:val="96"/>
              </w:rPr>
              <w:t>(Denominator)</w:t>
            </w:r>
          </w:p>
        </w:tc>
        <w:tc>
          <w:tcPr>
            <w:tcW w:w="100" w:type="dxa"/>
            <w:vAlign w:val="bottom"/>
          </w:tcPr>
          <w:p>
            <w:pPr>
              <w:spacing w:after="0"/>
              <w:rPr>
                <w:sz w:val="14"/>
                <w:szCs w:val="14"/>
                <w:color w:val="auto"/>
              </w:rPr>
            </w:pPr>
          </w:p>
        </w:tc>
        <w:tc>
          <w:tcPr>
            <w:tcW w:w="700" w:type="dxa"/>
            <w:vAlign w:val="bottom"/>
            <w:gridSpan w:val="2"/>
          </w:tcPr>
          <w:p>
            <w:pPr>
              <w:jc w:val="center"/>
              <w:ind w:right="180"/>
              <w:spacing w:after="0"/>
              <w:rPr>
                <w:sz w:val="20"/>
                <w:szCs w:val="20"/>
                <w:color w:val="auto"/>
              </w:rPr>
            </w:pPr>
            <w:r>
              <w:rPr>
                <w:rFonts w:ascii="Arial" w:cs="Arial" w:eastAsia="Arial" w:hAnsi="Arial"/>
                <w:sz w:val="14"/>
                <w:szCs w:val="14"/>
                <w:color w:val="auto"/>
                <w:w w:val="99"/>
              </w:rPr>
              <w:t>Amount</w:t>
            </w:r>
          </w:p>
        </w:tc>
      </w:tr>
      <w:tr>
        <w:trPr>
          <w:trHeight w:val="142"/>
        </w:trPr>
        <w:tc>
          <w:tcPr>
            <w:tcW w:w="28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28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Earnings</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(4,576)</w:t>
            </w:r>
          </w:p>
        </w:tc>
        <w:tc>
          <w:tcPr>
            <w:tcW w:w="8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3,886</w:t>
            </w:r>
          </w:p>
        </w:tc>
        <w:tc>
          <w:tcPr>
            <w:tcW w:w="8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297"/>
        </w:trPr>
        <w:tc>
          <w:tcPr>
            <w:tcW w:w="2840" w:type="dxa"/>
            <w:vAlign w:val="bottom"/>
          </w:tcPr>
          <w:p>
            <w:pPr>
              <w:spacing w:after="0"/>
              <w:rPr>
                <w:sz w:val="20"/>
                <w:szCs w:val="20"/>
                <w:color w:val="auto"/>
              </w:rPr>
            </w:pPr>
            <w:r>
              <w:rPr>
                <w:rFonts w:ascii="Arial" w:cs="Arial" w:eastAsia="Arial" w:hAnsi="Arial"/>
                <w:sz w:val="14"/>
                <w:szCs w:val="14"/>
                <w:b w:val="1"/>
                <w:bCs w:val="1"/>
                <w:color w:val="auto"/>
              </w:rPr>
              <w:t>EPS — Basic</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49"/>
        </w:trPr>
        <w:tc>
          <w:tcPr>
            <w:tcW w:w="2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available to common stockholders</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(4,576)</w:t>
            </w:r>
          </w:p>
        </w:tc>
        <w:tc>
          <w:tcPr>
            <w:tcW w:w="122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18,996</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(0.24)</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3,886</w:t>
            </w:r>
          </w:p>
        </w:tc>
        <w:tc>
          <w:tcPr>
            <w:tcW w:w="122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18,985</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0.20</w:t>
            </w:r>
          </w:p>
        </w:tc>
      </w:tr>
      <w:tr>
        <w:trPr>
          <w:trHeight w:val="297"/>
        </w:trPr>
        <w:tc>
          <w:tcPr>
            <w:tcW w:w="2840" w:type="dxa"/>
            <w:vAlign w:val="bottom"/>
          </w:tcPr>
          <w:p>
            <w:pPr>
              <w:spacing w:after="0"/>
              <w:rPr>
                <w:sz w:val="20"/>
                <w:szCs w:val="20"/>
                <w:color w:val="auto"/>
              </w:rPr>
            </w:pPr>
            <w:r>
              <w:rPr>
                <w:rFonts w:ascii="Arial" w:cs="Arial" w:eastAsia="Arial" w:hAnsi="Arial"/>
                <w:sz w:val="14"/>
                <w:szCs w:val="14"/>
                <w:b w:val="1"/>
                <w:bCs w:val="1"/>
                <w:color w:val="auto"/>
              </w:rPr>
              <w:t>Effect of dilutive securities</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49"/>
        </w:trPr>
        <w:tc>
          <w:tcPr>
            <w:tcW w:w="2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Options</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424</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304"/>
        </w:trPr>
        <w:tc>
          <w:tcPr>
            <w:tcW w:w="2840" w:type="dxa"/>
            <w:vAlign w:val="bottom"/>
          </w:tcPr>
          <w:p>
            <w:pPr>
              <w:spacing w:after="0"/>
              <w:rPr>
                <w:sz w:val="20"/>
                <w:szCs w:val="20"/>
                <w:color w:val="auto"/>
              </w:rPr>
            </w:pPr>
            <w:r>
              <w:rPr>
                <w:rFonts w:ascii="Arial" w:cs="Arial" w:eastAsia="Arial" w:hAnsi="Arial"/>
                <w:sz w:val="14"/>
                <w:szCs w:val="14"/>
                <w:b w:val="1"/>
                <w:bCs w:val="1"/>
                <w:color w:val="auto"/>
              </w:rPr>
              <w:t>EPS — Diluted</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30"/>
        </w:trPr>
        <w:tc>
          <w:tcPr>
            <w:tcW w:w="28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Income available to common stockholders</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67"/>
        </w:trPr>
        <w:tc>
          <w:tcPr>
            <w:tcW w:w="28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and assumed options exercised</w:t>
            </w:r>
          </w:p>
        </w:tc>
        <w:tc>
          <w:tcPr>
            <w:tcW w:w="1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(4,576)</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18,996</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(0.24)</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3,886</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19,409</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0.20</w:t>
            </w:r>
          </w:p>
        </w:tc>
      </w:tr>
      <w:tr>
        <w:trPr>
          <w:trHeight w:val="20"/>
        </w:trPr>
        <w:tc>
          <w:tcPr>
            <w:tcW w:w="28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420"/>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jc w:val="center"/>
        <w:ind w:right="1420"/>
        <w:spacing w:after="0"/>
        <w:rPr>
          <w:sz w:val="20"/>
          <w:szCs w:val="20"/>
          <w:color w:val="auto"/>
        </w:rPr>
      </w:pPr>
      <w:r>
        <w:rPr>
          <w:rFonts w:ascii="Arial" w:cs="Arial" w:eastAsia="Arial" w:hAnsi="Arial"/>
          <w:sz w:val="18"/>
          <w:szCs w:val="18"/>
          <w:b w:val="1"/>
          <w:bCs w:val="1"/>
          <w:color w:val="auto"/>
        </w:rPr>
        <w:t>NOTES TO UNAUDITED CONSOLIDATED CONDENSED</w:t>
      </w:r>
    </w:p>
    <w:p>
      <w:pPr>
        <w:spacing w:after="0" w:line="9" w:lineRule="exact"/>
        <w:rPr>
          <w:sz w:val="20"/>
          <w:szCs w:val="20"/>
          <w:color w:val="auto"/>
        </w:rPr>
      </w:pPr>
    </w:p>
    <w:p>
      <w:pPr>
        <w:jc w:val="center"/>
        <w:ind w:right="1420"/>
        <w:spacing w:after="0"/>
        <w:rPr>
          <w:sz w:val="20"/>
          <w:szCs w:val="20"/>
          <w:color w:val="auto"/>
        </w:rPr>
      </w:pPr>
      <w:r>
        <w:rPr>
          <w:rFonts w:ascii="Arial" w:cs="Arial" w:eastAsia="Arial" w:hAnsi="Arial"/>
          <w:sz w:val="18"/>
          <w:szCs w:val="18"/>
          <w:b w:val="1"/>
          <w:bCs w:val="1"/>
          <w:color w:val="auto"/>
        </w:rPr>
        <w:t>FINANCIAL STATEMENTS</w:t>
      </w:r>
    </w:p>
    <w:p>
      <w:pPr>
        <w:spacing w:after="0" w:line="184" w:lineRule="exact"/>
        <w:rPr>
          <w:sz w:val="20"/>
          <w:szCs w:val="20"/>
          <w:color w:val="auto"/>
        </w:rPr>
      </w:pPr>
    </w:p>
    <w:p>
      <w:pPr>
        <w:ind w:left="680" w:right="1760"/>
        <w:spacing w:after="0" w:line="277" w:lineRule="auto"/>
        <w:rPr>
          <w:sz w:val="20"/>
          <w:szCs w:val="20"/>
          <w:color w:val="auto"/>
        </w:rPr>
      </w:pPr>
      <w:r>
        <w:rPr>
          <w:rFonts w:ascii="Arial" w:cs="Arial" w:eastAsia="Arial" w:hAnsi="Arial"/>
          <w:sz w:val="18"/>
          <w:szCs w:val="18"/>
          <w:color w:val="auto"/>
        </w:rPr>
        <w:t>Options to purchase shares and certain other shares of common stock were not included in the computation of diluted EPS because they were antidilutive given the net loss for the quarter ended March 29, 2008.</w:t>
      </w:r>
    </w:p>
    <w:p>
      <w:pPr>
        <w:spacing w:after="0" w:line="10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No outstanding options were excluded from the computation of diluted EPS for the quarter ended March 31, 2007.</w:t>
      </w:r>
    </w:p>
    <w:p>
      <w:pPr>
        <w:spacing w:after="0" w:line="154" w:lineRule="exact"/>
        <w:rPr>
          <w:sz w:val="20"/>
          <w:szCs w:val="20"/>
          <w:color w:val="auto"/>
        </w:rPr>
      </w:pPr>
    </w:p>
    <w:p>
      <w:pPr>
        <w:ind w:left="680" w:hanging="348"/>
        <w:spacing w:after="0"/>
        <w:tabs>
          <w:tab w:leader="none" w:pos="6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SALE OF ACCOUNTS RECEIVABLE</w:t>
      </w:r>
    </w:p>
    <w:p>
      <w:pPr>
        <w:spacing w:after="0" w:line="161" w:lineRule="exact"/>
        <w:rPr>
          <w:rFonts w:ascii="Arial" w:cs="Arial" w:eastAsia="Arial" w:hAnsi="Arial"/>
          <w:sz w:val="18"/>
          <w:szCs w:val="18"/>
          <w:b w:val="1"/>
          <w:bCs w:val="1"/>
          <w:color w:val="auto"/>
        </w:rPr>
      </w:pPr>
    </w:p>
    <w:p>
      <w:pPr>
        <w:ind w:left="680" w:right="17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On March 8, 2006 we entered into an accounts receivable sale arrangement with a bank. Under the terms of this arrangement:</w:t>
      </w:r>
    </w:p>
    <w:p>
      <w:pPr>
        <w:spacing w:after="0" w:line="129" w:lineRule="exact"/>
        <w:rPr>
          <w:rFonts w:ascii="Arial" w:cs="Arial" w:eastAsia="Arial" w:hAnsi="Arial"/>
          <w:sz w:val="18"/>
          <w:szCs w:val="18"/>
          <w:b w:val="1"/>
          <w:bCs w:val="1"/>
          <w:color w:val="auto"/>
        </w:rPr>
      </w:pPr>
    </w:p>
    <w:p>
      <w:pPr>
        <w:ind w:left="1040" w:hanging="343"/>
        <w:spacing w:after="0"/>
        <w:tabs>
          <w:tab w:leader="none" w:pos="1040" w:val="left"/>
        </w:tabs>
        <w:numPr>
          <w:ilvl w:val="1"/>
          <w:numId w:val="5"/>
        </w:numPr>
        <w:rPr>
          <w:rFonts w:ascii="Arial" w:cs="Arial" w:eastAsia="Arial" w:hAnsi="Arial"/>
          <w:sz w:val="18"/>
          <w:szCs w:val="18"/>
          <w:b w:val="1"/>
          <w:bCs w:val="1"/>
          <w:color w:val="auto"/>
        </w:rPr>
      </w:pPr>
      <w:r>
        <w:rPr>
          <w:rFonts w:ascii="Arial" w:cs="Arial" w:eastAsia="Arial" w:hAnsi="Arial"/>
          <w:sz w:val="18"/>
          <w:szCs w:val="18"/>
          <w:color w:val="auto"/>
        </w:rPr>
        <w:t>We sell specific receivables to the bank at an agreed-upon price at terms ranging from one month to one year.</w:t>
      </w:r>
    </w:p>
    <w:p>
      <w:pPr>
        <w:spacing w:after="0" w:line="157" w:lineRule="exact"/>
        <w:rPr>
          <w:rFonts w:ascii="Arial" w:cs="Arial" w:eastAsia="Arial" w:hAnsi="Arial"/>
          <w:sz w:val="18"/>
          <w:szCs w:val="18"/>
          <w:b w:val="1"/>
          <w:bCs w:val="1"/>
          <w:color w:val="auto"/>
        </w:rPr>
      </w:pPr>
    </w:p>
    <w:p>
      <w:pPr>
        <w:ind w:left="1040" w:hanging="343"/>
        <w:spacing w:after="0"/>
        <w:tabs>
          <w:tab w:leader="none" w:pos="1040" w:val="left"/>
        </w:tabs>
        <w:numPr>
          <w:ilvl w:val="1"/>
          <w:numId w:val="5"/>
        </w:numPr>
        <w:rPr>
          <w:rFonts w:ascii="Arial" w:cs="Arial" w:eastAsia="Arial" w:hAnsi="Arial"/>
          <w:sz w:val="18"/>
          <w:szCs w:val="18"/>
          <w:b w:val="1"/>
          <w:bCs w:val="1"/>
          <w:color w:val="auto"/>
        </w:rPr>
      </w:pPr>
      <w:r>
        <w:rPr>
          <w:rFonts w:ascii="Arial" w:cs="Arial" w:eastAsia="Arial" w:hAnsi="Arial"/>
          <w:sz w:val="18"/>
          <w:szCs w:val="18"/>
          <w:color w:val="auto"/>
        </w:rPr>
        <w:t>We service the receivables sold and outstanding on behalf of the bank at a rate of 0.50% per annum.</w:t>
      </w:r>
    </w:p>
    <w:p>
      <w:pPr>
        <w:spacing w:after="0" w:line="157" w:lineRule="exact"/>
        <w:rPr>
          <w:rFonts w:ascii="Arial" w:cs="Arial" w:eastAsia="Arial" w:hAnsi="Arial"/>
          <w:sz w:val="18"/>
          <w:szCs w:val="18"/>
          <w:b w:val="1"/>
          <w:bCs w:val="1"/>
          <w:color w:val="auto"/>
        </w:rPr>
      </w:pPr>
    </w:p>
    <w:p>
      <w:pPr>
        <w:jc w:val="both"/>
        <w:ind w:left="1040" w:right="1760" w:hanging="343"/>
        <w:spacing w:after="0" w:line="286" w:lineRule="auto"/>
        <w:tabs>
          <w:tab w:leader="none" w:pos="1040" w:val="left"/>
        </w:tabs>
        <w:numPr>
          <w:ilvl w:val="1"/>
          <w:numId w:val="5"/>
        </w:numPr>
        <w:rPr>
          <w:rFonts w:ascii="Arial" w:cs="Arial" w:eastAsia="Arial" w:hAnsi="Arial"/>
          <w:sz w:val="17"/>
          <w:szCs w:val="17"/>
          <w:b w:val="1"/>
          <w:bCs w:val="1"/>
          <w:color w:val="auto"/>
        </w:rPr>
      </w:pPr>
      <w:r>
        <w:rPr>
          <w:rFonts w:ascii="Arial" w:cs="Arial" w:eastAsia="Arial" w:hAnsi="Arial"/>
          <w:sz w:val="17"/>
          <w:szCs w:val="17"/>
          <w:color w:val="auto"/>
        </w:rPr>
        <w:t>We receive an incentive servicing fee, which we account for as a retained interest in the receivables sold. Our retained interest is determined based on the fair market value of anticipated collections in excess of the Agreed Base Value of the receivables sold. Appropriate valuation allowances are recorded against the retained interest.</w:t>
      </w:r>
    </w:p>
    <w:p>
      <w:pPr>
        <w:spacing w:after="0" w:line="97" w:lineRule="exact"/>
        <w:rPr>
          <w:rFonts w:ascii="Arial" w:cs="Arial" w:eastAsia="Arial" w:hAnsi="Arial"/>
          <w:sz w:val="17"/>
          <w:szCs w:val="17"/>
          <w:b w:val="1"/>
          <w:bCs w:val="1"/>
          <w:color w:val="auto"/>
        </w:rPr>
      </w:pPr>
    </w:p>
    <w:p>
      <w:pPr>
        <w:ind w:left="1040" w:right="1760" w:hanging="343"/>
        <w:spacing w:after="0" w:line="277" w:lineRule="auto"/>
        <w:tabs>
          <w:tab w:leader="none" w:pos="1040" w:val="left"/>
        </w:tabs>
        <w:numPr>
          <w:ilvl w:val="1"/>
          <w:numId w:val="5"/>
        </w:numPr>
        <w:rPr>
          <w:rFonts w:ascii="Arial" w:cs="Arial" w:eastAsia="Arial" w:hAnsi="Arial"/>
          <w:sz w:val="18"/>
          <w:szCs w:val="18"/>
          <w:b w:val="1"/>
          <w:bCs w:val="1"/>
          <w:color w:val="auto"/>
        </w:rPr>
      </w:pPr>
      <w:r>
        <w:rPr>
          <w:rFonts w:ascii="Arial" w:cs="Arial" w:eastAsia="Arial" w:hAnsi="Arial"/>
          <w:sz w:val="18"/>
          <w:szCs w:val="18"/>
          <w:color w:val="auto"/>
        </w:rPr>
        <w:t>The maximum amount of receivables, net of retained interest, which may be sold and outstanding at any point in time under this arrangement is $50 million.</w:t>
      </w:r>
    </w:p>
    <w:p>
      <w:pPr>
        <w:spacing w:after="0" w:line="130" w:lineRule="exact"/>
        <w:rPr>
          <w:sz w:val="20"/>
          <w:szCs w:val="20"/>
          <w:color w:val="auto"/>
        </w:rPr>
      </w:pPr>
    </w:p>
    <w:p>
      <w:pPr>
        <w:jc w:val="both"/>
        <w:ind w:left="680" w:right="1760"/>
        <w:spacing w:after="0" w:line="259" w:lineRule="auto"/>
        <w:rPr>
          <w:sz w:val="20"/>
          <w:szCs w:val="20"/>
          <w:color w:val="auto"/>
        </w:rPr>
      </w:pPr>
      <w:r>
        <w:rPr>
          <w:rFonts w:ascii="Arial" w:cs="Arial" w:eastAsia="Arial" w:hAnsi="Arial"/>
          <w:sz w:val="18"/>
          <w:szCs w:val="18"/>
          <w:color w:val="auto"/>
        </w:rPr>
        <w:t>On March 29, 2008 $54.1 million of receivables were sold and outstanding, and we recorded $4.1 million of retained interest in other current assets. On March 31, 2007, $52.8 million of receivables were sold and outstanding, and we recorded $4.0 million of retained interest in other current assets. A summary of the transactions we completed for the first three months of 2008 and 2007 are presented below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860" w:type="dxa"/>
            <w:vAlign w:val="bottom"/>
            <w:gridSpan w:val="3"/>
          </w:tcPr>
          <w:p>
            <w:pPr>
              <w:spacing w:after="0"/>
              <w:rPr>
                <w:sz w:val="20"/>
                <w:szCs w:val="20"/>
                <w:color w:val="auto"/>
              </w:rPr>
            </w:pPr>
            <w:r>
              <w:rPr>
                <w:rFonts w:ascii="Arial" w:cs="Arial" w:eastAsia="Arial" w:hAnsi="Arial"/>
                <w:sz w:val="18"/>
                <w:szCs w:val="18"/>
                <w:color w:val="auto"/>
              </w:rPr>
              <w:t>Three Months Ended</w:t>
            </w:r>
          </w:p>
        </w:tc>
        <w:tc>
          <w:tcPr>
            <w:tcW w:w="1580" w:type="dxa"/>
            <w:vAlign w:val="bottom"/>
            <w:gridSpan w:val="3"/>
          </w:tcPr>
          <w:p>
            <w:pPr>
              <w:spacing w:after="0"/>
              <w:rPr>
                <w:sz w:val="20"/>
                <w:szCs w:val="20"/>
                <w:color w:val="auto"/>
              </w:rPr>
            </w:pPr>
            <w:r>
              <w:rPr>
                <w:rFonts w:ascii="Arial" w:cs="Arial" w:eastAsia="Arial" w:hAnsi="Arial"/>
                <w:sz w:val="18"/>
                <w:szCs w:val="18"/>
                <w:color w:val="auto"/>
                <w:w w:val="92"/>
              </w:rPr>
              <w:t>Three Months Ended</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4"/>
              </w:rPr>
              <w:t>March 29, 2008</w:t>
            </w:r>
          </w:p>
        </w:tc>
        <w:tc>
          <w:tcPr>
            <w:tcW w:w="3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March 31, 2007</w:t>
            </w:r>
          </w:p>
        </w:tc>
        <w:tc>
          <w:tcPr>
            <w:tcW w:w="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sold</w:t>
            </w:r>
          </w:p>
        </w:tc>
        <w:tc>
          <w:tcPr>
            <w:tcW w:w="2620" w:type="dxa"/>
            <w:vAlign w:val="bottom"/>
            <w:gridSpan w:val="2"/>
            <w:shd w:val="clear" w:color="auto" w:fill="CCEEFF"/>
          </w:tcPr>
          <w:p>
            <w:pPr>
              <w:ind w:left="2480"/>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111,940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119,538</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Retained interest in receivables</w:t>
            </w:r>
          </w:p>
        </w:tc>
        <w:tc>
          <w:tcPr>
            <w:tcW w:w="2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gridSpan w:val="2"/>
          </w:tcPr>
          <w:p>
            <w:pPr>
              <w:jc w:val="right"/>
              <w:ind w:right="280"/>
              <w:spacing w:after="0"/>
              <w:rPr>
                <w:sz w:val="20"/>
                <w:szCs w:val="20"/>
                <w:color w:val="auto"/>
              </w:rPr>
            </w:pPr>
            <w:r>
              <w:rPr>
                <w:rFonts w:ascii="Arial" w:cs="Arial" w:eastAsia="Arial" w:hAnsi="Arial"/>
                <w:sz w:val="18"/>
                <w:szCs w:val="18"/>
                <w:color w:val="auto"/>
              </w:rPr>
              <w:t>(2,432)</w:t>
            </w:r>
          </w:p>
        </w:tc>
        <w:tc>
          <w:tcPr>
            <w:tcW w:w="12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(1,887)</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Expense from sale</w:t>
            </w:r>
          </w:p>
        </w:tc>
        <w:tc>
          <w:tcPr>
            <w:tcW w:w="2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(372)</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(596)</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Servicing fee received</w:t>
            </w:r>
          </w:p>
        </w:tc>
        <w:tc>
          <w:tcPr>
            <w:tcW w:w="2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47</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47</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34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Net cash received from sale</w:t>
            </w:r>
          </w:p>
        </w:tc>
        <w:tc>
          <w:tcPr>
            <w:tcW w:w="2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109,183</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117,102</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480" w:type="dxa"/>
            <w:vAlign w:val="bottom"/>
            <w:vMerge w:val="restart"/>
          </w:tcPr>
          <w:p>
            <w:pPr>
              <w:jc w:val="right"/>
              <w:ind w:right="1050"/>
              <w:spacing w:after="0"/>
              <w:rPr>
                <w:sz w:val="20"/>
                <w:szCs w:val="20"/>
                <w:color w:val="auto"/>
              </w:rPr>
            </w:pPr>
            <w:r>
              <w:rPr>
                <w:rFonts w:ascii="Arial" w:cs="Arial" w:eastAsia="Arial" w:hAnsi="Arial"/>
                <w:sz w:val="18"/>
                <w:szCs w:val="18"/>
                <w:color w:val="auto"/>
              </w:rPr>
              <w:t>10</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1"/>
        </w:trPr>
        <w:tc>
          <w:tcPr>
            <w:tcW w:w="3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24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3400" w:type="dxa"/>
            <w:vAlign w:val="bottom"/>
            <w:tcBorders>
              <w:bottom w:val="single" w:sz="8" w:color="808080"/>
            </w:tcBorders>
          </w:tcPr>
          <w:p>
            <w:pPr>
              <w:spacing w:after="0"/>
              <w:rPr>
                <w:sz w:val="19"/>
                <w:szCs w:val="19"/>
                <w:color w:val="auto"/>
              </w:rPr>
            </w:pPr>
          </w:p>
        </w:tc>
        <w:tc>
          <w:tcPr>
            <w:tcW w:w="24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3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3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7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420"/>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jc w:val="center"/>
        <w:ind w:right="1420"/>
        <w:spacing w:after="0"/>
        <w:rPr>
          <w:sz w:val="20"/>
          <w:szCs w:val="20"/>
          <w:color w:val="auto"/>
        </w:rPr>
      </w:pPr>
      <w:r>
        <w:rPr>
          <w:rFonts w:ascii="Arial" w:cs="Arial" w:eastAsia="Arial" w:hAnsi="Arial"/>
          <w:sz w:val="18"/>
          <w:szCs w:val="18"/>
          <w:b w:val="1"/>
          <w:bCs w:val="1"/>
          <w:color w:val="auto"/>
        </w:rPr>
        <w:t>NOTES TO UNAUDITED CONSOLIDATED CONDENSED</w:t>
      </w:r>
    </w:p>
    <w:p>
      <w:pPr>
        <w:spacing w:after="0" w:line="9" w:lineRule="exact"/>
        <w:rPr>
          <w:sz w:val="20"/>
          <w:szCs w:val="20"/>
          <w:color w:val="auto"/>
        </w:rPr>
      </w:pPr>
    </w:p>
    <w:p>
      <w:pPr>
        <w:jc w:val="center"/>
        <w:ind w:right="1420"/>
        <w:spacing w:after="0"/>
        <w:rPr>
          <w:sz w:val="20"/>
          <w:szCs w:val="20"/>
          <w:color w:val="auto"/>
        </w:rPr>
      </w:pPr>
      <w:r>
        <w:rPr>
          <w:rFonts w:ascii="Arial" w:cs="Arial" w:eastAsia="Arial" w:hAnsi="Arial"/>
          <w:sz w:val="18"/>
          <w:szCs w:val="18"/>
          <w:b w:val="1"/>
          <w:bCs w:val="1"/>
          <w:color w:val="auto"/>
        </w:rPr>
        <w:t>FINANCIAL STATEMENTS</w:t>
      </w:r>
    </w:p>
    <w:p>
      <w:pPr>
        <w:spacing w:after="0" w:line="180" w:lineRule="exact"/>
        <w:rPr>
          <w:sz w:val="20"/>
          <w:szCs w:val="20"/>
          <w:color w:val="auto"/>
        </w:rPr>
      </w:pPr>
    </w:p>
    <w:p>
      <w:pPr>
        <w:ind w:left="680" w:hanging="348"/>
        <w:spacing w:after="0"/>
        <w:tabs>
          <w:tab w:leader="none" w:pos="6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ASSETS HELD FOR SALE</w:t>
      </w:r>
    </w:p>
    <w:p>
      <w:pPr>
        <w:spacing w:after="0" w:line="161" w:lineRule="exact"/>
        <w:rPr>
          <w:rFonts w:ascii="Arial" w:cs="Arial" w:eastAsia="Arial" w:hAnsi="Arial"/>
          <w:sz w:val="18"/>
          <w:szCs w:val="18"/>
          <w:b w:val="1"/>
          <w:bCs w:val="1"/>
          <w:color w:val="auto"/>
        </w:rPr>
      </w:pPr>
    </w:p>
    <w:p>
      <w:pPr>
        <w:jc w:val="both"/>
        <w:ind w:left="680" w:right="176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Included in assets held for sale is certain property, plant and equipment totaling $10.4 million at March 29, 2008 and $17.1 million at March 31, 2007. We evaluated certain property, plant and equipment under the requirements of SFAS No. 144. The held for sale assets consist of certain vacant land and several facilities we closed to better align manufacturing capacity with the current business environment. The fair values were determined based on the appraisals or recent offers to acquire the assets and are included in our Eastern and Western operating segments.</w:t>
      </w:r>
    </w:p>
    <w:p>
      <w:pPr>
        <w:spacing w:after="0" w:line="101" w:lineRule="exact"/>
        <w:rPr>
          <w:rFonts w:ascii="Arial" w:cs="Arial" w:eastAsia="Arial" w:hAnsi="Arial"/>
          <w:sz w:val="18"/>
          <w:szCs w:val="18"/>
          <w:b w:val="1"/>
          <w:bCs w:val="1"/>
          <w:color w:val="auto"/>
        </w:rPr>
      </w:pPr>
    </w:p>
    <w:p>
      <w:pPr>
        <w:ind w:left="680" w:hanging="348"/>
        <w:spacing w:after="0"/>
        <w:tabs>
          <w:tab w:leader="none" w:pos="6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OTHER INTANGIBLE ASSETS</w:t>
      </w:r>
    </w:p>
    <w:p>
      <w:pPr>
        <w:spacing w:after="0" w:line="161" w:lineRule="exact"/>
        <w:rPr>
          <w:rFonts w:ascii="Arial" w:cs="Arial" w:eastAsia="Arial" w:hAnsi="Arial"/>
          <w:sz w:val="18"/>
          <w:szCs w:val="18"/>
          <w:b w:val="1"/>
          <w:bCs w:val="1"/>
          <w:color w:val="auto"/>
        </w:rPr>
      </w:pPr>
    </w:p>
    <w:p>
      <w:pPr>
        <w:ind w:left="680"/>
        <w:spacing w:after="0"/>
        <w:rPr>
          <w:rFonts w:ascii="Arial" w:cs="Arial" w:eastAsia="Arial" w:hAnsi="Arial"/>
          <w:sz w:val="18"/>
          <w:szCs w:val="18"/>
          <w:b w:val="1"/>
          <w:bCs w:val="1"/>
          <w:color w:val="auto"/>
        </w:rPr>
      </w:pPr>
      <w:r>
        <w:rPr>
          <w:rFonts w:ascii="Arial" w:cs="Arial" w:eastAsia="Arial" w:hAnsi="Arial"/>
          <w:sz w:val="18"/>
          <w:szCs w:val="18"/>
          <w:color w:val="auto"/>
        </w:rPr>
        <w:t>The following amounts were included in other intangible assets, net (in thousands):</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4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4"/>
          </w:tcPr>
          <w:p>
            <w:pPr>
              <w:ind w:left="400"/>
              <w:spacing w:after="0"/>
              <w:rPr>
                <w:sz w:val="20"/>
                <w:szCs w:val="20"/>
                <w:color w:val="auto"/>
              </w:rPr>
            </w:pPr>
            <w:r>
              <w:rPr>
                <w:rFonts w:ascii="Arial" w:cs="Arial" w:eastAsia="Arial" w:hAnsi="Arial"/>
                <w:sz w:val="18"/>
                <w:szCs w:val="18"/>
                <w:color w:val="auto"/>
                <w:w w:val="89"/>
              </w:rPr>
              <w:t>March 29, 2008</w:t>
            </w: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60" w:type="dxa"/>
            <w:vAlign w:val="bottom"/>
            <w:gridSpan w:val="5"/>
          </w:tcPr>
          <w:p>
            <w:pPr>
              <w:jc w:val="right"/>
              <w:ind w:right="540"/>
              <w:spacing w:after="0"/>
              <w:rPr>
                <w:sz w:val="20"/>
                <w:szCs w:val="20"/>
                <w:color w:val="auto"/>
              </w:rPr>
            </w:pPr>
            <w:r>
              <w:rPr>
                <w:rFonts w:ascii="Arial" w:cs="Arial" w:eastAsia="Arial" w:hAnsi="Arial"/>
                <w:sz w:val="18"/>
                <w:szCs w:val="18"/>
                <w:color w:val="auto"/>
              </w:rPr>
              <w:t>March 31, 2007</w:t>
            </w:r>
          </w:p>
        </w:tc>
      </w:tr>
      <w:tr>
        <w:trPr>
          <w:trHeight w:val="195"/>
        </w:trPr>
        <w:tc>
          <w:tcPr>
            <w:tcW w:w="44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w w:val="90"/>
              </w:rPr>
              <w:t>Accumulated</w:t>
            </w:r>
          </w:p>
        </w:tc>
        <w:tc>
          <w:tcPr>
            <w:tcW w:w="3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w w:val="90"/>
              </w:rPr>
              <w:t>Accumulated</w:t>
            </w:r>
          </w:p>
        </w:tc>
        <w:tc>
          <w:tcPr>
            <w:tcW w:w="80" w:type="dxa"/>
            <w:vAlign w:val="bottom"/>
          </w:tcPr>
          <w:p>
            <w:pPr>
              <w:spacing w:after="0"/>
              <w:rPr>
                <w:sz w:val="16"/>
                <w:szCs w:val="16"/>
                <w:color w:val="auto"/>
              </w:rPr>
            </w:pPr>
          </w:p>
        </w:tc>
      </w:tr>
      <w:tr>
        <w:trPr>
          <w:trHeight w:val="230"/>
        </w:trPr>
        <w:tc>
          <w:tcPr>
            <w:tcW w:w="4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ind w:right="150"/>
              <w:spacing w:after="0"/>
              <w:rPr>
                <w:sz w:val="20"/>
                <w:szCs w:val="20"/>
                <w:color w:val="auto"/>
              </w:rPr>
            </w:pPr>
            <w:r>
              <w:rPr>
                <w:rFonts w:ascii="Arial" w:cs="Arial" w:eastAsia="Arial" w:hAnsi="Arial"/>
                <w:sz w:val="18"/>
                <w:szCs w:val="18"/>
                <w:color w:val="auto"/>
                <w:w w:val="96"/>
              </w:rPr>
              <w:t>Assets</w:t>
            </w:r>
          </w:p>
        </w:tc>
        <w:tc>
          <w:tcPr>
            <w:tcW w:w="360" w:type="dxa"/>
            <w:vAlign w:val="bottom"/>
            <w:gridSpan w:val="2"/>
          </w:tcPr>
          <w:p>
            <w:pPr>
              <w:spacing w:after="0"/>
              <w:rPr>
                <w:sz w:val="20"/>
                <w:szCs w:val="20"/>
                <w:color w:val="auto"/>
              </w:rPr>
            </w:pPr>
          </w:p>
        </w:tc>
        <w:tc>
          <w:tcPr>
            <w:tcW w:w="960" w:type="dxa"/>
            <w:vAlign w:val="bottom"/>
            <w:gridSpan w:val="2"/>
          </w:tcPr>
          <w:p>
            <w:pPr>
              <w:spacing w:after="0"/>
              <w:rPr>
                <w:sz w:val="20"/>
                <w:szCs w:val="20"/>
                <w:color w:val="auto"/>
              </w:rPr>
            </w:pPr>
            <w:r>
              <w:rPr>
                <w:rFonts w:ascii="Arial" w:cs="Arial" w:eastAsia="Arial" w:hAnsi="Arial"/>
                <w:sz w:val="18"/>
                <w:szCs w:val="18"/>
                <w:color w:val="auto"/>
                <w:w w:val="93"/>
              </w:rPr>
              <w:t>Amortization</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ind w:right="150"/>
              <w:spacing w:after="0"/>
              <w:rPr>
                <w:sz w:val="20"/>
                <w:szCs w:val="20"/>
                <w:color w:val="auto"/>
              </w:rPr>
            </w:pPr>
            <w:r>
              <w:rPr>
                <w:rFonts w:ascii="Arial" w:cs="Arial" w:eastAsia="Arial" w:hAnsi="Arial"/>
                <w:sz w:val="18"/>
                <w:szCs w:val="18"/>
                <w:color w:val="auto"/>
                <w:w w:val="96"/>
              </w:rPr>
              <w:t>Assets</w:t>
            </w:r>
          </w:p>
        </w:tc>
        <w:tc>
          <w:tcPr>
            <w:tcW w:w="340" w:type="dxa"/>
            <w:vAlign w:val="bottom"/>
          </w:tcPr>
          <w:p>
            <w:pPr>
              <w:spacing w:after="0"/>
              <w:rPr>
                <w:sz w:val="20"/>
                <w:szCs w:val="20"/>
                <w:color w:val="auto"/>
              </w:rPr>
            </w:pPr>
          </w:p>
        </w:tc>
        <w:tc>
          <w:tcPr>
            <w:tcW w:w="1040" w:type="dxa"/>
            <w:vAlign w:val="bottom"/>
            <w:gridSpan w:val="3"/>
          </w:tcPr>
          <w:p>
            <w:pPr>
              <w:spacing w:after="0"/>
              <w:rPr>
                <w:sz w:val="20"/>
                <w:szCs w:val="20"/>
                <w:color w:val="auto"/>
              </w:rPr>
            </w:pPr>
            <w:r>
              <w:rPr>
                <w:rFonts w:ascii="Arial" w:cs="Arial" w:eastAsia="Arial" w:hAnsi="Arial"/>
                <w:sz w:val="18"/>
                <w:szCs w:val="18"/>
                <w:color w:val="auto"/>
              </w:rPr>
              <w:t>Amortization</w:t>
            </w:r>
          </w:p>
        </w:tc>
      </w:tr>
      <w:tr>
        <w:trPr>
          <w:trHeight w:val="20"/>
        </w:trPr>
        <w:tc>
          <w:tcPr>
            <w:tcW w:w="4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Non-compete agreements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26,710</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(12,000)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38,641</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(11,288)</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Licensing agreements</w:t>
            </w:r>
          </w:p>
        </w:tc>
        <w:tc>
          <w:tcPr>
            <w:tcW w:w="1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4,050</w:t>
            </w: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(1,181)</w:t>
            </w:r>
          </w:p>
        </w:tc>
        <w:tc>
          <w:tcPr>
            <w:tcW w:w="16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2,510</w:t>
            </w:r>
          </w:p>
        </w:tc>
        <w:tc>
          <w:tcPr>
            <w:tcW w:w="2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(2,495)</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13,814</w:t>
            </w: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(6,336)</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14,587</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(3,123)</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Patents</w:t>
            </w:r>
          </w:p>
        </w:tc>
        <w:tc>
          <w:tcPr>
            <w:tcW w:w="1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2,980</w:t>
            </w: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(630)</w:t>
            </w: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Backlog</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693</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(681)</w:t>
            </w:r>
          </w:p>
        </w:tc>
      </w:tr>
      <w:tr>
        <w:trPr>
          <w:trHeight w:val="223"/>
        </w:trPr>
        <w:tc>
          <w:tcPr>
            <w:tcW w:w="4400" w:type="dxa"/>
            <w:vAlign w:val="bottom"/>
          </w:tcPr>
          <w:p>
            <w:pPr>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47,554</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(20,147</w:t>
            </w:r>
          </w:p>
        </w:tc>
        <w:tc>
          <w:tcPr>
            <w:tcW w:w="340" w:type="dxa"/>
            <w:vAlign w:val="bottom"/>
          </w:tcPr>
          <w:p>
            <w:pPr>
              <w:jc w:val="right"/>
              <w:ind w:right="200"/>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56,431</w:t>
            </w:r>
          </w:p>
        </w:tc>
        <w:tc>
          <w:tcPr>
            <w:tcW w:w="34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(17,587</w:t>
            </w: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4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5" w:lineRule="exact"/>
        <w:rPr>
          <w:sz w:val="20"/>
          <w:szCs w:val="20"/>
          <w:color w:val="auto"/>
        </w:rPr>
      </w:pPr>
    </w:p>
    <w:p>
      <w:pPr>
        <w:ind w:left="680" w:right="1760"/>
        <w:spacing w:after="0" w:line="277" w:lineRule="auto"/>
        <w:rPr>
          <w:sz w:val="20"/>
          <w:szCs w:val="20"/>
          <w:color w:val="auto"/>
        </w:rPr>
      </w:pPr>
      <w:r>
        <w:rPr>
          <w:rFonts w:ascii="Arial" w:cs="Arial" w:eastAsia="Arial" w:hAnsi="Arial"/>
          <w:sz w:val="18"/>
          <w:szCs w:val="18"/>
          <w:color w:val="auto"/>
        </w:rPr>
        <w:t>The estimated amortization expense for intangible assets as of March 29, 2008 for each of the five succeeding fiscal years is as follows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59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7,050</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Arial" w:cs="Arial" w:eastAsia="Arial" w:hAnsi="Arial"/>
                <w:sz w:val="18"/>
                <w:szCs w:val="18"/>
                <w:color w:val="auto"/>
              </w:rPr>
              <w:t>2009</w:t>
            </w:r>
          </w:p>
        </w:tc>
        <w:tc>
          <w:tcPr>
            <w:tcW w:w="59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7,439</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59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6,473</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Arial" w:cs="Arial" w:eastAsia="Arial" w:hAnsi="Arial"/>
                <w:sz w:val="18"/>
                <w:szCs w:val="18"/>
                <w:color w:val="auto"/>
              </w:rPr>
              <w:t>2011</w:t>
            </w:r>
          </w:p>
        </w:tc>
        <w:tc>
          <w:tcPr>
            <w:tcW w:w="59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4,211</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59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1,604</w:t>
            </w:r>
          </w:p>
        </w:tc>
        <w:tc>
          <w:tcPr>
            <w:tcW w:w="17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2660" w:type="dxa"/>
            <w:vAlign w:val="bottom"/>
          </w:tcPr>
          <w:p>
            <w:pPr>
              <w:spacing w:after="0"/>
              <w:rPr>
                <w:sz w:val="20"/>
                <w:szCs w:val="20"/>
                <w:color w:val="auto"/>
              </w:rPr>
            </w:pPr>
            <w:r>
              <w:rPr>
                <w:rFonts w:ascii="Arial" w:cs="Arial" w:eastAsia="Arial" w:hAnsi="Arial"/>
                <w:sz w:val="18"/>
                <w:szCs w:val="18"/>
                <w:color w:val="auto"/>
              </w:rPr>
              <w:t>Thereafter</w:t>
            </w:r>
          </w:p>
        </w:tc>
        <w:tc>
          <w:tcPr>
            <w:tcW w:w="59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630</w:t>
            </w:r>
          </w:p>
        </w:tc>
        <w:tc>
          <w:tcPr>
            <w:tcW w:w="1760" w:type="dxa"/>
            <w:vAlign w:val="bottom"/>
          </w:tcPr>
          <w:p>
            <w:pPr>
              <w:spacing w:after="0"/>
              <w:rPr>
                <w:sz w:val="20"/>
                <w:szCs w:val="20"/>
                <w:color w:val="auto"/>
              </w:rPr>
            </w:pPr>
          </w:p>
        </w:tc>
      </w:tr>
      <w:tr>
        <w:trPr>
          <w:trHeight w:val="782"/>
        </w:trPr>
        <w:tc>
          <w:tcPr>
            <w:tcW w:w="34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5900" w:type="dxa"/>
            <w:vAlign w:val="bottom"/>
          </w:tcPr>
          <w:p>
            <w:pPr>
              <w:jc w:val="right"/>
              <w:ind w:right="3730"/>
              <w:spacing w:after="0"/>
              <w:rPr>
                <w:sz w:val="20"/>
                <w:szCs w:val="20"/>
                <w:color w:val="auto"/>
              </w:rPr>
            </w:pPr>
            <w:r>
              <w:rPr>
                <w:rFonts w:ascii="Arial" w:cs="Arial" w:eastAsia="Arial" w:hAnsi="Arial"/>
                <w:sz w:val="18"/>
                <w:szCs w:val="18"/>
                <w:color w:val="auto"/>
              </w:rPr>
              <w:t>11</w:t>
            </w:r>
          </w:p>
        </w:tc>
        <w:tc>
          <w:tcPr>
            <w:tcW w:w="76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2660" w:type="dxa"/>
            <w:vAlign w:val="bottom"/>
            <w:tcBorders>
              <w:bottom w:val="single" w:sz="8" w:color="808080"/>
            </w:tcBorders>
          </w:tcPr>
          <w:p>
            <w:pPr>
              <w:spacing w:after="0"/>
              <w:rPr>
                <w:sz w:val="19"/>
                <w:szCs w:val="19"/>
                <w:color w:val="auto"/>
              </w:rPr>
            </w:pPr>
          </w:p>
        </w:tc>
        <w:tc>
          <w:tcPr>
            <w:tcW w:w="590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7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UNAUDITED CONSOLIDATED CONDENSED</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FINANCIAL STATEMENTS</w:t>
      </w:r>
    </w:p>
    <w:p>
      <w:pPr>
        <w:spacing w:after="0" w:line="170" w:lineRule="exact"/>
        <w:rPr>
          <w:sz w:val="20"/>
          <w:szCs w:val="20"/>
          <w:color w:val="auto"/>
        </w:rPr>
      </w:pPr>
    </w:p>
    <w:p>
      <w:pPr>
        <w:ind w:left="680"/>
        <w:spacing w:after="0"/>
        <w:rPr>
          <w:sz w:val="20"/>
          <w:szCs w:val="20"/>
          <w:color w:val="auto"/>
        </w:rPr>
      </w:pPr>
      <w:r>
        <w:rPr>
          <w:rFonts w:ascii="Arial" w:cs="Arial" w:eastAsia="Arial" w:hAnsi="Arial"/>
          <w:sz w:val="17"/>
          <w:szCs w:val="17"/>
          <w:color w:val="auto"/>
        </w:rPr>
        <w:t>The changes in the net carrying amount of goodwill and indefinite-lived intangible assets for the three months ended</w:t>
      </w:r>
    </w:p>
    <w:p>
      <w:pPr>
        <w:spacing w:after="0" w:line="3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March 29, 2008 and March 31, 2007 are as follows (in thousands):</w:t>
      </w:r>
    </w:p>
    <w:p>
      <w:pPr>
        <w:spacing w:after="0" w:line="21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6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color w:val="auto"/>
                <w:w w:val="96"/>
              </w:rPr>
              <w:t>Indefinite-</w:t>
            </w:r>
          </w:p>
        </w:tc>
      </w:tr>
      <w:tr>
        <w:trPr>
          <w:trHeight w:val="216"/>
        </w:trPr>
        <w:tc>
          <w:tcPr>
            <w:tcW w:w="6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8"/>
                <w:szCs w:val="18"/>
                <w:color w:val="auto"/>
                <w:w w:val="97"/>
              </w:rPr>
              <w:t>Lived</w:t>
            </w:r>
          </w:p>
        </w:tc>
      </w:tr>
      <w:tr>
        <w:trPr>
          <w:trHeight w:val="216"/>
        </w:trPr>
        <w:tc>
          <w:tcPr>
            <w:tcW w:w="6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Intangible</w:t>
            </w:r>
          </w:p>
        </w:tc>
      </w:tr>
      <w:tr>
        <w:trPr>
          <w:trHeight w:val="230"/>
        </w:trPr>
        <w:tc>
          <w:tcPr>
            <w:tcW w:w="68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8"/>
              </w:rPr>
              <w:t>Goodwill</w:t>
            </w:r>
          </w:p>
        </w:tc>
        <w:tc>
          <w:tcPr>
            <w:tcW w:w="3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8"/>
              </w:rPr>
              <w:t>Assets</w:t>
            </w:r>
          </w:p>
        </w:tc>
        <w:tc>
          <w:tcPr>
            <w:tcW w:w="100" w:type="dxa"/>
            <w:vAlign w:val="bottom"/>
          </w:tcPr>
          <w:p>
            <w:pPr>
              <w:spacing w:after="0"/>
              <w:rPr>
                <w:sz w:val="20"/>
                <w:szCs w:val="20"/>
                <w:color w:val="auto"/>
              </w:rPr>
            </w:pPr>
          </w:p>
        </w:tc>
      </w:tr>
      <w:tr>
        <w:trPr>
          <w:trHeight w:val="210"/>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29, 2007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147,932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2,340</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Acquisitions</w:t>
            </w:r>
          </w:p>
        </w:tc>
        <w:tc>
          <w:tcPr>
            <w:tcW w:w="12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5,029</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(248)</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6860" w:type="dxa"/>
            <w:vAlign w:val="bottom"/>
          </w:tcPr>
          <w:p>
            <w:pPr>
              <w:spacing w:after="0"/>
              <w:rPr>
                <w:sz w:val="20"/>
                <w:szCs w:val="20"/>
                <w:color w:val="auto"/>
              </w:rPr>
            </w:pPr>
            <w:r>
              <w:rPr>
                <w:rFonts w:ascii="Arial" w:cs="Arial" w:eastAsia="Arial" w:hAnsi="Arial"/>
                <w:sz w:val="18"/>
                <w:szCs w:val="18"/>
                <w:color w:val="auto"/>
              </w:rPr>
              <w:t>Balance as of March 29, 2008</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152,713</w:t>
            </w:r>
          </w:p>
        </w:tc>
        <w:tc>
          <w:tcPr>
            <w:tcW w:w="3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18"/>
                <w:szCs w:val="18"/>
                <w:color w:val="auto"/>
                <w:w w:val="84"/>
              </w:rPr>
              <w:t>2,340</w:t>
            </w:r>
          </w:p>
        </w:tc>
        <w:tc>
          <w:tcPr>
            <w:tcW w:w="100" w:type="dxa"/>
            <w:vAlign w:val="bottom"/>
          </w:tcPr>
          <w:p>
            <w:pPr>
              <w:spacing w:after="0"/>
              <w:rPr>
                <w:sz w:val="19"/>
                <w:szCs w:val="19"/>
                <w:color w:val="auto"/>
              </w:rPr>
            </w:pPr>
          </w:p>
        </w:tc>
      </w:tr>
      <w:tr>
        <w:trPr>
          <w:trHeight w:val="20"/>
        </w:trPr>
        <w:tc>
          <w:tcPr>
            <w:tcW w:w="68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30, 2006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152,837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2,340</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Acquisitions</w:t>
            </w:r>
          </w:p>
        </w:tc>
        <w:tc>
          <w:tcPr>
            <w:tcW w:w="12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1,327</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Preliminary purchase price allocations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(9,000)</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6860" w:type="dxa"/>
            <w:vAlign w:val="bottom"/>
          </w:tcPr>
          <w:p>
            <w:pPr>
              <w:spacing w:after="0"/>
              <w:rPr>
                <w:sz w:val="20"/>
                <w:szCs w:val="20"/>
                <w:color w:val="auto"/>
              </w:rPr>
            </w:pPr>
            <w:r>
              <w:rPr>
                <w:rFonts w:ascii="Arial" w:cs="Arial" w:eastAsia="Arial" w:hAnsi="Arial"/>
                <w:sz w:val="18"/>
                <w:szCs w:val="18"/>
                <w:color w:val="auto"/>
              </w:rPr>
              <w:t>Other, net</w:t>
            </w: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3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Balance as of March 31, 2007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145,174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2,340</w:t>
            </w:r>
          </w:p>
        </w:tc>
      </w:tr>
      <w:tr>
        <w:trPr>
          <w:trHeight w:val="20"/>
        </w:trPr>
        <w:tc>
          <w:tcPr>
            <w:tcW w:w="68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1" w:lineRule="exact"/>
        <w:rPr>
          <w:sz w:val="20"/>
          <w:szCs w:val="20"/>
          <w:color w:val="auto"/>
        </w:rPr>
      </w:pPr>
    </w:p>
    <w:p>
      <w:pPr>
        <w:ind w:left="680" w:hanging="348"/>
        <w:spacing w:after="0"/>
        <w:tabs>
          <w:tab w:leader="none" w:pos="6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161" w:lineRule="exact"/>
        <w:rPr>
          <w:rFonts w:ascii="Arial" w:cs="Arial" w:eastAsia="Arial" w:hAnsi="Arial"/>
          <w:sz w:val="18"/>
          <w:szCs w:val="18"/>
          <w:b w:val="1"/>
          <w:bCs w:val="1"/>
          <w:color w:val="auto"/>
        </w:rPr>
      </w:pPr>
    </w:p>
    <w:p>
      <w:pPr>
        <w:jc w:val="both"/>
        <w:ind w:left="680" w:right="559"/>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We provide compensation benefits to employees and non-employee directors under several share-based payment arrangements including various employee stock option plans, the Employee Stock Purchase Plan, the Directors’ Retainer Stock Plan, the Directors’ Stock Grant Plan, and the 1999 Long Term Stock Incentive Plan.</w:t>
      </w:r>
    </w:p>
    <w:p>
      <w:pPr>
        <w:spacing w:after="0" w:line="113" w:lineRule="exact"/>
        <w:rPr>
          <w:rFonts w:ascii="Arial" w:cs="Arial" w:eastAsia="Arial" w:hAnsi="Arial"/>
          <w:sz w:val="18"/>
          <w:szCs w:val="18"/>
          <w:b w:val="1"/>
          <w:bCs w:val="1"/>
          <w:color w:val="auto"/>
        </w:rPr>
      </w:pPr>
    </w:p>
    <w:p>
      <w:pPr>
        <w:jc w:val="both"/>
        <w:ind w:left="680" w:right="559"/>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 xml:space="preserve">We account for share-based compensation using the fair value recognition provisions of FASB Statement No. 123(R), </w:t>
      </w:r>
      <w:r>
        <w:rPr>
          <w:rFonts w:ascii="Arial" w:cs="Arial" w:eastAsia="Arial" w:hAnsi="Arial"/>
          <w:sz w:val="18"/>
          <w:szCs w:val="18"/>
          <w:i w:val="1"/>
          <w:iCs w:val="1"/>
          <w:color w:val="auto"/>
        </w:rPr>
        <w:t>Share-Based Payment</w:t>
      </w:r>
      <w:r>
        <w:rPr>
          <w:rFonts w:ascii="Arial" w:cs="Arial" w:eastAsia="Arial" w:hAnsi="Arial"/>
          <w:sz w:val="18"/>
          <w:szCs w:val="18"/>
          <w:color w:val="auto"/>
        </w:rPr>
        <w:t>, (“SFAS 123(R)”), which we adopted using the modified-prospective-transition method 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January 1, 2006.</w:t>
      </w:r>
    </w:p>
    <w:p>
      <w:pPr>
        <w:spacing w:after="0" w:line="109" w:lineRule="exact"/>
        <w:rPr>
          <w:rFonts w:ascii="Arial" w:cs="Arial" w:eastAsia="Arial" w:hAnsi="Arial"/>
          <w:sz w:val="18"/>
          <w:szCs w:val="18"/>
          <w:b w:val="1"/>
          <w:bCs w:val="1"/>
          <w:color w:val="auto"/>
        </w:rPr>
      </w:pPr>
    </w:p>
    <w:p>
      <w:pPr>
        <w:ind w:left="680" w:hanging="348"/>
        <w:spacing w:after="0"/>
        <w:tabs>
          <w:tab w:leader="none" w:pos="6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CONTINGENCIES, AND GUARANTEES</w:t>
      </w:r>
    </w:p>
    <w:p>
      <w:pPr>
        <w:spacing w:after="0" w:line="161" w:lineRule="exact"/>
        <w:rPr>
          <w:rFonts w:ascii="Arial" w:cs="Arial" w:eastAsia="Arial" w:hAnsi="Arial"/>
          <w:sz w:val="18"/>
          <w:szCs w:val="18"/>
          <w:b w:val="1"/>
          <w:bCs w:val="1"/>
          <w:color w:val="auto"/>
        </w:rPr>
      </w:pPr>
    </w:p>
    <w:p>
      <w:pPr>
        <w:jc w:val="both"/>
        <w:ind w:left="680" w:right="559"/>
        <w:spacing w:after="0" w:line="270" w:lineRule="auto"/>
        <w:rPr>
          <w:rFonts w:ascii="Arial" w:cs="Arial" w:eastAsia="Arial" w:hAnsi="Arial"/>
          <w:sz w:val="18"/>
          <w:szCs w:val="18"/>
          <w:b w:val="1"/>
          <w:bCs w:val="1"/>
          <w:color w:val="auto"/>
        </w:rPr>
      </w:pPr>
      <w:r>
        <w:rPr>
          <w:rFonts w:ascii="Arial" w:cs="Arial" w:eastAsia="Arial" w:hAnsi="Arial"/>
          <w:sz w:val="17"/>
          <w:szCs w:val="17"/>
          <w:color w:val="auto"/>
        </w:rPr>
        <w:t>We are self-insured for environmental impairment liability, including certain liabilities which are insured through a wholly owned subsidiary, UFP Insurance Ltd., a licensed captive insurance company. We own and operate a number of facilities throughout the United States that chemically treat lumber products. In connection with the ownership and operation of these and other real properties, and the disposal or treatment of hazardous or toxic substances, we may, under various federal, state, and local environmental laws, ordinances, and regulations, be potentially liable for removal and remediation costs, as well as other potential costs, damages, and expenses. Insurance reserves, calculated with no discount rate, have been established to cover remediation activities at our affiliates’ facilities in Stockertown, PA; Elizabeth City, NC; Auburndale, FL; Janesville, WI; Medley, FL; and Ponce, PR wood preservation facilities. In addition, a reserve was established for our affiliate’s facility in Thornton, CA to remove asbestos and certain lead containing materials which existed on the property at the time of purchase.</w:t>
      </w:r>
    </w:p>
    <w:p>
      <w:pPr>
        <w:spacing w:after="0" w:line="200" w:lineRule="exact"/>
        <w:rPr>
          <w:sz w:val="20"/>
          <w:szCs w:val="20"/>
          <w:color w:val="auto"/>
        </w:rPr>
      </w:pPr>
    </w:p>
    <w:p>
      <w:pPr>
        <w:spacing w:after="0" w:line="34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UNAUDITED CONSOLIDATED CONDENSED</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FINANCIAL STATEMENTS</w:t>
      </w:r>
    </w:p>
    <w:p>
      <w:pPr>
        <w:spacing w:after="0" w:line="170" w:lineRule="exact"/>
        <w:rPr>
          <w:sz w:val="20"/>
          <w:szCs w:val="20"/>
          <w:color w:val="auto"/>
        </w:rPr>
      </w:pPr>
    </w:p>
    <w:p>
      <w:pPr>
        <w:jc w:val="both"/>
        <w:ind w:left="680" w:right="559"/>
        <w:spacing w:after="0" w:line="264" w:lineRule="auto"/>
        <w:rPr>
          <w:sz w:val="20"/>
          <w:szCs w:val="20"/>
          <w:color w:val="auto"/>
        </w:rPr>
      </w:pPr>
      <w:r>
        <w:rPr>
          <w:rFonts w:ascii="Arial" w:cs="Arial" w:eastAsia="Arial" w:hAnsi="Arial"/>
          <w:sz w:val="18"/>
          <w:szCs w:val="18"/>
          <w:color w:val="auto"/>
        </w:rPr>
        <w:t>On a consolidated basis, we have reserved approximately $4.4 million on March 29, 2008 and $4.1 million on March 31, 2007, representing the estimated costs to complete future remediation efforts. These amounts have not been reduced by an insurance receivable.</w:t>
      </w:r>
    </w:p>
    <w:p>
      <w:pPr>
        <w:spacing w:after="0" w:line="114" w:lineRule="exact"/>
        <w:rPr>
          <w:sz w:val="20"/>
          <w:szCs w:val="20"/>
          <w:color w:val="auto"/>
        </w:rPr>
      </w:pPr>
    </w:p>
    <w:p>
      <w:pPr>
        <w:jc w:val="both"/>
        <w:ind w:left="680" w:right="559"/>
        <w:spacing w:after="0" w:line="268" w:lineRule="auto"/>
        <w:rPr>
          <w:sz w:val="20"/>
          <w:szCs w:val="20"/>
          <w:color w:val="auto"/>
        </w:rPr>
      </w:pPr>
      <w:r>
        <w:rPr>
          <w:rFonts w:ascii="Arial" w:cs="Arial" w:eastAsia="Arial" w:hAnsi="Arial"/>
          <w:sz w:val="18"/>
          <w:szCs w:val="18"/>
          <w:color w:val="auto"/>
        </w:rPr>
        <w:t>The manufacturers of CCA preservative voluntarily discontinued the registration of CCA for certain residential applications as of December 31, 2003. Our wood preservation facilities have been converted to alternate preservatives, either ACQ, borates or ProWood</w:t>
      </w:r>
      <w:r>
        <w:rPr>
          <w:rFonts w:ascii="Arial" w:cs="Arial" w:eastAsia="Arial" w:hAnsi="Arial"/>
          <w:sz w:val="26"/>
          <w:szCs w:val="26"/>
          <w:color w:val="auto"/>
          <w:vertAlign w:val="superscript"/>
        </w:rPr>
        <w:t>®</w:t>
      </w:r>
      <w:r>
        <w:rPr>
          <w:rFonts w:ascii="Arial" w:cs="Arial" w:eastAsia="Arial" w:hAnsi="Arial"/>
          <w:sz w:val="18"/>
          <w:szCs w:val="18"/>
          <w:color w:val="auto"/>
        </w:rPr>
        <w:t xml:space="preserve"> Micro.</w:t>
      </w:r>
    </w:p>
    <w:p>
      <w:pPr>
        <w:spacing w:after="0" w:line="1" w:lineRule="exact"/>
        <w:rPr>
          <w:sz w:val="20"/>
          <w:szCs w:val="20"/>
          <w:color w:val="auto"/>
        </w:rPr>
      </w:pPr>
    </w:p>
    <w:p>
      <w:pPr>
        <w:jc w:val="both"/>
        <w:ind w:left="680" w:right="559"/>
        <w:spacing w:after="0" w:line="272" w:lineRule="auto"/>
        <w:rPr>
          <w:sz w:val="20"/>
          <w:szCs w:val="20"/>
          <w:color w:val="auto"/>
        </w:rPr>
      </w:pPr>
      <w:r>
        <w:rPr>
          <w:rFonts w:ascii="Arial" w:cs="Arial" w:eastAsia="Arial" w:hAnsi="Arial"/>
          <w:sz w:val="17"/>
          <w:szCs w:val="17"/>
          <w:color w:val="auto"/>
        </w:rPr>
        <w:t>In November 2003, the EPA published its report on the risks associated with the use of CCA in children’s playsets. While the study observed that the range of potential exposure to CCA increased by the continuous use of playsets, the EPA concluded that the risks were not sufficient to require removal or replacement of any CCA treated structures. The results of the EPA study are consistent with a prior Consumer Products Safety Commission (CPSC) study which reached a similar conclusion. The EPA did refer a question on the use of sealants to a scientific advisory panel. The panel issued a report which provides guidance to the EPA on the use of various sealants but does not mandate their use. The EPA was expected to issue a final report at the end of 2007.</w:t>
      </w:r>
    </w:p>
    <w:p>
      <w:pPr>
        <w:spacing w:after="0" w:line="110" w:lineRule="exact"/>
        <w:rPr>
          <w:sz w:val="20"/>
          <w:szCs w:val="20"/>
          <w:color w:val="auto"/>
        </w:rPr>
      </w:pPr>
    </w:p>
    <w:p>
      <w:pPr>
        <w:jc w:val="both"/>
        <w:ind w:left="680" w:right="559"/>
        <w:spacing w:after="0" w:line="259" w:lineRule="auto"/>
        <w:rPr>
          <w:sz w:val="20"/>
          <w:szCs w:val="20"/>
          <w:color w:val="auto"/>
        </w:rPr>
      </w:pPr>
      <w:r>
        <w:rPr>
          <w:rFonts w:ascii="Arial" w:cs="Arial" w:eastAsia="Arial" w:hAnsi="Arial"/>
          <w:sz w:val="18"/>
          <w:szCs w:val="18"/>
          <w:color w:val="auto"/>
        </w:rPr>
        <w:t>In addition, various special interest environmental groups have petitioned certain states requesting restrictions on the use or disposal of CCA treated products. The wood preservation industry trade groups are working with the individual states and their regulatory agencies to provide an accurate, factual background which demonstrates that the present method of uses and disposal is scientifically supported.</w:t>
      </w:r>
    </w:p>
    <w:p>
      <w:pPr>
        <w:spacing w:after="0" w:line="119" w:lineRule="exact"/>
        <w:rPr>
          <w:sz w:val="20"/>
          <w:szCs w:val="20"/>
          <w:color w:val="auto"/>
        </w:rPr>
      </w:pPr>
    </w:p>
    <w:p>
      <w:pPr>
        <w:jc w:val="both"/>
        <w:ind w:left="680" w:right="559"/>
        <w:spacing w:after="0" w:line="277" w:lineRule="auto"/>
        <w:rPr>
          <w:sz w:val="20"/>
          <w:szCs w:val="20"/>
          <w:color w:val="auto"/>
        </w:rPr>
      </w:pPr>
      <w:r>
        <w:rPr>
          <w:rFonts w:ascii="Arial" w:cs="Arial" w:eastAsia="Arial" w:hAnsi="Arial"/>
          <w:sz w:val="18"/>
          <w:szCs w:val="18"/>
          <w:color w:val="auto"/>
        </w:rPr>
        <w:t>We have not accrued for any potential loss related to the contingencies above. However, potential liabilities of this nature are not conducive to precise estimates and are subject to change.</w:t>
      </w:r>
    </w:p>
    <w:p>
      <w:pPr>
        <w:spacing w:after="0" w:line="103" w:lineRule="exact"/>
        <w:rPr>
          <w:sz w:val="20"/>
          <w:szCs w:val="20"/>
          <w:color w:val="auto"/>
        </w:rPr>
      </w:pPr>
    </w:p>
    <w:p>
      <w:pPr>
        <w:jc w:val="both"/>
        <w:ind w:left="680" w:right="559"/>
        <w:spacing w:after="0" w:line="264" w:lineRule="auto"/>
        <w:rPr>
          <w:sz w:val="20"/>
          <w:szCs w:val="20"/>
          <w:color w:val="auto"/>
        </w:rPr>
      </w:pPr>
      <w:r>
        <w:rPr>
          <w:rFonts w:ascii="Arial" w:cs="Arial" w:eastAsia="Arial" w:hAnsi="Arial"/>
          <w:sz w:val="18"/>
          <w:szCs w:val="18"/>
          <w:color w:val="auto"/>
        </w:rPr>
        <w:t>In addition, on March 29, 2008, we were parties either as plaintiff or a defendant to a number of lawsuits and claims arising through the normal course of our business. In the opinion of management, our consolidated financial statements will not be materially affected by the outcome of these contingencies and claims.</w:t>
      </w:r>
    </w:p>
    <w:p>
      <w:pPr>
        <w:spacing w:after="0" w:line="114" w:lineRule="exact"/>
        <w:rPr>
          <w:sz w:val="20"/>
          <w:szCs w:val="20"/>
          <w:color w:val="auto"/>
        </w:rPr>
      </w:pPr>
    </w:p>
    <w:p>
      <w:pPr>
        <w:ind w:left="680"/>
        <w:spacing w:after="0"/>
        <w:rPr>
          <w:sz w:val="20"/>
          <w:szCs w:val="20"/>
          <w:color w:val="auto"/>
        </w:rPr>
      </w:pPr>
      <w:r>
        <w:rPr>
          <w:rFonts w:ascii="Arial" w:cs="Arial" w:eastAsia="Arial" w:hAnsi="Arial"/>
          <w:sz w:val="17"/>
          <w:szCs w:val="17"/>
          <w:color w:val="auto"/>
        </w:rPr>
        <w:t>On March 29, 2008, we had outstanding purchase commitments on capital projects of approximately $3.3 million.</w:t>
      </w:r>
    </w:p>
    <w:p>
      <w:pPr>
        <w:spacing w:after="0" w:line="169" w:lineRule="exact"/>
        <w:rPr>
          <w:sz w:val="20"/>
          <w:szCs w:val="20"/>
          <w:color w:val="auto"/>
        </w:rPr>
      </w:pPr>
    </w:p>
    <w:p>
      <w:pPr>
        <w:ind w:left="680"/>
        <w:spacing w:after="0"/>
        <w:rPr>
          <w:sz w:val="20"/>
          <w:szCs w:val="20"/>
          <w:color w:val="auto"/>
        </w:rPr>
      </w:pPr>
      <w:r>
        <w:rPr>
          <w:rFonts w:ascii="Arial" w:cs="Arial" w:eastAsia="Arial" w:hAnsi="Arial"/>
          <w:sz w:val="17"/>
          <w:szCs w:val="17"/>
          <w:color w:val="auto"/>
        </w:rPr>
        <w:t>We provide a variety of warranties for products we manufacture. Historically, warranty claims have not been material.</w:t>
      </w:r>
    </w:p>
    <w:p>
      <w:pPr>
        <w:spacing w:after="0" w:line="169" w:lineRule="exact"/>
        <w:rPr>
          <w:sz w:val="20"/>
          <w:szCs w:val="20"/>
          <w:color w:val="auto"/>
        </w:rPr>
      </w:pPr>
    </w:p>
    <w:p>
      <w:pPr>
        <w:jc w:val="both"/>
        <w:ind w:left="680" w:right="559"/>
        <w:spacing w:after="0" w:line="272" w:lineRule="auto"/>
        <w:rPr>
          <w:sz w:val="20"/>
          <w:szCs w:val="20"/>
          <w:color w:val="auto"/>
        </w:rPr>
      </w:pPr>
      <w:r>
        <w:rPr>
          <w:rFonts w:ascii="Arial" w:cs="Arial" w:eastAsia="Arial" w:hAnsi="Arial"/>
          <w:sz w:val="17"/>
          <w:szCs w:val="17"/>
          <w:color w:val="auto"/>
        </w:rPr>
        <w:t>In certain cases we jointly bid on contracts with framing companies to supply building materials to site-built construction projects. In some of these instances we are required to post payment and performance bonds to insure the owner that the products and installation services are completed in accordance with our contractual obligations. We have agreed to indemnify the surety for claims made against the bonds. Historically, we have not had any claims for indemnity from our sureties. As of March 29, 2008, we had approximately $29.0 million in outstanding payment and performance bonds, which expire during the next two years. In addition, approximately $19.3 million in payment and performance bonds are outstanding for completed projects which are still under warranty.</w:t>
      </w:r>
    </w:p>
    <w:p>
      <w:pPr>
        <w:spacing w:after="0" w:line="200" w:lineRule="exact"/>
        <w:rPr>
          <w:sz w:val="20"/>
          <w:szCs w:val="20"/>
          <w:color w:val="auto"/>
        </w:rPr>
      </w:pPr>
    </w:p>
    <w:p>
      <w:pPr>
        <w:spacing w:after="0" w:line="3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UNAUDITED CONSOLIDATED CONDENSED</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FINANCIAL STATEMENTS</w:t>
      </w:r>
    </w:p>
    <w:p>
      <w:pPr>
        <w:spacing w:after="0" w:line="170" w:lineRule="exact"/>
        <w:rPr>
          <w:sz w:val="20"/>
          <w:szCs w:val="20"/>
          <w:color w:val="auto"/>
        </w:rPr>
      </w:pPr>
    </w:p>
    <w:p>
      <w:pPr>
        <w:jc w:val="both"/>
        <w:ind w:left="680" w:right="559"/>
        <w:spacing w:after="0" w:line="257" w:lineRule="auto"/>
        <w:rPr>
          <w:sz w:val="20"/>
          <w:szCs w:val="20"/>
          <w:color w:val="auto"/>
        </w:rPr>
      </w:pPr>
      <w:r>
        <w:rPr>
          <w:rFonts w:ascii="Arial" w:cs="Arial" w:eastAsia="Arial" w:hAnsi="Arial"/>
          <w:sz w:val="18"/>
          <w:szCs w:val="18"/>
          <w:color w:val="auto"/>
        </w:rPr>
        <w:t>We have entered into operating leases for certain assets that include a guarantee of a portion of the residual value of the leased assets. If at the expiration of the initial lease term we do not exercise our option to purchase the leased assets and these assets are sold by the lessor for a price below a predetermined amount, we will reimburse the lessor for a certain portion of the shortfall. These operating leases will expire periodically over the next five years. The estimated maximum aggregate exposure of these guarantees is approximately $2.2 million.</w:t>
      </w:r>
    </w:p>
    <w:p>
      <w:pPr>
        <w:spacing w:after="0" w:line="121" w:lineRule="exact"/>
        <w:rPr>
          <w:sz w:val="20"/>
          <w:szCs w:val="20"/>
          <w:color w:val="auto"/>
        </w:rPr>
      </w:pPr>
    </w:p>
    <w:p>
      <w:pPr>
        <w:jc w:val="both"/>
        <w:ind w:left="680" w:right="559"/>
        <w:spacing w:after="0" w:line="277" w:lineRule="auto"/>
        <w:rPr>
          <w:sz w:val="20"/>
          <w:szCs w:val="20"/>
          <w:color w:val="auto"/>
        </w:rPr>
      </w:pPr>
      <w:r>
        <w:rPr>
          <w:rFonts w:ascii="Arial" w:cs="Arial" w:eastAsia="Arial" w:hAnsi="Arial"/>
          <w:sz w:val="18"/>
          <w:szCs w:val="18"/>
          <w:color w:val="auto"/>
        </w:rPr>
        <w:t>Under our sale of accounts receivable agreement, we guarantee that a subsidiary, as accounts servicer, will remit collections on receivables sold to the bank. (See Note D, “Sale of Accounts Receivable.”)</w:t>
      </w:r>
    </w:p>
    <w:p>
      <w:pPr>
        <w:spacing w:after="0" w:line="103" w:lineRule="exact"/>
        <w:rPr>
          <w:sz w:val="20"/>
          <w:szCs w:val="20"/>
          <w:color w:val="auto"/>
        </w:rPr>
      </w:pPr>
    </w:p>
    <w:p>
      <w:pPr>
        <w:jc w:val="both"/>
        <w:ind w:left="680" w:right="559"/>
        <w:spacing w:after="0" w:line="277" w:lineRule="auto"/>
        <w:rPr>
          <w:sz w:val="20"/>
          <w:szCs w:val="20"/>
          <w:color w:val="auto"/>
        </w:rPr>
      </w:pPr>
      <w:r>
        <w:rPr>
          <w:rFonts w:ascii="Arial" w:cs="Arial" w:eastAsia="Arial" w:hAnsi="Arial"/>
          <w:sz w:val="18"/>
          <w:szCs w:val="18"/>
          <w:color w:val="auto"/>
        </w:rPr>
        <w:t>On March 29, 2008, we had outstanding letters of credit totaling $34.1 million, primarily related to certain insurance contracts, industrial development revenue bonds and commercial trade, as further described below.</w:t>
      </w:r>
    </w:p>
    <w:p>
      <w:pPr>
        <w:spacing w:after="0" w:line="103" w:lineRule="exact"/>
        <w:rPr>
          <w:sz w:val="20"/>
          <w:szCs w:val="20"/>
          <w:color w:val="auto"/>
        </w:rPr>
      </w:pPr>
    </w:p>
    <w:p>
      <w:pPr>
        <w:jc w:val="both"/>
        <w:ind w:left="680" w:right="559"/>
        <w:spacing w:after="0" w:line="279" w:lineRule="auto"/>
        <w:rPr>
          <w:sz w:val="20"/>
          <w:szCs w:val="20"/>
          <w:color w:val="auto"/>
        </w:rPr>
      </w:pPr>
      <w:r>
        <w:rPr>
          <w:rFonts w:ascii="Arial" w:cs="Arial" w:eastAsia="Arial" w:hAnsi="Arial"/>
          <w:sz w:val="17"/>
          <w:szCs w:val="17"/>
          <w:color w:val="auto"/>
        </w:rPr>
        <w:t>In lieu of cash deposits, we provide irrevocable letters of credit in favor of our insurers to guarantee our performance under certain insurance contracts. We currently have irrevocable letters of credit outstanding totaling approximately $17.4 million for these types of insurance arrangements. We have reserves recorded on our balance sheet, in accrued liabilities, that reflect our expected future liabilities under these insurance arrangements.</w:t>
      </w:r>
    </w:p>
    <w:p>
      <w:pPr>
        <w:spacing w:after="0" w:line="104" w:lineRule="exact"/>
        <w:rPr>
          <w:sz w:val="20"/>
          <w:szCs w:val="20"/>
          <w:color w:val="auto"/>
        </w:rPr>
      </w:pPr>
    </w:p>
    <w:p>
      <w:pPr>
        <w:jc w:val="both"/>
        <w:ind w:left="680" w:right="559"/>
        <w:spacing w:after="0" w:line="257" w:lineRule="auto"/>
        <w:rPr>
          <w:sz w:val="20"/>
          <w:szCs w:val="20"/>
          <w:color w:val="auto"/>
        </w:rPr>
      </w:pPr>
      <w:r>
        <w:rPr>
          <w:rFonts w:ascii="Arial" w:cs="Arial" w:eastAsia="Arial" w:hAnsi="Arial"/>
          <w:sz w:val="18"/>
          <w:szCs w:val="18"/>
          <w:color w:val="auto"/>
        </w:rPr>
        <w:t>We are required to provide irrevocable letters of credit in favor of the bond trustees for all of the industrial development revenue bonds that we have issued. These letters of credit guarantee principal and interest payments to the bondholders. We currently have irrevocable letters of credit outstanding totaling approximately $16.1 million related to our outstanding industrial development revenue bonds. These letters of credit have varying terms but may be renewed at the option of the issuing banks.</w:t>
      </w:r>
    </w:p>
    <w:p>
      <w:pPr>
        <w:spacing w:after="0" w:line="121" w:lineRule="exact"/>
        <w:rPr>
          <w:sz w:val="20"/>
          <w:szCs w:val="20"/>
          <w:color w:val="auto"/>
        </w:rPr>
      </w:pPr>
    </w:p>
    <w:p>
      <w:pPr>
        <w:jc w:val="both"/>
        <w:ind w:left="680" w:right="559"/>
        <w:spacing w:after="0" w:line="286" w:lineRule="auto"/>
        <w:rPr>
          <w:sz w:val="20"/>
          <w:szCs w:val="20"/>
          <w:color w:val="auto"/>
        </w:rPr>
      </w:pPr>
      <w:r>
        <w:rPr>
          <w:rFonts w:ascii="Arial" w:cs="Arial" w:eastAsia="Arial" w:hAnsi="Arial"/>
          <w:sz w:val="17"/>
          <w:szCs w:val="17"/>
          <w:color w:val="auto"/>
        </w:rPr>
        <w:t>We are required to provide irrevocable commercial letters of credit in favor of certain import vendors to guarantee our payment upon their performance under certain import purchase orders. We currently have irrevocable commercial letters of credit outstanding totaling approximately $0.4 million related to pending import purchase orders.</w:t>
      </w:r>
    </w:p>
    <w:p>
      <w:pPr>
        <w:spacing w:after="0" w:line="98" w:lineRule="exact"/>
        <w:rPr>
          <w:sz w:val="20"/>
          <w:szCs w:val="20"/>
          <w:color w:val="auto"/>
        </w:rPr>
      </w:pPr>
    </w:p>
    <w:p>
      <w:pPr>
        <w:jc w:val="both"/>
        <w:ind w:left="680" w:right="559"/>
        <w:spacing w:after="0" w:line="279" w:lineRule="auto"/>
        <w:rPr>
          <w:sz w:val="20"/>
          <w:szCs w:val="20"/>
          <w:color w:val="auto"/>
        </w:rPr>
      </w:pPr>
      <w:r>
        <w:rPr>
          <w:rFonts w:ascii="Arial" w:cs="Arial" w:eastAsia="Arial" w:hAnsi="Arial"/>
          <w:sz w:val="17"/>
          <w:szCs w:val="17"/>
          <w:color w:val="auto"/>
        </w:rPr>
        <w:t>Certain wholly owned domestic subsidiaries have guaranteed the indebtedness of Universal Forest Products, Inc. in certain debt agreements, including the Series 1998-A Senior Notes, Series 2002-A Senior Notes and our revolving credit facility. The maximum exposure of these guarantees is limited to the indebtedness outstanding under these debt arrangements and this exposure will expire concurrent with the expiration of the debt agreements.</w:t>
      </w:r>
    </w:p>
    <w:p>
      <w:pPr>
        <w:spacing w:after="0" w:line="200" w:lineRule="exact"/>
        <w:rPr>
          <w:sz w:val="20"/>
          <w:szCs w:val="20"/>
          <w:color w:val="auto"/>
        </w:rPr>
      </w:pPr>
    </w:p>
    <w:p>
      <w:pPr>
        <w:spacing w:after="0" w:line="33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UNAUDITED CONSOLIDATED CONDENSED</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FINANCIAL STATEMENTS</w:t>
      </w:r>
    </w:p>
    <w:p>
      <w:pPr>
        <w:spacing w:after="0" w:line="170" w:lineRule="exact"/>
        <w:rPr>
          <w:sz w:val="20"/>
          <w:szCs w:val="20"/>
          <w:color w:val="auto"/>
        </w:rPr>
      </w:pPr>
    </w:p>
    <w:p>
      <w:pPr>
        <w:jc w:val="both"/>
        <w:ind w:left="680" w:right="559"/>
        <w:spacing w:after="0" w:line="291" w:lineRule="auto"/>
        <w:rPr>
          <w:sz w:val="20"/>
          <w:szCs w:val="20"/>
          <w:color w:val="auto"/>
        </w:rPr>
      </w:pPr>
      <w:r>
        <w:rPr>
          <w:rFonts w:ascii="Arial" w:cs="Arial" w:eastAsia="Arial" w:hAnsi="Arial"/>
          <w:sz w:val="16"/>
          <w:szCs w:val="16"/>
          <w:color w:val="auto"/>
        </w:rPr>
        <w:t>Our treating operations utilize “Subpart W” drip pads, defined as hazardous waste management units by the EPA. The rules regulating drip pads require that the pad be “closed” at the point that it is no longer used to manage hazardous waste. Closure involves identification and disposal of contamination which requires removal from the wood treating operations. The ultimate cost of closure is dependent upon a number of factors including, but not limited to, identification and removal of contamination, cleanup standards that vary from state to state, and the time period over which the cleanup would be completed. Based on our present knowledge of existing circumstances, it is considered probable that these costs will approximate $0.4 million. As a result, this amount is recorded in other long-term liabilities on March 29, 2008.</w:t>
      </w:r>
    </w:p>
    <w:p>
      <w:pPr>
        <w:spacing w:after="0" w:line="100" w:lineRule="exact"/>
        <w:rPr>
          <w:sz w:val="20"/>
          <w:szCs w:val="20"/>
          <w:color w:val="auto"/>
        </w:rPr>
      </w:pPr>
    </w:p>
    <w:p>
      <w:pPr>
        <w:jc w:val="both"/>
        <w:ind w:left="680" w:right="559"/>
        <w:spacing w:after="0" w:line="277" w:lineRule="auto"/>
        <w:rPr>
          <w:sz w:val="20"/>
          <w:szCs w:val="20"/>
          <w:color w:val="auto"/>
        </w:rPr>
      </w:pPr>
      <w:r>
        <w:rPr>
          <w:rFonts w:ascii="Arial" w:cs="Arial" w:eastAsia="Arial" w:hAnsi="Arial"/>
          <w:sz w:val="18"/>
          <w:szCs w:val="18"/>
          <w:color w:val="auto"/>
        </w:rPr>
        <w:t>We did not enter into any new guarantee arrangements during the first quarter of 2008 which would require us to recognize a liability on our balance sheet.</w:t>
      </w:r>
    </w:p>
    <w:p>
      <w:pPr>
        <w:spacing w:after="0" w:line="99" w:lineRule="exact"/>
        <w:rPr>
          <w:sz w:val="20"/>
          <w:szCs w:val="20"/>
          <w:color w:val="auto"/>
        </w:rPr>
      </w:pPr>
    </w:p>
    <w:p>
      <w:pPr>
        <w:ind w:left="680" w:hanging="348"/>
        <w:spacing w:after="0"/>
        <w:tabs>
          <w:tab w:leader="none" w:pos="6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ACCOUNTING FOR UNCERTAINTY IN INCOME TAXES</w:t>
      </w:r>
    </w:p>
    <w:p>
      <w:pPr>
        <w:spacing w:after="0" w:line="161" w:lineRule="exact"/>
        <w:rPr>
          <w:rFonts w:ascii="Arial" w:cs="Arial" w:eastAsia="Arial" w:hAnsi="Arial"/>
          <w:sz w:val="18"/>
          <w:szCs w:val="18"/>
          <w:b w:val="1"/>
          <w:bCs w:val="1"/>
          <w:color w:val="auto"/>
        </w:rPr>
      </w:pPr>
    </w:p>
    <w:p>
      <w:pPr>
        <w:jc w:val="both"/>
        <w:ind w:left="680" w:right="559"/>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In July 2006, the FASB issued FASB Interpretation No. 48 (“FIN 48”) “Accounting for Uncertainty in Income Taxes.” FIN 48 clarifies the accounting for income taxes by prescribing the minimum recognition threshold a tax position is required to meet before being recognized in the financial statements. FIN 48 also provides guidance on derecognition, measurement, classification, interest and penalties, and disclosure requirements. FIN 48 is effective for fiscal years beginning after December 15, 2006. Accordingly, we adopted FIN 48 beginning December 31, 2006. The implementation of FIN 48 did not have a significant impact on our financial position or results of operations.</w:t>
      </w:r>
    </w:p>
    <w:p>
      <w:pPr>
        <w:spacing w:after="0" w:line="110" w:lineRule="exact"/>
        <w:rPr>
          <w:rFonts w:ascii="Arial" w:cs="Arial" w:eastAsia="Arial" w:hAnsi="Arial"/>
          <w:sz w:val="18"/>
          <w:szCs w:val="18"/>
          <w:b w:val="1"/>
          <w:bCs w:val="1"/>
          <w:color w:val="auto"/>
        </w:rPr>
      </w:pPr>
    </w:p>
    <w:p>
      <w:pPr>
        <w:jc w:val="both"/>
        <w:ind w:left="680" w:right="559"/>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As of the beginning of fiscal year 2008, we had unrecognized tax benefits of $8.7 million including accrued interest and penalties. There have been no significant changes in the unrecognized tax benefits during the first quarter ending March 29, 2008. If recognized, the effective tax rate would be affected by the unrecognized tax benefits.</w:t>
      </w:r>
    </w:p>
    <w:p>
      <w:pPr>
        <w:spacing w:after="0" w:line="97" w:lineRule="exact"/>
        <w:rPr>
          <w:rFonts w:ascii="Arial" w:cs="Arial" w:eastAsia="Arial" w:hAnsi="Arial"/>
          <w:sz w:val="18"/>
          <w:szCs w:val="18"/>
          <w:b w:val="1"/>
          <w:bCs w:val="1"/>
          <w:color w:val="auto"/>
        </w:rPr>
      </w:pPr>
    </w:p>
    <w:p>
      <w:pPr>
        <w:jc w:val="both"/>
        <w:ind w:left="680" w:right="559"/>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We recognize interest and penalties related to unrecognized tax benefits, which are included in Income Taxes. Interest and penalties accrued as of March 29, 2008 are insignificant. Interest and penalties recorded during the quarter ended March 29, 2008 were not considered significant.</w:t>
      </w:r>
    </w:p>
    <w:p>
      <w:pPr>
        <w:spacing w:after="0" w:line="113" w:lineRule="exact"/>
        <w:rPr>
          <w:rFonts w:ascii="Arial" w:cs="Arial" w:eastAsia="Arial" w:hAnsi="Arial"/>
          <w:sz w:val="18"/>
          <w:szCs w:val="18"/>
          <w:b w:val="1"/>
          <w:bCs w:val="1"/>
          <w:color w:val="auto"/>
        </w:rPr>
      </w:pPr>
    </w:p>
    <w:p>
      <w:pPr>
        <w:jc w:val="both"/>
        <w:ind w:left="680" w:right="559"/>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We are subject to periodic audits by domestic and foreign tax authorities. Currently, we are undergoing routine periodic audits in domestic jurisdictions. It is reasonably possible that the amounts of unrecognized tax benefits could change in the next 12 months as a result of the audits. Based on the current audits in process, the payment of taxes as a result of audit settlements could be from $0.1 million to $5.5 million.</w:t>
      </w:r>
    </w:p>
    <w:p>
      <w:pPr>
        <w:spacing w:after="0" w:line="119" w:lineRule="exact"/>
        <w:rPr>
          <w:rFonts w:ascii="Arial" w:cs="Arial" w:eastAsia="Arial" w:hAnsi="Arial"/>
          <w:sz w:val="18"/>
          <w:szCs w:val="18"/>
          <w:b w:val="1"/>
          <w:bCs w:val="1"/>
          <w:color w:val="auto"/>
        </w:rPr>
      </w:pPr>
    </w:p>
    <w:p>
      <w:pPr>
        <w:ind w:left="680" w:right="559"/>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For the majority of tax jurisdictions, we are no longer subject to income tax examinations by tax authorities for years before 2004.</w:t>
      </w:r>
    </w:p>
    <w:p>
      <w:pPr>
        <w:spacing w:after="0" w:line="200" w:lineRule="exact"/>
        <w:rPr>
          <w:sz w:val="20"/>
          <w:szCs w:val="20"/>
          <w:color w:val="auto"/>
        </w:rPr>
      </w:pPr>
    </w:p>
    <w:p>
      <w:pPr>
        <w:spacing w:after="0" w:line="3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UNAUDITED CONSOLIDATED CONDENSED</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FINANCIAL STATEMENTS</w:t>
      </w:r>
    </w:p>
    <w:p>
      <w:pPr>
        <w:spacing w:after="0" w:line="166" w:lineRule="exact"/>
        <w:rPr>
          <w:sz w:val="20"/>
          <w:szCs w:val="20"/>
          <w:color w:val="auto"/>
        </w:rPr>
      </w:pPr>
    </w:p>
    <w:p>
      <w:pPr>
        <w:ind w:left="680" w:hanging="348"/>
        <w:spacing w:after="0"/>
        <w:tabs>
          <w:tab w:leader="none" w:pos="6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SEGMENT REPORTING</w:t>
      </w:r>
    </w:p>
    <w:p>
      <w:pPr>
        <w:spacing w:after="0" w:line="161" w:lineRule="exact"/>
        <w:rPr>
          <w:rFonts w:ascii="Arial" w:cs="Arial" w:eastAsia="Arial" w:hAnsi="Arial"/>
          <w:sz w:val="18"/>
          <w:szCs w:val="18"/>
          <w:b w:val="1"/>
          <w:bCs w:val="1"/>
          <w:color w:val="auto"/>
        </w:rPr>
      </w:pPr>
    </w:p>
    <w:p>
      <w:pPr>
        <w:jc w:val="both"/>
        <w:ind w:left="680" w:right="559"/>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 xml:space="preserve">SFAS No. 131, </w:t>
      </w:r>
      <w:r>
        <w:rPr>
          <w:rFonts w:ascii="Arial" w:cs="Arial" w:eastAsia="Arial" w:hAnsi="Arial"/>
          <w:sz w:val="17"/>
          <w:szCs w:val="17"/>
          <w:i w:val="1"/>
          <w:iCs w:val="1"/>
          <w:color w:val="auto"/>
        </w:rPr>
        <w:t>Disclosures about Segments of an Enterprise and Related Information</w:t>
      </w:r>
      <w:r>
        <w:rPr>
          <w:rFonts w:ascii="Arial" w:cs="Arial" w:eastAsia="Arial" w:hAnsi="Arial"/>
          <w:sz w:val="17"/>
          <w:szCs w:val="17"/>
          <w:color w:val="auto"/>
        </w:rPr>
        <w:t xml:space="preserve"> (“SFAS 131”) defines operating segments as components of an enterprise about which separate financial information is available that is evaluated regularly by the chief operating decision maker in deciding how to allocate resources and in assessing performance.</w:t>
      </w:r>
    </w:p>
    <w:p>
      <w:pPr>
        <w:spacing w:after="0" w:line="97" w:lineRule="exact"/>
        <w:rPr>
          <w:rFonts w:ascii="Arial" w:cs="Arial" w:eastAsia="Arial" w:hAnsi="Arial"/>
          <w:sz w:val="18"/>
          <w:szCs w:val="18"/>
          <w:b w:val="1"/>
          <w:bCs w:val="1"/>
          <w:color w:val="auto"/>
        </w:rPr>
      </w:pPr>
    </w:p>
    <w:p>
      <w:pPr>
        <w:jc w:val="both"/>
        <w:ind w:left="680" w:right="559"/>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Under the definition of a segment, our Eastern, Western and Consumer Products Divisions may be considered an operating segment of our business. Under SFAS 131, segments may be aggregated if the segments have similar economic characteristics and if the nature of the products, distribution methods, customers and regulatory environments are similar. Based on this criteria, we have aggregated our Eastern and Western Divisions into one reporting segment. Our Consumer Products Division is included in the “All Other” column in the table below. Our divisions operate manufacturing and treating facilities throughout North America. A summary of results for the first three months of 2008 and 2007 are presented below (in thousands).</w:t>
      </w:r>
    </w:p>
    <w:p>
      <w:pPr>
        <w:spacing w:after="0" w:line="189"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2900" w:type="dxa"/>
            <w:vAlign w:val="bottom"/>
          </w:tcPr>
          <w:p>
            <w:pPr>
              <w:spacing w:after="0"/>
              <w:rPr>
                <w:sz w:val="20"/>
                <w:szCs w:val="20"/>
                <w:color w:val="auto"/>
              </w:rPr>
            </w:pPr>
          </w:p>
        </w:tc>
        <w:tc>
          <w:tcPr>
            <w:tcW w:w="3420" w:type="dxa"/>
            <w:vAlign w:val="bottom"/>
            <w:gridSpan w:val="6"/>
          </w:tcPr>
          <w:p>
            <w:pPr>
              <w:jc w:val="right"/>
              <w:ind w:right="780"/>
              <w:spacing w:after="0"/>
              <w:rPr>
                <w:sz w:val="20"/>
                <w:szCs w:val="20"/>
                <w:color w:val="auto"/>
              </w:rPr>
            </w:pPr>
            <w:r>
              <w:rPr>
                <w:rFonts w:ascii="Arial" w:cs="Arial" w:eastAsia="Arial" w:hAnsi="Arial"/>
                <w:sz w:val="18"/>
                <w:szCs w:val="18"/>
                <w:color w:val="auto"/>
              </w:rPr>
              <w:t>Three Months Ended 03/29/08</w:t>
            </w:r>
          </w:p>
        </w:tc>
        <w:tc>
          <w:tcPr>
            <w:tcW w:w="3000" w:type="dxa"/>
            <w:vAlign w:val="bottom"/>
            <w:gridSpan w:val="6"/>
          </w:tcPr>
          <w:p>
            <w:pPr>
              <w:jc w:val="center"/>
              <w:ind w:right="80"/>
              <w:spacing w:after="0"/>
              <w:rPr>
                <w:sz w:val="20"/>
                <w:szCs w:val="20"/>
                <w:color w:val="auto"/>
              </w:rPr>
            </w:pPr>
            <w:r>
              <w:rPr>
                <w:rFonts w:ascii="Arial" w:cs="Arial" w:eastAsia="Arial" w:hAnsi="Arial"/>
                <w:sz w:val="18"/>
                <w:szCs w:val="18"/>
                <w:color w:val="auto"/>
                <w:w w:val="90"/>
              </w:rPr>
              <w:t>Three Months Ended 03/31/07</w:t>
            </w:r>
          </w:p>
        </w:tc>
      </w:tr>
      <w:tr>
        <w:trPr>
          <w:trHeight w:val="195"/>
        </w:trPr>
        <w:tc>
          <w:tcPr>
            <w:tcW w:w="2900" w:type="dxa"/>
            <w:vAlign w:val="bottom"/>
          </w:tcPr>
          <w:p>
            <w:pPr>
              <w:spacing w:after="0"/>
              <w:rPr>
                <w:sz w:val="16"/>
                <w:szCs w:val="16"/>
                <w:color w:val="auto"/>
              </w:rPr>
            </w:pPr>
          </w:p>
        </w:tc>
        <w:tc>
          <w:tcPr>
            <w:tcW w:w="1140" w:type="dxa"/>
            <w:vAlign w:val="bottom"/>
            <w:tcBorders>
              <w:top w:val="single" w:sz="8" w:color="auto"/>
            </w:tcBorders>
            <w:gridSpan w:val="2"/>
          </w:tcPr>
          <w:p>
            <w:pPr>
              <w:jc w:val="center"/>
              <w:ind w:right="360"/>
              <w:spacing w:after="0" w:line="195" w:lineRule="exact"/>
              <w:rPr>
                <w:sz w:val="20"/>
                <w:szCs w:val="20"/>
                <w:color w:val="auto"/>
              </w:rPr>
            </w:pPr>
            <w:r>
              <w:rPr>
                <w:rFonts w:ascii="Arial" w:cs="Arial" w:eastAsia="Arial" w:hAnsi="Arial"/>
                <w:sz w:val="18"/>
                <w:szCs w:val="18"/>
                <w:color w:val="auto"/>
                <w:w w:val="86"/>
              </w:rPr>
              <w:t>Eastern</w:t>
            </w:r>
          </w:p>
        </w:tc>
        <w:tc>
          <w:tcPr>
            <w:tcW w:w="78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tcBorders>
              <w:top w:val="single" w:sz="8" w:color="auto"/>
            </w:tcBorders>
            <w:gridSpan w:val="2"/>
          </w:tcPr>
          <w:p>
            <w:pPr>
              <w:jc w:val="center"/>
              <w:ind w:right="340"/>
              <w:spacing w:after="0" w:line="195" w:lineRule="exact"/>
              <w:rPr>
                <w:sz w:val="20"/>
                <w:szCs w:val="20"/>
                <w:color w:val="auto"/>
              </w:rPr>
            </w:pPr>
            <w:r>
              <w:rPr>
                <w:rFonts w:ascii="Arial" w:cs="Arial" w:eastAsia="Arial" w:hAnsi="Arial"/>
                <w:sz w:val="18"/>
                <w:szCs w:val="18"/>
                <w:color w:val="auto"/>
                <w:w w:val="86"/>
              </w:rPr>
              <w:t>Eastern</w:t>
            </w:r>
          </w:p>
        </w:tc>
        <w:tc>
          <w:tcPr>
            <w:tcW w:w="74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216"/>
        </w:trPr>
        <w:tc>
          <w:tcPr>
            <w:tcW w:w="2900" w:type="dxa"/>
            <w:vAlign w:val="bottom"/>
          </w:tcPr>
          <w:p>
            <w:pPr>
              <w:spacing w:after="0"/>
              <w:rPr>
                <w:sz w:val="18"/>
                <w:szCs w:val="18"/>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8"/>
                <w:szCs w:val="18"/>
                <w:color w:val="auto"/>
                <w:w w:val="86"/>
              </w:rPr>
              <w:t>and</w:t>
            </w: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8"/>
                <w:szCs w:val="18"/>
                <w:color w:val="auto"/>
                <w:w w:val="86"/>
              </w:rPr>
              <w:t>and</w:t>
            </w: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900" w:type="dxa"/>
            <w:vAlign w:val="bottom"/>
          </w:tcPr>
          <w:p>
            <w:pPr>
              <w:spacing w:after="0"/>
              <w:rPr>
                <w:sz w:val="18"/>
                <w:szCs w:val="18"/>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Western</w:t>
            </w: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8"/>
                <w:szCs w:val="18"/>
                <w:color w:val="auto"/>
                <w:w w:val="86"/>
              </w:rPr>
              <w:t>Western</w:t>
            </w: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2900" w:type="dxa"/>
            <w:vAlign w:val="bottom"/>
          </w:tcPr>
          <w:p>
            <w:pPr>
              <w:spacing w:after="0"/>
              <w:rPr>
                <w:sz w:val="20"/>
                <w:szCs w:val="20"/>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Divisions</w:t>
            </w:r>
          </w:p>
        </w:tc>
        <w:tc>
          <w:tcPr>
            <w:tcW w:w="380" w:type="dxa"/>
            <w:vAlign w:val="bottom"/>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All Other</w:t>
            </w:r>
          </w:p>
        </w:tc>
        <w:tc>
          <w:tcPr>
            <w:tcW w:w="380" w:type="dxa"/>
            <w:vAlign w:val="bottom"/>
          </w:tcPr>
          <w:p>
            <w:pPr>
              <w:spacing w:after="0"/>
              <w:rPr>
                <w:sz w:val="20"/>
                <w:szCs w:val="20"/>
                <w:color w:val="auto"/>
              </w:rPr>
            </w:pPr>
          </w:p>
        </w:tc>
        <w:tc>
          <w:tcPr>
            <w:tcW w:w="7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Total</w:t>
            </w:r>
          </w:p>
        </w:tc>
        <w:tc>
          <w:tcPr>
            <w:tcW w:w="360" w:type="dxa"/>
            <w:vAlign w:val="bottom"/>
          </w:tcPr>
          <w:p>
            <w:pPr>
              <w:spacing w:after="0"/>
              <w:rPr>
                <w:sz w:val="20"/>
                <w:szCs w:val="20"/>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Divisions</w:t>
            </w:r>
          </w:p>
        </w:tc>
        <w:tc>
          <w:tcPr>
            <w:tcW w:w="340" w:type="dxa"/>
            <w:vAlign w:val="bottom"/>
          </w:tcPr>
          <w:p>
            <w:pPr>
              <w:spacing w:after="0"/>
              <w:rPr>
                <w:sz w:val="20"/>
                <w:szCs w:val="20"/>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All Other</w:t>
            </w:r>
          </w:p>
        </w:tc>
        <w:tc>
          <w:tcPr>
            <w:tcW w:w="360" w:type="dxa"/>
            <w:vAlign w:val="bottom"/>
          </w:tcPr>
          <w:p>
            <w:pPr>
              <w:spacing w:after="0"/>
              <w:rPr>
                <w:sz w:val="20"/>
                <w:szCs w:val="20"/>
                <w:color w:val="auto"/>
              </w:rPr>
            </w:pPr>
          </w:p>
        </w:tc>
        <w:tc>
          <w:tcPr>
            <w:tcW w:w="7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Total</w:t>
            </w:r>
          </w:p>
        </w:tc>
        <w:tc>
          <w:tcPr>
            <w:tcW w:w="80" w:type="dxa"/>
            <w:vAlign w:val="bottom"/>
          </w:tcPr>
          <w:p>
            <w:pPr>
              <w:spacing w:after="0"/>
              <w:rPr>
                <w:sz w:val="20"/>
                <w:szCs w:val="20"/>
                <w:color w:val="auto"/>
              </w:rPr>
            </w:pPr>
          </w:p>
        </w:tc>
      </w:tr>
      <w:tr>
        <w:trPr>
          <w:trHeight w:val="210"/>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Net sales to outside customers</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2"/>
              </w:rPr>
              <w:t>$ 474,255</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  15,257</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2"/>
              </w:rPr>
              <w:t>$ 489,512</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$ 529,188</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  19,850</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$ 549,038</w:t>
            </w: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Intersegment net sales</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0</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4,949</w:t>
            </w: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4,949</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0</w:t>
            </w: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4,376</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4,376</w:t>
            </w: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Segment operating profit</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(3,475)</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(1,056)</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(4,531)</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9,227</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835</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10,062</w:t>
            </w:r>
          </w:p>
        </w:tc>
      </w:tr>
    </w:tbl>
    <w:p>
      <w:pPr>
        <w:spacing w:after="0" w:line="157" w:lineRule="exact"/>
        <w:rPr>
          <w:sz w:val="20"/>
          <w:szCs w:val="20"/>
          <w:color w:val="auto"/>
        </w:rPr>
      </w:pPr>
    </w:p>
    <w:p>
      <w:pPr>
        <w:ind w:left="680" w:hanging="348"/>
        <w:spacing w:after="0"/>
        <w:tabs>
          <w:tab w:leader="none" w:pos="6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w:t>
      </w:r>
    </w:p>
    <w:p>
      <w:pPr>
        <w:spacing w:after="0" w:line="161" w:lineRule="exact"/>
        <w:rPr>
          <w:rFonts w:ascii="Arial" w:cs="Arial" w:eastAsia="Arial" w:hAnsi="Arial"/>
          <w:sz w:val="18"/>
          <w:szCs w:val="18"/>
          <w:b w:val="1"/>
          <w:bCs w:val="1"/>
          <w:color w:val="auto"/>
        </w:rPr>
      </w:pPr>
    </w:p>
    <w:p>
      <w:pPr>
        <w:ind w:left="680" w:right="559"/>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On April 18, 2008 we announced a semi-annual dividend of $0.06 per share, payable June 15, 2008 to shareholders of record on June 1, 2008. The dividend was approved our Board of Directors at their April 16, 2008 meeting.</w:t>
      </w:r>
    </w:p>
    <w:p>
      <w:pPr>
        <w:spacing w:after="0" w:line="200" w:lineRule="exact"/>
        <w:rPr>
          <w:sz w:val="20"/>
          <w:szCs w:val="20"/>
          <w:color w:val="auto"/>
        </w:rPr>
      </w:pPr>
    </w:p>
    <w:p>
      <w:pPr>
        <w:spacing w:after="0" w:line="3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580" w:right="1400"/>
        <w:spacing w:after="0" w:line="275" w:lineRule="auto"/>
        <w:rPr>
          <w:sz w:val="20"/>
          <w:szCs w:val="20"/>
          <w:color w:val="auto"/>
        </w:rPr>
      </w:pPr>
      <w:r>
        <w:rPr>
          <w:rFonts w:ascii="Arial" w:cs="Arial" w:eastAsia="Arial" w:hAnsi="Arial"/>
          <w:sz w:val="18"/>
          <w:szCs w:val="18"/>
          <w:b w:val="1"/>
          <w:bCs w:val="1"/>
          <w:color w:val="auto"/>
        </w:rPr>
        <w:t>UNIVERSAL FOREST PRODUCTS, INC. MANAGEMENT’S DISCUSSION AND ANALYSIS OF FINANCIAL CONDITION AND RESULTS OF OPERATIONS</w:t>
      </w:r>
    </w:p>
    <w:p>
      <w:pPr>
        <w:spacing w:after="0" w:line="367" w:lineRule="exact"/>
        <w:rPr>
          <w:sz w:val="20"/>
          <w:szCs w:val="20"/>
          <w:color w:val="auto"/>
        </w:rPr>
      </w:pPr>
    </w:p>
    <w:p>
      <w:pPr>
        <w:jc w:val="both"/>
        <w:ind w:left="340" w:right="559"/>
        <w:spacing w:after="0" w:line="273" w:lineRule="auto"/>
        <w:rPr>
          <w:sz w:val="20"/>
          <w:szCs w:val="20"/>
          <w:color w:val="auto"/>
        </w:rPr>
      </w:pPr>
      <w:r>
        <w:rPr>
          <w:rFonts w:ascii="Arial" w:cs="Arial" w:eastAsia="Arial" w:hAnsi="Arial"/>
          <w:sz w:val="17"/>
          <w:szCs w:val="17"/>
          <w:color w:val="auto"/>
        </w:rPr>
        <w:t>Included in this report are certain forward-looking statements within the meaning of Section 27A of the Securities Act of 1933, as amended, and Section 21E of the Securities Exchange Act of 1934, as amended. The forward-looking statements are based on the beliefs and assumptions of management, together with information available to us when the statements were made. Future results could differ materially from those included in such forward-looking statements as a result of, among other things, the factors set forth below and certain economic and business factors which may be beyond our control. Investors are cautioned that all forward-looking statements involve risks and uncertainty.</w:t>
      </w:r>
    </w:p>
    <w:p>
      <w:pPr>
        <w:spacing w:after="0" w:line="134" w:lineRule="exact"/>
        <w:rPr>
          <w:sz w:val="20"/>
          <w:szCs w:val="20"/>
          <w:color w:val="auto"/>
        </w:rPr>
      </w:pPr>
    </w:p>
    <w:p>
      <w:pPr>
        <w:jc w:val="right"/>
        <w:ind w:right="4719"/>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jc w:val="right"/>
        <w:ind w:right="4699"/>
        <w:spacing w:after="0"/>
        <w:rPr>
          <w:sz w:val="20"/>
          <w:szCs w:val="20"/>
          <w:color w:val="auto"/>
        </w:rPr>
      </w:pPr>
      <w:r>
        <w:rPr>
          <w:rFonts w:ascii="Arial" w:cs="Arial" w:eastAsia="Arial" w:hAnsi="Arial"/>
          <w:sz w:val="17"/>
          <w:szCs w:val="17"/>
          <w:color w:val="auto"/>
        </w:rPr>
        <w:t>Our results for the first quarter of 2008 were impacted by the following:</w:t>
      </w:r>
    </w:p>
    <w:p>
      <w:pPr>
        <w:spacing w:after="0" w:line="210" w:lineRule="exact"/>
        <w:rPr>
          <w:sz w:val="20"/>
          <w:szCs w:val="20"/>
          <w:color w:val="auto"/>
        </w:rPr>
      </w:pPr>
    </w:p>
    <w:p>
      <w:pPr>
        <w:ind w:left="680" w:right="559" w:hanging="348"/>
        <w:spacing w:after="0" w:line="277" w:lineRule="auto"/>
        <w:tabs>
          <w:tab w:leader="none" w:pos="68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Our overall unit sales decreased 5%, as sales out of existing facilities and operations we closed decreased by 8% this quarter and we experienced a 3% increase in unit sales as a result of acquisitions.</w:t>
      </w:r>
    </w:p>
    <w:p>
      <w:pPr>
        <w:spacing w:after="0" w:line="102" w:lineRule="exact"/>
        <w:rPr>
          <w:rFonts w:ascii="Arial" w:cs="Arial" w:eastAsia="Arial" w:hAnsi="Arial"/>
          <w:sz w:val="18"/>
          <w:szCs w:val="18"/>
          <w:b w:val="1"/>
          <w:bCs w:val="1"/>
          <w:color w:val="auto"/>
        </w:rPr>
      </w:pPr>
    </w:p>
    <w:p>
      <w:pPr>
        <w:ind w:left="680" w:right="559" w:hanging="348"/>
        <w:spacing w:after="0" w:line="277" w:lineRule="auto"/>
        <w:tabs>
          <w:tab w:leader="none" w:pos="68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Lumber prices were 15% lower compared to the same period of 2007, impacting our overall selling prices (see “Impact of the Lumber Market on Our Operating Results” below), sales dollars and working capital.</w:t>
      </w:r>
    </w:p>
    <w:p>
      <w:pPr>
        <w:spacing w:after="0" w:line="102" w:lineRule="exact"/>
        <w:rPr>
          <w:rFonts w:ascii="Arial" w:cs="Arial" w:eastAsia="Arial" w:hAnsi="Arial"/>
          <w:sz w:val="18"/>
          <w:szCs w:val="18"/>
          <w:b w:val="1"/>
          <w:bCs w:val="1"/>
          <w:color w:val="auto"/>
        </w:rPr>
      </w:pPr>
    </w:p>
    <w:p>
      <w:pPr>
        <w:ind w:left="680" w:right="559" w:hanging="348"/>
        <w:spacing w:after="0" w:line="277" w:lineRule="auto"/>
        <w:tabs>
          <w:tab w:leader="none" w:pos="68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We saw double-digit sales decreases in our site-built, manufactured housing, and DIY/retail markets, while we experienced a sales increase in the industrial market.</w:t>
      </w:r>
    </w:p>
    <w:p>
      <w:pPr>
        <w:spacing w:after="0" w:line="102" w:lineRule="exact"/>
        <w:rPr>
          <w:rFonts w:ascii="Arial" w:cs="Arial" w:eastAsia="Arial" w:hAnsi="Arial"/>
          <w:sz w:val="18"/>
          <w:szCs w:val="18"/>
          <w:b w:val="1"/>
          <w:bCs w:val="1"/>
          <w:color w:val="auto"/>
        </w:rPr>
      </w:pPr>
    </w:p>
    <w:p>
      <w:pPr>
        <w:ind w:left="680" w:right="559" w:hanging="348"/>
        <w:spacing w:after="0" w:line="277" w:lineRule="auto"/>
        <w:tabs>
          <w:tab w:leader="none" w:pos="68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Single-family housing starts fell approximately 39% comparing January through March 2008 to the same period of 2007 as a result of an excess supply of homes, tighter credit conditions, and an increase in foreclosures.</w:t>
      </w:r>
    </w:p>
    <w:p>
      <w:pPr>
        <w:spacing w:after="0" w:line="102" w:lineRule="exact"/>
        <w:rPr>
          <w:rFonts w:ascii="Arial" w:cs="Arial" w:eastAsia="Arial" w:hAnsi="Arial"/>
          <w:sz w:val="18"/>
          <w:szCs w:val="18"/>
          <w:b w:val="1"/>
          <w:bCs w:val="1"/>
          <w:color w:val="auto"/>
        </w:rPr>
      </w:pPr>
    </w:p>
    <w:p>
      <w:pPr>
        <w:ind w:left="680" w:right="559" w:hanging="348"/>
        <w:spacing w:after="0" w:line="342" w:lineRule="auto"/>
        <w:tabs>
          <w:tab w:leader="none" w:pos="680" w:val="left"/>
        </w:tabs>
        <w:numPr>
          <w:ilvl w:val="0"/>
          <w:numId w:val="11"/>
        </w:numPr>
        <w:rPr>
          <w:rFonts w:ascii="Arial" w:cs="Arial" w:eastAsia="Arial" w:hAnsi="Arial"/>
          <w:sz w:val="16"/>
          <w:szCs w:val="16"/>
          <w:b w:val="1"/>
          <w:bCs w:val="1"/>
          <w:color w:val="auto"/>
        </w:rPr>
      </w:pPr>
      <w:r>
        <w:rPr>
          <w:rFonts w:ascii="Arial" w:cs="Arial" w:eastAsia="Arial" w:hAnsi="Arial"/>
          <w:sz w:val="16"/>
          <w:szCs w:val="16"/>
          <w:color w:val="auto"/>
        </w:rPr>
        <w:t>Consumer spending for large repair/remodel projects has decreased as many homeowners have lost equity in devalued homes and have less disposable income as a result of higher costs for necessities such as food, fuel and utilities.</w:t>
      </w:r>
    </w:p>
    <w:p>
      <w:pPr>
        <w:spacing w:after="0" w:line="56" w:lineRule="exact"/>
        <w:rPr>
          <w:rFonts w:ascii="Arial" w:cs="Arial" w:eastAsia="Arial" w:hAnsi="Arial"/>
          <w:sz w:val="16"/>
          <w:szCs w:val="16"/>
          <w:b w:val="1"/>
          <w:bCs w:val="1"/>
          <w:color w:val="auto"/>
        </w:rPr>
      </w:pPr>
    </w:p>
    <w:p>
      <w:pPr>
        <w:ind w:left="680" w:right="559" w:hanging="348"/>
        <w:spacing w:after="0" w:line="277" w:lineRule="auto"/>
        <w:tabs>
          <w:tab w:leader="none" w:pos="68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Production of HUD code manufactured homes increased slightly in the first quarter while sales of modular homes has continued to decline due, in part, to an excess supply of site-built homes.</w:t>
      </w:r>
    </w:p>
    <w:p>
      <w:pPr>
        <w:spacing w:after="0" w:line="102" w:lineRule="exact"/>
        <w:rPr>
          <w:rFonts w:ascii="Arial" w:cs="Arial" w:eastAsia="Arial" w:hAnsi="Arial"/>
          <w:sz w:val="18"/>
          <w:szCs w:val="18"/>
          <w:b w:val="1"/>
          <w:bCs w:val="1"/>
          <w:color w:val="auto"/>
        </w:rPr>
      </w:pPr>
    </w:p>
    <w:p>
      <w:pPr>
        <w:jc w:val="both"/>
        <w:ind w:left="680" w:right="559" w:hanging="348"/>
        <w:spacing w:after="0" w:line="264" w:lineRule="auto"/>
        <w:tabs>
          <w:tab w:leader="none" w:pos="68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Our gross profits decreased more than 25% compared to the same period of 2007 due to a combination of lower unit sales out of existing facilities and fixed manufacturing costs, intense pricing pressure, particularly in the site-built market, and higher transportation costs.</w:t>
      </w:r>
    </w:p>
    <w:p>
      <w:pPr>
        <w:spacing w:after="0" w:line="200" w:lineRule="exact"/>
        <w:rPr>
          <w:sz w:val="20"/>
          <w:szCs w:val="20"/>
          <w:color w:val="auto"/>
        </w:rPr>
      </w:pPr>
    </w:p>
    <w:p>
      <w:pPr>
        <w:spacing w:after="0" w:line="33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UNIVERSAL FOREST PRODUCTS, INC.</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Outlook</w:t>
      </w:r>
    </w:p>
    <w:p>
      <w:pPr>
        <w:spacing w:after="0" w:line="185" w:lineRule="exact"/>
        <w:rPr>
          <w:sz w:val="20"/>
          <w:szCs w:val="20"/>
          <w:color w:val="auto"/>
        </w:rPr>
      </w:pPr>
    </w:p>
    <w:p>
      <w:pPr>
        <w:jc w:val="both"/>
        <w:ind w:left="340" w:right="1760"/>
        <w:spacing w:after="0" w:line="257" w:lineRule="auto"/>
        <w:rPr>
          <w:sz w:val="20"/>
          <w:szCs w:val="20"/>
          <w:color w:val="auto"/>
        </w:rPr>
      </w:pPr>
      <w:r>
        <w:rPr>
          <w:rFonts w:ascii="Arial" w:cs="Arial" w:eastAsia="Arial" w:hAnsi="Arial"/>
          <w:sz w:val="18"/>
          <w:szCs w:val="18"/>
          <w:color w:val="auto"/>
        </w:rPr>
        <w:t>In February, the Company announced the following 2008 targets based on a number of assumptions about markets and economic conditions: net sales of between $2.45 billion and $2.55 billion, and net earnings of between $22 million and $27 million. The Company considers and re-evaluates its targets and assumptions following the end of each quarter in relation to the current business climate, prevailing market conditions, and other relevant factors. Following such a review after the first quarter, the Company did not change its annual targets.</w:t>
      </w:r>
    </w:p>
    <w:p>
      <w:pPr>
        <w:spacing w:after="0" w:line="161" w:lineRule="exact"/>
        <w:rPr>
          <w:sz w:val="20"/>
          <w:szCs w:val="20"/>
          <w:color w:val="auto"/>
        </w:rPr>
      </w:pPr>
    </w:p>
    <w:p>
      <w:pPr>
        <w:jc w:val="both"/>
        <w:ind w:left="340" w:right="17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 addition, please refer to the “Risk Factors” section of our annual report on form 10-K, filed with the United States Securities</w:t>
      </w:r>
      <w:r>
        <w:rPr>
          <w:rFonts w:ascii="Arial" w:cs="Arial" w:eastAsia="Arial" w:hAnsi="Arial"/>
          <w:sz w:val="18"/>
          <w:szCs w:val="18"/>
          <w:color w:val="auto"/>
        </w:rPr>
        <w:t xml:space="preserve"> </w:t>
      </w:r>
      <w:r>
        <w:rPr>
          <w:rFonts w:ascii="Arial" w:cs="Arial" w:eastAsia="Arial" w:hAnsi="Arial"/>
          <w:sz w:val="18"/>
          <w:szCs w:val="18"/>
          <w:i w:val="1"/>
          <w:iCs w:val="1"/>
          <w:color w:val="auto"/>
        </w:rPr>
        <w:t>and Exchange Commission.</w:t>
      </w:r>
      <w:r>
        <w:rPr>
          <w:rFonts w:ascii="Arial" w:cs="Arial" w:eastAsia="Arial" w:hAnsi="Arial"/>
          <w:sz w:val="18"/>
          <w:szCs w:val="18"/>
          <w:color w:val="auto"/>
        </w:rPr>
        <w:t>)</w:t>
      </w:r>
    </w:p>
    <w:p>
      <w:pPr>
        <w:spacing w:after="0" w:line="126" w:lineRule="exact"/>
        <w:rPr>
          <w:sz w:val="20"/>
          <w:szCs w:val="20"/>
          <w:color w:val="auto"/>
        </w:rPr>
      </w:pPr>
    </w:p>
    <w:p>
      <w:pPr>
        <w:jc w:val="center"/>
        <w:ind w:right="1420"/>
        <w:spacing w:after="0"/>
        <w:rPr>
          <w:sz w:val="20"/>
          <w:szCs w:val="20"/>
          <w:color w:val="auto"/>
        </w:rPr>
      </w:pPr>
      <w:r>
        <w:rPr>
          <w:rFonts w:ascii="Arial" w:cs="Arial" w:eastAsia="Arial" w:hAnsi="Arial"/>
          <w:sz w:val="18"/>
          <w:szCs w:val="18"/>
          <w:b w:val="1"/>
          <w:bCs w:val="1"/>
          <w:color w:val="auto"/>
        </w:rPr>
        <w:t>HISTORICAL LUMBER PRICES</w:t>
      </w:r>
    </w:p>
    <w:p>
      <w:pPr>
        <w:spacing w:after="0" w:line="189" w:lineRule="exact"/>
        <w:rPr>
          <w:sz w:val="20"/>
          <w:szCs w:val="20"/>
          <w:color w:val="auto"/>
        </w:rPr>
      </w:pPr>
    </w:p>
    <w:p>
      <w:pPr>
        <w:jc w:val="both"/>
        <w:ind w:left="340" w:right="1760"/>
        <w:spacing w:after="0" w:line="277" w:lineRule="auto"/>
        <w:rPr>
          <w:sz w:val="20"/>
          <w:szCs w:val="20"/>
          <w:color w:val="auto"/>
        </w:rPr>
      </w:pPr>
      <w:r>
        <w:rPr>
          <w:rFonts w:ascii="Arial" w:cs="Arial" w:eastAsia="Arial" w:hAnsi="Arial"/>
          <w:sz w:val="18"/>
          <w:szCs w:val="18"/>
          <w:color w:val="auto"/>
        </w:rPr>
        <w:t>The following table presents the Random Lengths framing lumber composite price for the three months ended March 29, 2008 and March 31, 2007:</w:t>
      </w:r>
    </w:p>
    <w:p>
      <w:pPr>
        <w:spacing w:after="0" w:line="170"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6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20" w:type="dxa"/>
            <w:vAlign w:val="bottom"/>
            <w:gridSpan w:val="5"/>
          </w:tcPr>
          <w:p>
            <w:pPr>
              <w:jc w:val="right"/>
              <w:ind w:right="300"/>
              <w:spacing w:after="0"/>
              <w:rPr>
                <w:sz w:val="20"/>
                <w:szCs w:val="20"/>
                <w:color w:val="auto"/>
              </w:rPr>
            </w:pPr>
            <w:r>
              <w:rPr>
                <w:rFonts w:ascii="Arial" w:cs="Arial" w:eastAsia="Arial" w:hAnsi="Arial"/>
                <w:sz w:val="18"/>
                <w:szCs w:val="18"/>
                <w:color w:val="auto"/>
                <w:w w:val="92"/>
              </w:rPr>
              <w:t>Random Lengths Composite</w:t>
            </w:r>
          </w:p>
        </w:tc>
      </w:tr>
      <w:tr>
        <w:trPr>
          <w:trHeight w:val="230"/>
        </w:trPr>
        <w:tc>
          <w:tcPr>
            <w:tcW w:w="6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20" w:type="dxa"/>
            <w:vAlign w:val="bottom"/>
            <w:gridSpan w:val="5"/>
          </w:tcPr>
          <w:p>
            <w:pPr>
              <w:jc w:val="right"/>
              <w:ind w:right="740"/>
              <w:spacing w:after="0"/>
              <w:rPr>
                <w:sz w:val="20"/>
                <w:szCs w:val="20"/>
                <w:color w:val="auto"/>
              </w:rPr>
            </w:pPr>
            <w:r>
              <w:rPr>
                <w:rFonts w:ascii="Arial" w:cs="Arial" w:eastAsia="Arial" w:hAnsi="Arial"/>
                <w:sz w:val="18"/>
                <w:szCs w:val="18"/>
                <w:color w:val="auto"/>
              </w:rPr>
              <w:t>Average $/MBF</w:t>
            </w:r>
          </w:p>
        </w:tc>
      </w:tr>
      <w:tr>
        <w:trPr>
          <w:trHeight w:val="210"/>
        </w:trPr>
        <w:tc>
          <w:tcPr>
            <w:tcW w:w="67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2008</w:t>
            </w:r>
          </w:p>
        </w:tc>
        <w:tc>
          <w:tcPr>
            <w:tcW w:w="50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2007</w:t>
            </w:r>
          </w:p>
        </w:tc>
        <w:tc>
          <w:tcPr>
            <w:tcW w:w="100" w:type="dxa"/>
            <w:vAlign w:val="bottom"/>
          </w:tcPr>
          <w:p>
            <w:pPr>
              <w:spacing w:after="0"/>
              <w:rPr>
                <w:sz w:val="18"/>
                <w:szCs w:val="18"/>
                <w:color w:val="auto"/>
              </w:rPr>
            </w:pPr>
          </w:p>
        </w:tc>
      </w:tr>
      <w:tr>
        <w:trPr>
          <w:trHeight w:val="210"/>
        </w:trPr>
        <w:tc>
          <w:tcPr>
            <w:tcW w:w="6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January</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249</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292</w:t>
            </w: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February</w:t>
            </w:r>
          </w:p>
        </w:tc>
        <w:tc>
          <w:tcPr>
            <w:tcW w:w="140" w:type="dxa"/>
            <w:vAlign w:val="bottom"/>
          </w:tcPr>
          <w:p>
            <w:pPr>
              <w:spacing w:after="0"/>
              <w:rPr>
                <w:sz w:val="18"/>
                <w:szCs w:val="18"/>
                <w:color w:val="auto"/>
              </w:rPr>
            </w:pPr>
          </w:p>
        </w:tc>
        <w:tc>
          <w:tcPr>
            <w:tcW w:w="1340" w:type="dxa"/>
            <w:vAlign w:val="bottom"/>
            <w:gridSpan w:val="2"/>
          </w:tcPr>
          <w:p>
            <w:pPr>
              <w:jc w:val="right"/>
              <w:ind w:right="500"/>
              <w:spacing w:after="0"/>
              <w:rPr>
                <w:sz w:val="20"/>
                <w:szCs w:val="20"/>
                <w:color w:val="auto"/>
              </w:rPr>
            </w:pPr>
            <w:r>
              <w:rPr>
                <w:rFonts w:ascii="Arial" w:cs="Arial" w:eastAsia="Arial" w:hAnsi="Arial"/>
                <w:sz w:val="18"/>
                <w:szCs w:val="18"/>
                <w:color w:val="auto"/>
              </w:rPr>
              <w:t>244</w:t>
            </w:r>
          </w:p>
        </w:tc>
        <w:tc>
          <w:tcPr>
            <w:tcW w:w="2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289</w:t>
            </w: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March</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240</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280</w:t>
            </w:r>
          </w:p>
        </w:tc>
      </w:tr>
      <w:tr>
        <w:trPr>
          <w:trHeight w:val="432"/>
        </w:trPr>
        <w:tc>
          <w:tcPr>
            <w:tcW w:w="6760" w:type="dxa"/>
            <w:vAlign w:val="bottom"/>
          </w:tcPr>
          <w:p>
            <w:pPr>
              <w:spacing w:after="0"/>
              <w:rPr>
                <w:sz w:val="20"/>
                <w:szCs w:val="20"/>
                <w:color w:val="auto"/>
              </w:rPr>
            </w:pPr>
            <w:r>
              <w:rPr>
                <w:rFonts w:ascii="Arial" w:cs="Arial" w:eastAsia="Arial" w:hAnsi="Arial"/>
                <w:sz w:val="18"/>
                <w:szCs w:val="18"/>
                <w:color w:val="auto"/>
              </w:rPr>
              <w:t>First quarter average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500"/>
              <w:spacing w:after="0"/>
              <w:rPr>
                <w:sz w:val="20"/>
                <w:szCs w:val="20"/>
                <w:color w:val="auto"/>
              </w:rPr>
            </w:pPr>
            <w:r>
              <w:rPr>
                <w:rFonts w:ascii="Arial" w:cs="Arial" w:eastAsia="Arial" w:hAnsi="Arial"/>
                <w:sz w:val="18"/>
                <w:szCs w:val="18"/>
                <w:color w:val="auto"/>
              </w:rPr>
              <w:t>244</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287</w:t>
            </w:r>
          </w:p>
        </w:tc>
      </w:tr>
      <w:tr>
        <w:trPr>
          <w:trHeight w:val="216"/>
        </w:trPr>
        <w:tc>
          <w:tcPr>
            <w:tcW w:w="6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First quarter percentage change from 2007</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(15.0%)</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175" w:lineRule="exact"/>
        <w:rPr>
          <w:sz w:val="20"/>
          <w:szCs w:val="20"/>
          <w:color w:val="auto"/>
        </w:rPr>
      </w:pPr>
    </w:p>
    <w:p>
      <w:pPr>
        <w:jc w:val="both"/>
        <w:ind w:left="340" w:right="1760"/>
        <w:spacing w:after="0" w:line="264" w:lineRule="auto"/>
        <w:rPr>
          <w:sz w:val="20"/>
          <w:szCs w:val="20"/>
          <w:color w:val="auto"/>
        </w:rPr>
      </w:pPr>
      <w:r>
        <w:rPr>
          <w:rFonts w:ascii="Arial" w:cs="Arial" w:eastAsia="Arial" w:hAnsi="Arial"/>
          <w:sz w:val="18"/>
          <w:szCs w:val="18"/>
          <w:color w:val="auto"/>
        </w:rPr>
        <w:t>In addition, a Southern Yellow Pine (“SYP”) composite price, which we prepare and use, is presented below. Sales of products produced using this species, which primarily consists of our preservative-treated products, may comprise up to 50% of our sales volume.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60" w:type="dxa"/>
            <w:vAlign w:val="bottom"/>
            <w:gridSpan w:val="5"/>
          </w:tcPr>
          <w:p>
            <w:pPr>
              <w:jc w:val="right"/>
              <w:ind w:right="520"/>
              <w:spacing w:after="0"/>
              <w:rPr>
                <w:sz w:val="20"/>
                <w:szCs w:val="20"/>
                <w:color w:val="auto"/>
              </w:rPr>
            </w:pPr>
            <w:r>
              <w:rPr>
                <w:rFonts w:ascii="Arial" w:cs="Arial" w:eastAsia="Arial" w:hAnsi="Arial"/>
                <w:sz w:val="18"/>
                <w:szCs w:val="18"/>
                <w:color w:val="auto"/>
              </w:rPr>
              <w:t>Random Lengths SYP</w:t>
            </w:r>
          </w:p>
        </w:tc>
        <w:tc>
          <w:tcPr>
            <w:tcW w:w="17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60" w:type="dxa"/>
            <w:vAlign w:val="bottom"/>
            <w:gridSpan w:val="5"/>
          </w:tcPr>
          <w:p>
            <w:pPr>
              <w:jc w:val="right"/>
              <w:ind w:right="740"/>
              <w:spacing w:after="0"/>
              <w:rPr>
                <w:sz w:val="20"/>
                <w:szCs w:val="20"/>
                <w:color w:val="auto"/>
              </w:rPr>
            </w:pPr>
            <w:r>
              <w:rPr>
                <w:rFonts w:ascii="Arial" w:cs="Arial" w:eastAsia="Arial" w:hAnsi="Arial"/>
                <w:sz w:val="18"/>
                <w:szCs w:val="18"/>
                <w:color w:val="auto"/>
              </w:rPr>
              <w:t>Average $/MBF</w:t>
            </w:r>
          </w:p>
        </w:tc>
        <w:tc>
          <w:tcPr>
            <w:tcW w:w="176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2008</w:t>
            </w:r>
          </w:p>
        </w:tc>
        <w:tc>
          <w:tcPr>
            <w:tcW w:w="50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2007</w:t>
            </w: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January</w:t>
            </w:r>
          </w:p>
        </w:tc>
        <w:tc>
          <w:tcPr>
            <w:tcW w:w="3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337</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414</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February</w:t>
            </w:r>
          </w:p>
        </w:tc>
        <w:tc>
          <w:tcPr>
            <w:tcW w:w="2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8"/>
                <w:szCs w:val="18"/>
                <w:color w:val="auto"/>
              </w:rPr>
              <w:t>330</w:t>
            </w:r>
          </w:p>
        </w:tc>
        <w:tc>
          <w:tcPr>
            <w:tcW w:w="2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405</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March</w:t>
            </w:r>
          </w:p>
        </w:tc>
        <w:tc>
          <w:tcPr>
            <w:tcW w:w="2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331</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396</w:t>
            </w:r>
          </w:p>
        </w:tc>
        <w:tc>
          <w:tcPr>
            <w:tcW w:w="1760" w:type="dxa"/>
            <w:vAlign w:val="bottom"/>
          </w:tcPr>
          <w:p>
            <w:pPr>
              <w:spacing w:after="0"/>
              <w:rPr>
                <w:sz w:val="18"/>
                <w:szCs w:val="18"/>
                <w:color w:val="auto"/>
              </w:rPr>
            </w:pPr>
          </w:p>
        </w:tc>
      </w:tr>
      <w:tr>
        <w:trPr>
          <w:trHeight w:val="432"/>
        </w:trPr>
        <w:tc>
          <w:tcPr>
            <w:tcW w:w="340" w:type="dxa"/>
            <w:vAlign w:val="bottom"/>
          </w:tcPr>
          <w:p>
            <w:pPr>
              <w:spacing w:after="0"/>
              <w:rPr>
                <w:sz w:val="24"/>
                <w:szCs w:val="24"/>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First quarter average</w:t>
            </w:r>
          </w:p>
        </w:tc>
        <w:tc>
          <w:tcPr>
            <w:tcW w:w="3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500"/>
              <w:spacing w:after="0"/>
              <w:rPr>
                <w:sz w:val="20"/>
                <w:szCs w:val="20"/>
                <w:color w:val="auto"/>
              </w:rPr>
            </w:pPr>
            <w:r>
              <w:rPr>
                <w:rFonts w:ascii="Arial" w:cs="Arial" w:eastAsia="Arial" w:hAnsi="Arial"/>
                <w:sz w:val="18"/>
                <w:szCs w:val="18"/>
                <w:color w:val="auto"/>
              </w:rPr>
              <w:t>333</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405</w:t>
            </w:r>
          </w:p>
        </w:tc>
        <w:tc>
          <w:tcPr>
            <w:tcW w:w="176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First quarter percentage change from 2007</w:t>
            </w:r>
          </w:p>
        </w:tc>
        <w:tc>
          <w:tcPr>
            <w:tcW w:w="2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(17.8%)</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tcPr>
          <w:p>
            <w:pPr>
              <w:spacing w:after="0"/>
              <w:rPr>
                <w:sz w:val="18"/>
                <w:szCs w:val="18"/>
                <w:color w:val="auto"/>
              </w:rPr>
            </w:pPr>
          </w:p>
        </w:tc>
      </w:tr>
      <w:tr>
        <w:trPr>
          <w:trHeight w:val="783"/>
        </w:trPr>
        <w:tc>
          <w:tcPr>
            <w:tcW w:w="34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2940" w:type="dxa"/>
            <w:vAlign w:val="bottom"/>
          </w:tcPr>
          <w:p>
            <w:pPr>
              <w:jc w:val="right"/>
              <w:ind w:right="1930"/>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3820" w:type="dxa"/>
            <w:vAlign w:val="bottom"/>
            <w:tcBorders>
              <w:bottom w:val="single" w:sz="8" w:color="808080"/>
            </w:tcBorders>
          </w:tcPr>
          <w:p>
            <w:pPr>
              <w:spacing w:after="0"/>
              <w:rPr>
                <w:sz w:val="19"/>
                <w:szCs w:val="19"/>
                <w:color w:val="auto"/>
              </w:rPr>
            </w:pPr>
          </w:p>
        </w:tc>
        <w:tc>
          <w:tcPr>
            <w:tcW w:w="29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7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UNIVERSAL FOREST PRODUCTS, INC.</w:t>
      </w:r>
    </w:p>
    <w:p>
      <w:pPr>
        <w:spacing w:after="0" w:line="19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IMPACT OF THE LUMBER MARKET ON OUR OPERATING RESULTS</w:t>
      </w:r>
    </w:p>
    <w:p>
      <w:pPr>
        <w:spacing w:after="0" w:line="189" w:lineRule="exact"/>
        <w:rPr>
          <w:sz w:val="20"/>
          <w:szCs w:val="20"/>
          <w:color w:val="auto"/>
        </w:rPr>
      </w:pPr>
    </w:p>
    <w:p>
      <w:pPr>
        <w:jc w:val="both"/>
        <w:ind w:left="340" w:right="559"/>
        <w:spacing w:after="0" w:line="257" w:lineRule="auto"/>
        <w:rPr>
          <w:sz w:val="20"/>
          <w:szCs w:val="20"/>
          <w:color w:val="auto"/>
        </w:rPr>
      </w:pPr>
      <w:r>
        <w:rPr>
          <w:rFonts w:ascii="Arial" w:cs="Arial" w:eastAsia="Arial" w:hAnsi="Arial"/>
          <w:sz w:val="18"/>
          <w:szCs w:val="18"/>
          <w:color w:val="auto"/>
        </w:rPr>
        <w:t>We experience significant fluctuations in the cost of commodity lumber products from primary producers (“Lumber Market”). We generally price our products to pass lumber costs through to our customers so that our profitability is based on the value-added manufacturing, distribution, engineering, and other services we provide. As a result, our sales levels (and working capital requirements) are impacted by the lumber costs of our products. Lumber costs are a significant percentage of our cost of goods sold.</w:t>
      </w:r>
    </w:p>
    <w:p>
      <w:pPr>
        <w:spacing w:after="0" w:line="148" w:lineRule="exact"/>
        <w:rPr>
          <w:sz w:val="20"/>
          <w:szCs w:val="20"/>
          <w:color w:val="auto"/>
        </w:rPr>
      </w:pPr>
    </w:p>
    <w:p>
      <w:pPr>
        <w:jc w:val="both"/>
        <w:ind w:left="340" w:right="559"/>
        <w:spacing w:after="0" w:line="255" w:lineRule="auto"/>
        <w:rPr>
          <w:sz w:val="20"/>
          <w:szCs w:val="20"/>
          <w:color w:val="auto"/>
        </w:rPr>
      </w:pPr>
      <w:r>
        <w:rPr>
          <w:rFonts w:ascii="Arial" w:cs="Arial" w:eastAsia="Arial" w:hAnsi="Arial"/>
          <w:sz w:val="18"/>
          <w:szCs w:val="18"/>
          <w:color w:val="auto"/>
        </w:rPr>
        <w:t xml:space="preserve">Our gross margins are impacted by both (1) the relative </w:t>
      </w:r>
      <w:r>
        <w:rPr>
          <w:rFonts w:ascii="Arial" w:cs="Arial" w:eastAsia="Arial" w:hAnsi="Arial"/>
          <w:sz w:val="18"/>
          <w:szCs w:val="18"/>
          <w:u w:val="single" w:color="auto"/>
          <w:color w:val="auto"/>
        </w:rPr>
        <w:t>level</w:t>
      </w:r>
      <w:r>
        <w:rPr>
          <w:rFonts w:ascii="Arial" w:cs="Arial" w:eastAsia="Arial" w:hAnsi="Arial"/>
          <w:sz w:val="18"/>
          <w:szCs w:val="18"/>
          <w:color w:val="auto"/>
        </w:rPr>
        <w:t xml:space="preserve"> of the Lumber Market (i.e. whether prices are higher or lower from comparative periods), and (2) the </w:t>
      </w:r>
      <w:r>
        <w:rPr>
          <w:rFonts w:ascii="Arial" w:cs="Arial" w:eastAsia="Arial" w:hAnsi="Arial"/>
          <w:sz w:val="18"/>
          <w:szCs w:val="18"/>
          <w:u w:val="single" w:color="auto"/>
          <w:color w:val="auto"/>
        </w:rPr>
        <w:t>trend</w:t>
      </w:r>
      <w:r>
        <w:rPr>
          <w:rFonts w:ascii="Arial" w:cs="Arial" w:eastAsia="Arial" w:hAnsi="Arial"/>
          <w:sz w:val="18"/>
          <w:szCs w:val="18"/>
          <w:color w:val="auto"/>
        </w:rPr>
        <w:t xml:space="preserve"> in the market price of lumber (i.e. whether the price of lumber is increasing or decreasing within a period or from period to period). Moreover, as explained below, our products are priced differently. Some of our products have fixed selling prices, while the selling prices of other products are indexed to the reported Lumber Market with a fixed dollar adder to cover conversion costs and profits. Consequently, the </w:t>
      </w:r>
      <w:r>
        <w:rPr>
          <w:rFonts w:ascii="Arial" w:cs="Arial" w:eastAsia="Arial" w:hAnsi="Arial"/>
          <w:sz w:val="18"/>
          <w:szCs w:val="18"/>
          <w:u w:val="single" w:color="auto"/>
          <w:color w:val="auto"/>
        </w:rPr>
        <w:t>level</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trend</w:t>
      </w:r>
      <w:r>
        <w:rPr>
          <w:rFonts w:ascii="Arial" w:cs="Arial" w:eastAsia="Arial" w:hAnsi="Arial"/>
          <w:sz w:val="18"/>
          <w:szCs w:val="18"/>
          <w:color w:val="auto"/>
        </w:rPr>
        <w:t xml:space="preserve"> of the Lumber Market impact our products differently.</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Below is a general description of the primary ways in which our products are priced.</w:t>
      </w:r>
    </w:p>
    <w:p>
      <w:pPr>
        <w:spacing w:after="0" w:line="185" w:lineRule="exact"/>
        <w:rPr>
          <w:sz w:val="20"/>
          <w:szCs w:val="20"/>
          <w:color w:val="auto"/>
        </w:rPr>
      </w:pPr>
    </w:p>
    <w:p>
      <w:pPr>
        <w:jc w:val="both"/>
        <w:ind w:left="680" w:right="559" w:hanging="348"/>
        <w:spacing w:after="0" w:line="255" w:lineRule="auto"/>
        <w:tabs>
          <w:tab w:leader="none" w:pos="680" w:val="left"/>
        </w:tabs>
        <w:numPr>
          <w:ilvl w:val="0"/>
          <w:numId w:val="12"/>
        </w:numPr>
        <w:rPr>
          <w:rFonts w:ascii="Arial" w:cs="Arial" w:eastAsia="Arial" w:hAnsi="Arial"/>
          <w:sz w:val="18"/>
          <w:szCs w:val="18"/>
          <w:b w:val="1"/>
          <w:bCs w:val="1"/>
          <w:color w:val="auto"/>
        </w:rPr>
      </w:pPr>
      <w:r>
        <w:rPr>
          <w:rFonts w:ascii="Arial" w:cs="Arial" w:eastAsia="Arial" w:hAnsi="Arial"/>
          <w:sz w:val="18"/>
          <w:szCs w:val="18"/>
          <w:u w:val="single" w:color="auto"/>
          <w:color w:val="auto"/>
        </w:rPr>
        <w:t>Products with fixed selling prices.</w:t>
      </w:r>
      <w:r>
        <w:rPr>
          <w:rFonts w:ascii="Arial" w:cs="Arial" w:eastAsia="Arial" w:hAnsi="Arial"/>
          <w:sz w:val="18"/>
          <w:szCs w:val="18"/>
          <w:color w:val="auto"/>
        </w:rPr>
        <w:t xml:space="preserve"> These products include value-added products such as decking and fencing sold to DIY/retail customers, as well as trusses, wall panels and other components sold to the site-built construction market, and most industrial packaging products. Prices for these products are generally fixed at the time of the sales quotation for a specified period of time or are based upon a specific quantity. In order to maintain margins and reduce any exposure to adverse trends in the price of component lumber products, we attempt to lock in costs for these sales commitments with our suppliers. Also, the time period and quantity limitations generally allow us to re-price our products for changes in lumber costs from our suppliers.</w:t>
      </w:r>
    </w:p>
    <w:p>
      <w:pPr>
        <w:spacing w:after="0" w:line="121" w:lineRule="exact"/>
        <w:rPr>
          <w:rFonts w:ascii="Arial" w:cs="Arial" w:eastAsia="Arial" w:hAnsi="Arial"/>
          <w:sz w:val="18"/>
          <w:szCs w:val="18"/>
          <w:b w:val="1"/>
          <w:bCs w:val="1"/>
          <w:color w:val="auto"/>
        </w:rPr>
      </w:pPr>
    </w:p>
    <w:p>
      <w:pPr>
        <w:jc w:val="both"/>
        <w:ind w:left="680" w:right="559" w:hanging="348"/>
        <w:spacing w:after="0" w:line="297" w:lineRule="auto"/>
        <w:tabs>
          <w:tab w:leader="none" w:pos="680" w:val="left"/>
        </w:tabs>
        <w:numPr>
          <w:ilvl w:val="0"/>
          <w:numId w:val="12"/>
        </w:numPr>
        <w:rPr>
          <w:rFonts w:ascii="Arial" w:cs="Arial" w:eastAsia="Arial" w:hAnsi="Arial"/>
          <w:sz w:val="16"/>
          <w:szCs w:val="16"/>
          <w:b w:val="1"/>
          <w:bCs w:val="1"/>
          <w:color w:val="auto"/>
        </w:rPr>
      </w:pPr>
      <w:r>
        <w:rPr>
          <w:rFonts w:ascii="Arial" w:cs="Arial" w:eastAsia="Arial" w:hAnsi="Arial"/>
          <w:sz w:val="16"/>
          <w:szCs w:val="16"/>
          <w:u w:val="single" w:color="auto"/>
          <w:color w:val="auto"/>
        </w:rPr>
        <w:t>Products with selling prices indexed to the reported Lumber Market with a fixed dollar “adder” to cover conversion costs and profits.</w:t>
      </w:r>
      <w:r>
        <w:rPr>
          <w:rFonts w:ascii="Arial" w:cs="Arial" w:eastAsia="Arial" w:hAnsi="Arial"/>
          <w:sz w:val="16"/>
          <w:szCs w:val="16"/>
          <w:color w:val="auto"/>
        </w:rPr>
        <w:t xml:space="preserve"> These products primarily include treated lumber, remanufactured lumber, and trusses sold to the manufactured housing industry. For these products, we estimate the customers’ needs and carry anticipated levels of inventory. Because lumber costs are incurred in advance of final sale prices, subsequent increases or decreases in the market price of lumber impact our gross margins. For these products, our margins are exposed to changes in the </w:t>
      </w:r>
      <w:r>
        <w:rPr>
          <w:rFonts w:ascii="Arial" w:cs="Arial" w:eastAsia="Arial" w:hAnsi="Arial"/>
          <w:sz w:val="16"/>
          <w:szCs w:val="16"/>
          <w:u w:val="single" w:color="auto"/>
          <w:color w:val="auto"/>
        </w:rPr>
        <w:t>trend</w:t>
      </w:r>
      <w:r>
        <w:rPr>
          <w:rFonts w:ascii="Arial" w:cs="Arial" w:eastAsia="Arial" w:hAnsi="Arial"/>
          <w:sz w:val="16"/>
          <w:szCs w:val="16"/>
          <w:color w:val="auto"/>
        </w:rPr>
        <w:t xml:space="preserve"> of lumber prices.</w:t>
      </w:r>
    </w:p>
    <w:p>
      <w:pPr>
        <w:spacing w:after="0" w:line="200" w:lineRule="exact"/>
        <w:rPr>
          <w:sz w:val="20"/>
          <w:szCs w:val="20"/>
          <w:color w:val="auto"/>
        </w:rPr>
      </w:pPr>
    </w:p>
    <w:p>
      <w:pPr>
        <w:spacing w:after="0" w:line="3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UNIVERSAL FOREST PRODUCTS, INC.</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Changes in the </w:t>
      </w:r>
      <w:r>
        <w:rPr>
          <w:rFonts w:ascii="Arial" w:cs="Arial" w:eastAsia="Arial" w:hAnsi="Arial"/>
          <w:sz w:val="18"/>
          <w:szCs w:val="18"/>
          <w:u w:val="single" w:color="auto"/>
          <w:color w:val="auto"/>
        </w:rPr>
        <w:t>trend</w:t>
      </w:r>
      <w:r>
        <w:rPr>
          <w:rFonts w:ascii="Arial" w:cs="Arial" w:eastAsia="Arial" w:hAnsi="Arial"/>
          <w:sz w:val="18"/>
          <w:szCs w:val="18"/>
          <w:color w:val="auto"/>
        </w:rPr>
        <w:t xml:space="preserve"> of lumber prices have their greatest impact on the following products:</w:t>
      </w:r>
    </w:p>
    <w:p>
      <w:pPr>
        <w:spacing w:after="0" w:line="185" w:lineRule="exact"/>
        <w:rPr>
          <w:sz w:val="20"/>
          <w:szCs w:val="20"/>
          <w:color w:val="auto"/>
        </w:rPr>
      </w:pPr>
    </w:p>
    <w:p>
      <w:pPr>
        <w:jc w:val="both"/>
        <w:ind w:left="680" w:right="559" w:hanging="348"/>
        <w:spacing w:after="0" w:line="272" w:lineRule="auto"/>
        <w:tabs>
          <w:tab w:leader="none" w:pos="680" w:val="left"/>
        </w:tabs>
        <w:numPr>
          <w:ilvl w:val="0"/>
          <w:numId w:val="13"/>
        </w:numPr>
        <w:rPr>
          <w:rFonts w:ascii="Arial" w:cs="Arial" w:eastAsia="Arial" w:hAnsi="Arial"/>
          <w:sz w:val="17"/>
          <w:szCs w:val="17"/>
          <w:b w:val="1"/>
          <w:bCs w:val="1"/>
          <w:color w:val="auto"/>
        </w:rPr>
      </w:pPr>
      <w:r>
        <w:rPr>
          <w:rFonts w:ascii="Arial" w:cs="Arial" w:eastAsia="Arial" w:hAnsi="Arial"/>
          <w:sz w:val="17"/>
          <w:szCs w:val="17"/>
          <w:u w:val="single" w:color="auto"/>
          <w:color w:val="auto"/>
        </w:rPr>
        <w:t xml:space="preserve">Products with significant inventory levels with low turnover rates, whose selling prices are indexed to the Lumber Market. </w:t>
      </w:r>
      <w:r>
        <w:rPr>
          <w:rFonts w:ascii="Arial" w:cs="Arial" w:eastAsia="Arial" w:hAnsi="Arial"/>
          <w:sz w:val="17"/>
          <w:szCs w:val="17"/>
          <w:color w:val="auto"/>
        </w:rPr>
        <w:t>In other words, the longer the period of time these products remain in inventory, the greater the exposure to changes in the price of lumber. This would include treated lumber, which comprises approximately 12% of our total sales. This exposure is less significant with remanufactured lumber, trusses sold to the manufactured housing market, and other similar products, due to the higher rate of inventory turnover. We attempt to mitigate the risk associated with treated lumber through vendor consignment inventory programs. (</w:t>
      </w:r>
      <w:r>
        <w:rPr>
          <w:rFonts w:ascii="Arial" w:cs="Arial" w:eastAsia="Arial" w:hAnsi="Arial"/>
          <w:sz w:val="17"/>
          <w:szCs w:val="17"/>
          <w:i w:val="1"/>
          <w:iCs w:val="1"/>
          <w:color w:val="auto"/>
        </w:rPr>
        <w:t>Please refer to the “Risk Factors” section of our annual report on form 10-K, filed with</w:t>
      </w:r>
      <w:r>
        <w:rPr>
          <w:rFonts w:ascii="Arial" w:cs="Arial" w:eastAsia="Arial" w:hAnsi="Arial"/>
          <w:sz w:val="17"/>
          <w:szCs w:val="17"/>
          <w:color w:val="auto"/>
        </w:rPr>
        <w:t xml:space="preserve"> </w:t>
      </w:r>
      <w:r>
        <w:rPr>
          <w:rFonts w:ascii="Arial" w:cs="Arial" w:eastAsia="Arial" w:hAnsi="Arial"/>
          <w:sz w:val="17"/>
          <w:szCs w:val="17"/>
          <w:i w:val="1"/>
          <w:iCs w:val="1"/>
          <w:color w:val="auto"/>
        </w:rPr>
        <w:t>the United States Securities and Exchange Commission.</w:t>
      </w:r>
      <w:r>
        <w:rPr>
          <w:rFonts w:ascii="Arial" w:cs="Arial" w:eastAsia="Arial" w:hAnsi="Arial"/>
          <w:sz w:val="17"/>
          <w:szCs w:val="17"/>
          <w:color w:val="auto"/>
        </w:rPr>
        <w:t>)</w:t>
      </w:r>
    </w:p>
    <w:p>
      <w:pPr>
        <w:spacing w:after="0" w:line="110" w:lineRule="exact"/>
        <w:rPr>
          <w:rFonts w:ascii="Arial" w:cs="Arial" w:eastAsia="Arial" w:hAnsi="Arial"/>
          <w:sz w:val="17"/>
          <w:szCs w:val="17"/>
          <w:b w:val="1"/>
          <w:bCs w:val="1"/>
          <w:color w:val="auto"/>
        </w:rPr>
      </w:pPr>
    </w:p>
    <w:p>
      <w:pPr>
        <w:ind w:left="680" w:right="559" w:hanging="348"/>
        <w:spacing w:after="0" w:line="277" w:lineRule="auto"/>
        <w:tabs>
          <w:tab w:leader="none" w:pos="680" w:val="left"/>
        </w:tabs>
        <w:numPr>
          <w:ilvl w:val="0"/>
          <w:numId w:val="13"/>
        </w:numPr>
        <w:rPr>
          <w:rFonts w:ascii="Arial" w:cs="Arial" w:eastAsia="Arial" w:hAnsi="Arial"/>
          <w:sz w:val="18"/>
          <w:szCs w:val="18"/>
          <w:b w:val="1"/>
          <w:bCs w:val="1"/>
          <w:color w:val="auto"/>
        </w:rPr>
      </w:pPr>
      <w:r>
        <w:rPr>
          <w:rFonts w:ascii="Arial" w:cs="Arial" w:eastAsia="Arial" w:hAnsi="Arial"/>
          <w:sz w:val="18"/>
          <w:szCs w:val="18"/>
          <w:u w:val="single" w:color="auto"/>
          <w:color w:val="auto"/>
        </w:rPr>
        <w:t>Products with fixed selling prices sold under long-term supply arrangements, particularly those involving multi-family construction projects.</w:t>
      </w:r>
      <w:r>
        <w:rPr>
          <w:rFonts w:ascii="Arial" w:cs="Arial" w:eastAsia="Arial" w:hAnsi="Arial"/>
          <w:sz w:val="18"/>
          <w:szCs w:val="18"/>
          <w:color w:val="auto"/>
        </w:rPr>
        <w:t xml:space="preserve"> We attempt to mitigate this risk through our purchasing practices by locking in costs.</w:t>
      </w:r>
    </w:p>
    <w:p>
      <w:pPr>
        <w:spacing w:after="0" w:line="143" w:lineRule="exact"/>
        <w:rPr>
          <w:sz w:val="20"/>
          <w:szCs w:val="20"/>
          <w:color w:val="auto"/>
        </w:rPr>
      </w:pPr>
    </w:p>
    <w:p>
      <w:pPr>
        <w:jc w:val="both"/>
        <w:ind w:left="340" w:right="559"/>
        <w:spacing w:after="0" w:line="312" w:lineRule="auto"/>
        <w:rPr>
          <w:sz w:val="20"/>
          <w:szCs w:val="20"/>
          <w:color w:val="auto"/>
        </w:rPr>
      </w:pPr>
      <w:r>
        <w:rPr>
          <w:rFonts w:ascii="Arial" w:cs="Arial" w:eastAsia="Arial" w:hAnsi="Arial"/>
          <w:sz w:val="16"/>
          <w:szCs w:val="16"/>
          <w:color w:val="auto"/>
        </w:rPr>
        <w:t xml:space="preserve">In addition to the impact of the Lumber Market </w:t>
      </w:r>
      <w:r>
        <w:rPr>
          <w:rFonts w:ascii="Arial" w:cs="Arial" w:eastAsia="Arial" w:hAnsi="Arial"/>
          <w:sz w:val="16"/>
          <w:szCs w:val="16"/>
          <w:u w:val="single" w:color="auto"/>
          <w:color w:val="auto"/>
        </w:rPr>
        <w:t>trends</w:t>
      </w:r>
      <w:r>
        <w:rPr>
          <w:rFonts w:ascii="Arial" w:cs="Arial" w:eastAsia="Arial" w:hAnsi="Arial"/>
          <w:sz w:val="16"/>
          <w:szCs w:val="16"/>
          <w:color w:val="auto"/>
        </w:rPr>
        <w:t xml:space="preserve"> on gross margins, changes in the </w:t>
      </w:r>
      <w:r>
        <w:rPr>
          <w:rFonts w:ascii="Arial" w:cs="Arial" w:eastAsia="Arial" w:hAnsi="Arial"/>
          <w:sz w:val="16"/>
          <w:szCs w:val="16"/>
          <w:u w:val="single" w:color="auto"/>
          <w:color w:val="auto"/>
        </w:rPr>
        <w:t>level</w:t>
      </w:r>
      <w:r>
        <w:rPr>
          <w:rFonts w:ascii="Arial" w:cs="Arial" w:eastAsia="Arial" w:hAnsi="Arial"/>
          <w:sz w:val="16"/>
          <w:szCs w:val="16"/>
          <w:color w:val="auto"/>
        </w:rPr>
        <w:t xml:space="preserve"> of the market cause fluctuations in gross margins when comparing operating results from period to period. This is explained in the following example, which assumes the price of lumber has increased from period one to period two, with no changes in the </w:t>
      </w:r>
      <w:r>
        <w:rPr>
          <w:rFonts w:ascii="Arial" w:cs="Arial" w:eastAsia="Arial" w:hAnsi="Arial"/>
          <w:sz w:val="16"/>
          <w:szCs w:val="16"/>
          <w:u w:val="single" w:color="auto"/>
          <w:color w:val="auto"/>
        </w:rPr>
        <w:t>trend</w:t>
      </w:r>
      <w:r>
        <w:rPr>
          <w:rFonts w:ascii="Arial" w:cs="Arial" w:eastAsia="Arial" w:hAnsi="Arial"/>
          <w:sz w:val="16"/>
          <w:szCs w:val="16"/>
          <w:color w:val="auto"/>
        </w:rPr>
        <w:t xml:space="preserve"> within each period.</w:t>
      </w:r>
    </w:p>
    <w:p>
      <w:pPr>
        <w:spacing w:after="0" w:line="147"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6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8"/>
                <w:szCs w:val="18"/>
                <w:color w:val="auto"/>
                <w:w w:val="95"/>
              </w:rPr>
              <w:t>Period 1</w:t>
            </w:r>
          </w:p>
        </w:tc>
        <w:tc>
          <w:tcPr>
            <w:tcW w:w="140" w:type="dxa"/>
            <w:vAlign w:val="bottom"/>
          </w:tcPr>
          <w:p>
            <w:pPr>
              <w:spacing w:after="0"/>
              <w:rPr>
                <w:sz w:val="20"/>
                <w:szCs w:val="20"/>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w w:val="95"/>
              </w:rPr>
              <w:t>Period 2</w:t>
            </w:r>
          </w:p>
        </w:tc>
      </w:tr>
      <w:tr>
        <w:trPr>
          <w:trHeight w:val="210"/>
        </w:trPr>
        <w:tc>
          <w:tcPr>
            <w:tcW w:w="67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Lumber cost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300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400</w:t>
            </w: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Conversion cost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50</w:t>
            </w:r>
          </w:p>
        </w:tc>
      </w:tr>
      <w:tr>
        <w:trPr>
          <w:trHeight w:val="27"/>
        </w:trPr>
        <w:tc>
          <w:tcPr>
            <w:tcW w:w="67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 Product cost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450</w:t>
            </w: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Adder</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50</w:t>
            </w:r>
          </w:p>
        </w:tc>
      </w:tr>
      <w:tr>
        <w:trPr>
          <w:trHeight w:val="27"/>
        </w:trPr>
        <w:tc>
          <w:tcPr>
            <w:tcW w:w="67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 Sell price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500</w:t>
            </w:r>
          </w:p>
        </w:tc>
      </w:tr>
      <w:tr>
        <w:trPr>
          <w:trHeight w:val="230"/>
        </w:trPr>
        <w:tc>
          <w:tcPr>
            <w:tcW w:w="6740" w:type="dxa"/>
            <w:vAlign w:val="bottom"/>
          </w:tcPr>
          <w:p>
            <w:pPr>
              <w:spacing w:after="0"/>
              <w:rPr>
                <w:sz w:val="20"/>
                <w:szCs w:val="20"/>
                <w:color w:val="auto"/>
              </w:rPr>
            </w:pPr>
            <w:r>
              <w:rPr>
                <w:rFonts w:ascii="Arial" w:cs="Arial" w:eastAsia="Arial" w:hAnsi="Arial"/>
                <w:sz w:val="18"/>
                <w:szCs w:val="18"/>
                <w:color w:val="auto"/>
              </w:rPr>
              <w:t>Gross margin</w:t>
            </w:r>
          </w:p>
        </w:tc>
        <w:tc>
          <w:tcPr>
            <w:tcW w:w="140" w:type="dxa"/>
            <w:vAlign w:val="bottom"/>
          </w:tcPr>
          <w:p>
            <w:pPr>
              <w:spacing w:after="0"/>
              <w:rPr>
                <w:sz w:val="20"/>
                <w:szCs w:val="20"/>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12.5%</w:t>
            </w:r>
          </w:p>
        </w:tc>
        <w:tc>
          <w:tcPr>
            <w:tcW w:w="14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r>
    </w:tbl>
    <w:p>
      <w:pPr>
        <w:spacing w:after="0" w:line="147"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color w:val="auto"/>
        </w:rPr>
        <w:t xml:space="preserve">As is apparent from the preceding example, the </w:t>
      </w:r>
      <w:r>
        <w:rPr>
          <w:rFonts w:ascii="Arial" w:cs="Arial" w:eastAsia="Arial" w:hAnsi="Arial"/>
          <w:sz w:val="18"/>
          <w:szCs w:val="18"/>
          <w:u w:val="single" w:color="auto"/>
          <w:color w:val="auto"/>
        </w:rPr>
        <w:t>level</w:t>
      </w:r>
      <w:r>
        <w:rPr>
          <w:rFonts w:ascii="Arial" w:cs="Arial" w:eastAsia="Arial" w:hAnsi="Arial"/>
          <w:sz w:val="18"/>
          <w:szCs w:val="18"/>
          <w:color w:val="auto"/>
        </w:rPr>
        <w:t xml:space="preserve"> of lumber prices does not impact our overall profits, but does impact our margins. Gross margins are negatively impacted during periods of high lumber prices; conversely, we experience margin improvement when lumber prices are relatively low.</w:t>
      </w:r>
    </w:p>
    <w:p>
      <w:pPr>
        <w:spacing w:after="0" w:line="200" w:lineRule="exact"/>
        <w:rPr>
          <w:sz w:val="20"/>
          <w:szCs w:val="20"/>
          <w:color w:val="auto"/>
        </w:rPr>
      </w:pPr>
    </w:p>
    <w:p>
      <w:pPr>
        <w:spacing w:after="0" w:line="34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UNIVERSAL FOREST PRODUCTS, INC.</w:t>
      </w:r>
    </w:p>
    <w:p>
      <w:pPr>
        <w:spacing w:after="0" w:line="19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BUSINESS COMBINATIONS</w:t>
      </w:r>
    </w:p>
    <w:p>
      <w:pPr>
        <w:spacing w:after="0" w:line="189" w:lineRule="exact"/>
        <w:rPr>
          <w:sz w:val="20"/>
          <w:szCs w:val="20"/>
          <w:color w:val="auto"/>
        </w:rPr>
      </w:pPr>
    </w:p>
    <w:p>
      <w:pPr>
        <w:ind w:left="340" w:right="559"/>
        <w:spacing w:after="0" w:line="277" w:lineRule="auto"/>
        <w:rPr>
          <w:sz w:val="20"/>
          <w:szCs w:val="20"/>
          <w:color w:val="auto"/>
        </w:rPr>
      </w:pPr>
      <w:r>
        <w:rPr>
          <w:rFonts w:ascii="Arial" w:cs="Arial" w:eastAsia="Arial" w:hAnsi="Arial"/>
          <w:sz w:val="18"/>
          <w:szCs w:val="18"/>
          <w:color w:val="auto"/>
        </w:rPr>
        <w:t>We completed the following business combinations in fiscal 2008 and fiscal 2007, which were accounted for using the purchase method.</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14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Company Name</w:t>
            </w:r>
          </w:p>
        </w:tc>
        <w:tc>
          <w:tcPr>
            <w:tcW w:w="180" w:type="dxa"/>
            <w:vAlign w:val="bottom"/>
          </w:tcPr>
          <w:p>
            <w:pPr>
              <w:spacing w:after="0"/>
              <w:rPr>
                <w:sz w:val="20"/>
                <w:szCs w:val="20"/>
                <w:color w:val="auto"/>
              </w:rPr>
            </w:pPr>
          </w:p>
        </w:tc>
        <w:tc>
          <w:tcPr>
            <w:tcW w:w="142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w w:val="94"/>
              </w:rPr>
              <w:t>Acquisition Date</w:t>
            </w:r>
          </w:p>
        </w:tc>
        <w:tc>
          <w:tcPr>
            <w:tcW w:w="180" w:type="dxa"/>
            <w:vAlign w:val="bottom"/>
          </w:tcPr>
          <w:p>
            <w:pPr>
              <w:spacing w:after="0"/>
              <w:rPr>
                <w:sz w:val="20"/>
                <w:szCs w:val="20"/>
                <w:color w:val="auto"/>
              </w:rPr>
            </w:pPr>
          </w:p>
        </w:tc>
        <w:tc>
          <w:tcPr>
            <w:tcW w:w="140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96"/>
              </w:rPr>
              <w:t>Purchase Price</w:t>
            </w:r>
          </w:p>
        </w:tc>
        <w:tc>
          <w:tcPr>
            <w:tcW w:w="160" w:type="dxa"/>
            <w:vAlign w:val="bottom"/>
          </w:tcPr>
          <w:p>
            <w:pPr>
              <w:spacing w:after="0"/>
              <w:rPr>
                <w:sz w:val="20"/>
                <w:szCs w:val="20"/>
                <w:color w:val="auto"/>
              </w:rPr>
            </w:pPr>
          </w:p>
        </w:tc>
        <w:tc>
          <w:tcPr>
            <w:tcW w:w="4580" w:type="dxa"/>
            <w:vAlign w:val="bottom"/>
            <w:tcBorders>
              <w:bottom w:val="single" w:sz="8" w:color="auto"/>
            </w:tcBorders>
          </w:tcPr>
          <w:p>
            <w:pPr>
              <w:ind w:left="1500"/>
              <w:spacing w:after="0"/>
              <w:rPr>
                <w:sz w:val="20"/>
                <w:szCs w:val="20"/>
                <w:color w:val="auto"/>
              </w:rPr>
            </w:pPr>
            <w:r>
              <w:rPr>
                <w:rFonts w:ascii="Arial" w:cs="Arial" w:eastAsia="Arial" w:hAnsi="Arial"/>
                <w:sz w:val="18"/>
                <w:szCs w:val="18"/>
                <w:b w:val="1"/>
                <w:bCs w:val="1"/>
                <w:color w:val="auto"/>
              </w:rPr>
              <w:t>Business Description</w:t>
            </w:r>
          </w:p>
        </w:tc>
      </w:tr>
      <w:tr>
        <w:trPr>
          <w:trHeight w:val="210"/>
        </w:trPr>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580" w:type="dxa"/>
            <w:vAlign w:val="bottom"/>
          </w:tcPr>
          <w:p>
            <w:pPr>
              <w:spacing w:after="0"/>
              <w:rPr>
                <w:sz w:val="18"/>
                <w:szCs w:val="18"/>
                <w:color w:val="auto"/>
              </w:rPr>
            </w:pPr>
          </w:p>
        </w:tc>
      </w:tr>
      <w:tr>
        <w:trPr>
          <w:trHeight w:val="202"/>
        </w:trPr>
        <w:tc>
          <w:tcPr>
            <w:tcW w:w="1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International</w:t>
            </w:r>
          </w:p>
        </w:tc>
        <w:tc>
          <w:tcPr>
            <w:tcW w:w="1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February 4, 2008</w:t>
            </w: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$14.0 million</w:t>
            </w:r>
          </w:p>
        </w:tc>
        <w:tc>
          <w:tcPr>
            <w:tcW w:w="160" w:type="dxa"/>
            <w:vAlign w:val="bottom"/>
            <w:shd w:val="clear" w:color="auto" w:fill="CCEEFF"/>
          </w:tcPr>
          <w:p>
            <w:pPr>
              <w:spacing w:after="0"/>
              <w:rPr>
                <w:sz w:val="17"/>
                <w:szCs w:val="17"/>
                <w:color w:val="auto"/>
              </w:rPr>
            </w:pPr>
          </w:p>
        </w:tc>
        <w:tc>
          <w:tcPr>
            <w:tcW w:w="4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Manufactures and distributes industrial products, including</w:t>
            </w:r>
          </w:p>
        </w:tc>
      </w:tr>
      <w:tr>
        <w:trPr>
          <w:trHeight w:val="216"/>
        </w:trPr>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Wood Industries,</w:t>
            </w: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(stock purchase)</w:t>
            </w:r>
          </w:p>
        </w:tc>
        <w:tc>
          <w:tcPr>
            <w:tcW w:w="160" w:type="dxa"/>
            <w:vAlign w:val="bottom"/>
            <w:shd w:val="clear" w:color="auto" w:fill="CCEEFF"/>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w w:val="96"/>
              </w:rPr>
              <w:t>specialty boxes, crates, pallets and skids. Headquartered in</w:t>
            </w:r>
          </w:p>
        </w:tc>
      </w:tr>
      <w:tr>
        <w:trPr>
          <w:trHeight w:val="216"/>
        </w:trPr>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Inc. (“IWI”)</w:t>
            </w: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w w:val="93"/>
              </w:rPr>
              <w:t>Turlock, CA with distribution sites in Hawaii and Alaska. 2007</w:t>
            </w:r>
          </w:p>
        </w:tc>
      </w:tr>
      <w:tr>
        <w:trPr>
          <w:trHeight w:val="230"/>
        </w:trPr>
        <w:tc>
          <w:tcPr>
            <w:tcW w:w="14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sales were $40.0 million.</w:t>
            </w:r>
          </w:p>
        </w:tc>
      </w:tr>
      <w:tr>
        <w:trPr>
          <w:trHeight w:val="418"/>
        </w:trPr>
        <w:tc>
          <w:tcPr>
            <w:tcW w:w="1400" w:type="dxa"/>
            <w:vAlign w:val="bottom"/>
          </w:tcPr>
          <w:p>
            <w:pPr>
              <w:spacing w:after="0"/>
              <w:rPr>
                <w:sz w:val="20"/>
                <w:szCs w:val="20"/>
                <w:color w:val="auto"/>
              </w:rPr>
            </w:pPr>
            <w:r>
              <w:rPr>
                <w:rFonts w:ascii="Arial" w:cs="Arial" w:eastAsia="Arial" w:hAnsi="Arial"/>
                <w:sz w:val="18"/>
                <w:szCs w:val="18"/>
                <w:color w:val="auto"/>
              </w:rPr>
              <w:t>Deck Images</w:t>
            </w:r>
          </w:p>
        </w:tc>
        <w:tc>
          <w:tcPr>
            <w:tcW w:w="180" w:type="dxa"/>
            <w:vAlign w:val="bottom"/>
          </w:tcPr>
          <w:p>
            <w:pPr>
              <w:spacing w:after="0"/>
              <w:rPr>
                <w:sz w:val="24"/>
                <w:szCs w:val="24"/>
                <w:color w:val="auto"/>
              </w:rPr>
            </w:pPr>
          </w:p>
        </w:tc>
        <w:tc>
          <w:tcPr>
            <w:tcW w:w="1420" w:type="dxa"/>
            <w:vAlign w:val="bottom"/>
          </w:tcPr>
          <w:p>
            <w:pPr>
              <w:spacing w:after="0"/>
              <w:rPr>
                <w:sz w:val="20"/>
                <w:szCs w:val="20"/>
                <w:color w:val="auto"/>
              </w:rPr>
            </w:pPr>
            <w:r>
              <w:rPr>
                <w:rFonts w:ascii="Arial" w:cs="Arial" w:eastAsia="Arial" w:hAnsi="Arial"/>
                <w:sz w:val="18"/>
                <w:szCs w:val="18"/>
                <w:color w:val="auto"/>
              </w:rPr>
              <w:t>July 10, 2007</w:t>
            </w:r>
          </w:p>
        </w:tc>
        <w:tc>
          <w:tcPr>
            <w:tcW w:w="18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8"/>
                <w:szCs w:val="18"/>
                <w:color w:val="auto"/>
              </w:rPr>
              <w:t>$0.9 million</w:t>
            </w:r>
          </w:p>
        </w:tc>
        <w:tc>
          <w:tcPr>
            <w:tcW w:w="16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Manufactures and distributes aluminum railing systems.</w:t>
            </w:r>
          </w:p>
        </w:tc>
      </w:tr>
      <w:tr>
        <w:trPr>
          <w:trHeight w:val="230"/>
        </w:trPr>
        <w:tc>
          <w:tcPr>
            <w:tcW w:w="1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r>
              <w:rPr>
                <w:rFonts w:ascii="Arial" w:cs="Arial" w:eastAsia="Arial" w:hAnsi="Arial"/>
                <w:sz w:val="18"/>
                <w:szCs w:val="18"/>
                <w:color w:val="auto"/>
              </w:rPr>
              <w:t>(asset purchase)</w:t>
            </w:r>
          </w:p>
        </w:tc>
        <w:tc>
          <w:tcPr>
            <w:tcW w:w="16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Located in Hastings, MN. 2006 sales were $1.9 million.</w:t>
            </w:r>
          </w:p>
        </w:tc>
      </w:tr>
      <w:tr>
        <w:trPr>
          <w:trHeight w:val="216"/>
        </w:trPr>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580" w:type="dxa"/>
            <w:vAlign w:val="bottom"/>
          </w:tcPr>
          <w:p>
            <w:pPr>
              <w:spacing w:after="0"/>
              <w:rPr>
                <w:sz w:val="18"/>
                <w:szCs w:val="18"/>
                <w:color w:val="auto"/>
              </w:rPr>
            </w:pPr>
          </w:p>
        </w:tc>
      </w:tr>
      <w:tr>
        <w:trPr>
          <w:trHeight w:val="202"/>
        </w:trPr>
        <w:tc>
          <w:tcPr>
            <w:tcW w:w="1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Shawnlee</w:t>
            </w:r>
          </w:p>
        </w:tc>
        <w:tc>
          <w:tcPr>
            <w:tcW w:w="1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April 2, 2007</w:t>
            </w: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$1.4 million</w:t>
            </w:r>
          </w:p>
        </w:tc>
        <w:tc>
          <w:tcPr>
            <w:tcW w:w="160" w:type="dxa"/>
            <w:vAlign w:val="bottom"/>
            <w:shd w:val="clear" w:color="auto" w:fill="CCEEFF"/>
          </w:tcPr>
          <w:p>
            <w:pPr>
              <w:spacing w:after="0"/>
              <w:rPr>
                <w:sz w:val="17"/>
                <w:szCs w:val="17"/>
                <w:color w:val="auto"/>
              </w:rPr>
            </w:pPr>
          </w:p>
        </w:tc>
        <w:tc>
          <w:tcPr>
            <w:tcW w:w="4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Provides framing services for multi-family construction in the</w:t>
            </w:r>
          </w:p>
        </w:tc>
      </w:tr>
      <w:tr>
        <w:trPr>
          <w:trHeight w:val="216"/>
        </w:trPr>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Construction,</w:t>
            </w: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w w:val="94"/>
              </w:rPr>
              <w:t>northeast. Located in Plainville, MA. Purchased an additional</w:t>
            </w:r>
          </w:p>
        </w:tc>
      </w:tr>
      <w:tr>
        <w:trPr>
          <w:trHeight w:val="216"/>
        </w:trPr>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LLC</w:t>
            </w: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5% membership. We currently own an 85% membership</w:t>
            </w:r>
          </w:p>
        </w:tc>
      </w:tr>
      <w:tr>
        <w:trPr>
          <w:trHeight w:val="230"/>
        </w:trPr>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(“Shawnlee”)</w:t>
            </w:r>
          </w:p>
        </w:tc>
        <w:tc>
          <w:tcPr>
            <w:tcW w:w="18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interest.</w:t>
            </w:r>
          </w:p>
        </w:tc>
      </w:tr>
      <w:tr>
        <w:trPr>
          <w:trHeight w:val="216"/>
        </w:trPr>
        <w:tc>
          <w:tcPr>
            <w:tcW w:w="1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8"/>
                <w:szCs w:val="18"/>
                <w:color w:val="auto"/>
              </w:rPr>
              <w:t>April 3, 2006</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$0.8 million</w:t>
            </w:r>
          </w:p>
        </w:tc>
        <w:tc>
          <w:tcPr>
            <w:tcW w:w="160" w:type="dxa"/>
            <w:vAlign w:val="bottom"/>
            <w:shd w:val="clear" w:color="auto" w:fill="CCEEFF"/>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Purchased an additional 5% membership interest.</w:t>
            </w:r>
          </w:p>
        </w:tc>
      </w:tr>
      <w:tr>
        <w:trPr>
          <w:trHeight w:val="216"/>
        </w:trPr>
        <w:tc>
          <w:tcPr>
            <w:tcW w:w="1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8"/>
                <w:szCs w:val="18"/>
                <w:color w:val="auto"/>
              </w:rPr>
              <w:t>June 27, 2005</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$3.5 million</w:t>
            </w:r>
          </w:p>
        </w:tc>
        <w:tc>
          <w:tcPr>
            <w:tcW w:w="160" w:type="dxa"/>
            <w:vAlign w:val="bottom"/>
            <w:shd w:val="clear" w:color="auto" w:fill="CCEEFF"/>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Purchased an additional 25% membership interest.</w:t>
            </w:r>
          </w:p>
        </w:tc>
      </w:tr>
      <w:tr>
        <w:trPr>
          <w:trHeight w:val="202"/>
        </w:trPr>
        <w:tc>
          <w:tcPr>
            <w:tcW w:w="1400" w:type="dxa"/>
            <w:vAlign w:val="bottom"/>
          </w:tcPr>
          <w:p>
            <w:pPr>
              <w:spacing w:after="0" w:line="201" w:lineRule="exact"/>
              <w:rPr>
                <w:sz w:val="20"/>
                <w:szCs w:val="20"/>
                <w:color w:val="auto"/>
              </w:rPr>
            </w:pPr>
            <w:r>
              <w:rPr>
                <w:rFonts w:ascii="Arial" w:cs="Arial" w:eastAsia="Arial" w:hAnsi="Arial"/>
                <w:sz w:val="18"/>
                <w:szCs w:val="18"/>
                <w:color w:val="auto"/>
              </w:rPr>
              <w:t>Perfection</w:t>
            </w:r>
          </w:p>
        </w:tc>
        <w:tc>
          <w:tcPr>
            <w:tcW w:w="180" w:type="dxa"/>
            <w:vAlign w:val="bottom"/>
          </w:tcPr>
          <w:p>
            <w:pPr>
              <w:spacing w:after="0"/>
              <w:rPr>
                <w:sz w:val="17"/>
                <w:szCs w:val="17"/>
                <w:color w:val="auto"/>
              </w:rPr>
            </w:pPr>
          </w:p>
        </w:tc>
        <w:tc>
          <w:tcPr>
            <w:tcW w:w="1420" w:type="dxa"/>
            <w:vAlign w:val="bottom"/>
          </w:tcPr>
          <w:p>
            <w:pPr>
              <w:spacing w:after="0" w:line="201" w:lineRule="exact"/>
              <w:rPr>
                <w:sz w:val="20"/>
                <w:szCs w:val="20"/>
                <w:color w:val="auto"/>
              </w:rPr>
            </w:pPr>
            <w:r>
              <w:rPr>
                <w:rFonts w:ascii="Arial" w:cs="Arial" w:eastAsia="Arial" w:hAnsi="Arial"/>
                <w:sz w:val="18"/>
                <w:szCs w:val="18"/>
                <w:color w:val="auto"/>
              </w:rPr>
              <w:t>March 5, 2007</w:t>
            </w:r>
          </w:p>
        </w:tc>
        <w:tc>
          <w:tcPr>
            <w:tcW w:w="180" w:type="dxa"/>
            <w:vAlign w:val="bottom"/>
          </w:tcPr>
          <w:p>
            <w:pPr>
              <w:spacing w:after="0"/>
              <w:rPr>
                <w:sz w:val="17"/>
                <w:szCs w:val="17"/>
                <w:color w:val="auto"/>
              </w:rPr>
            </w:pPr>
          </w:p>
        </w:tc>
        <w:tc>
          <w:tcPr>
            <w:tcW w:w="1400" w:type="dxa"/>
            <w:vAlign w:val="bottom"/>
          </w:tcPr>
          <w:p>
            <w:pPr>
              <w:spacing w:after="0" w:line="201" w:lineRule="exact"/>
              <w:rPr>
                <w:sz w:val="20"/>
                <w:szCs w:val="20"/>
                <w:color w:val="auto"/>
              </w:rPr>
            </w:pPr>
            <w:r>
              <w:rPr>
                <w:rFonts w:ascii="Arial" w:cs="Arial" w:eastAsia="Arial" w:hAnsi="Arial"/>
                <w:sz w:val="18"/>
                <w:szCs w:val="18"/>
                <w:color w:val="auto"/>
              </w:rPr>
              <w:t>$1.3 million</w:t>
            </w:r>
          </w:p>
        </w:tc>
        <w:tc>
          <w:tcPr>
            <w:tcW w:w="160" w:type="dxa"/>
            <w:vAlign w:val="bottom"/>
          </w:tcPr>
          <w:p>
            <w:pPr>
              <w:spacing w:after="0"/>
              <w:rPr>
                <w:sz w:val="17"/>
                <w:szCs w:val="17"/>
                <w:color w:val="auto"/>
              </w:rPr>
            </w:pPr>
          </w:p>
        </w:tc>
        <w:tc>
          <w:tcPr>
            <w:tcW w:w="4580" w:type="dxa"/>
            <w:vAlign w:val="bottom"/>
          </w:tcPr>
          <w:p>
            <w:pPr>
              <w:spacing w:after="0" w:line="201" w:lineRule="exact"/>
              <w:rPr>
                <w:sz w:val="20"/>
                <w:szCs w:val="20"/>
                <w:color w:val="auto"/>
              </w:rPr>
            </w:pPr>
            <w:r>
              <w:rPr>
                <w:rFonts w:ascii="Arial" w:cs="Arial" w:eastAsia="Arial" w:hAnsi="Arial"/>
                <w:sz w:val="18"/>
                <w:szCs w:val="18"/>
                <w:color w:val="auto"/>
              </w:rPr>
              <w:t>Manufactures and distributes roof and floor trusses to the</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Trusses, Inc.</w:t>
            </w: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20"/>
                <w:szCs w:val="20"/>
                <w:color w:val="auto"/>
              </w:rPr>
            </w:pPr>
            <w:r>
              <w:rPr>
                <w:rFonts w:ascii="Arial" w:cs="Arial" w:eastAsia="Arial" w:hAnsi="Arial"/>
                <w:sz w:val="18"/>
                <w:szCs w:val="18"/>
                <w:color w:val="auto"/>
              </w:rPr>
              <w:t>(asset purchase)</w:t>
            </w:r>
          </w:p>
        </w:tc>
        <w:tc>
          <w:tcPr>
            <w:tcW w:w="16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w w:val="90"/>
              </w:rPr>
              <w:t>Eastern Florida market. The company is located in Vero Beach,</w:t>
            </w:r>
          </w:p>
        </w:tc>
      </w:tr>
      <w:tr>
        <w:trPr>
          <w:trHeight w:val="230"/>
        </w:trPr>
        <w:tc>
          <w:tcPr>
            <w:tcW w:w="1400" w:type="dxa"/>
            <w:vAlign w:val="bottom"/>
          </w:tcPr>
          <w:p>
            <w:pPr>
              <w:spacing w:after="0"/>
              <w:rPr>
                <w:sz w:val="20"/>
                <w:szCs w:val="20"/>
                <w:color w:val="auto"/>
              </w:rPr>
            </w:pPr>
            <w:r>
              <w:rPr>
                <w:rFonts w:ascii="Arial" w:cs="Arial" w:eastAsia="Arial" w:hAnsi="Arial"/>
                <w:sz w:val="18"/>
                <w:szCs w:val="18"/>
                <w:color w:val="auto"/>
              </w:rPr>
              <w:t>(“Perfection”)</w:t>
            </w: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FL. 2006 sales were $3.9 million.</w:t>
            </w:r>
          </w:p>
        </w:tc>
      </w:tr>
      <w:tr>
        <w:trPr>
          <w:trHeight w:val="216"/>
        </w:trPr>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580" w:type="dxa"/>
            <w:vAlign w:val="bottom"/>
          </w:tcPr>
          <w:p>
            <w:pPr>
              <w:spacing w:after="0"/>
              <w:rPr>
                <w:sz w:val="18"/>
                <w:szCs w:val="18"/>
                <w:color w:val="auto"/>
              </w:rPr>
            </w:pPr>
          </w:p>
        </w:tc>
      </w:tr>
      <w:tr>
        <w:trPr>
          <w:trHeight w:val="202"/>
        </w:trPr>
        <w:tc>
          <w:tcPr>
            <w:tcW w:w="1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Aljoma Lumber</w:t>
            </w:r>
          </w:p>
        </w:tc>
        <w:tc>
          <w:tcPr>
            <w:tcW w:w="1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February 12, 2007</w:t>
            </w: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$53.5 million</w:t>
            </w:r>
          </w:p>
        </w:tc>
        <w:tc>
          <w:tcPr>
            <w:tcW w:w="160" w:type="dxa"/>
            <w:vAlign w:val="bottom"/>
            <w:shd w:val="clear" w:color="auto" w:fill="CCEEFF"/>
          </w:tcPr>
          <w:p>
            <w:pPr>
              <w:spacing w:after="0"/>
              <w:rPr>
                <w:sz w:val="17"/>
                <w:szCs w:val="17"/>
                <w:color w:val="auto"/>
              </w:rPr>
            </w:pPr>
          </w:p>
        </w:tc>
        <w:tc>
          <w:tcPr>
            <w:tcW w:w="4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Manufactures, treats and distributes various wood products,</w:t>
            </w:r>
          </w:p>
        </w:tc>
      </w:tr>
      <w:tr>
        <w:trPr>
          <w:trHeight w:val="216"/>
        </w:trPr>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Company</w:t>
            </w: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(stock purchase)</w:t>
            </w:r>
          </w:p>
        </w:tc>
        <w:tc>
          <w:tcPr>
            <w:tcW w:w="160" w:type="dxa"/>
            <w:vAlign w:val="bottom"/>
            <w:shd w:val="clear" w:color="auto" w:fill="CCEEFF"/>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w w:val="94"/>
              </w:rPr>
              <w:t>building materials and specialty hardwoods. The company is</w:t>
            </w:r>
          </w:p>
        </w:tc>
      </w:tr>
      <w:tr>
        <w:trPr>
          <w:trHeight w:val="216"/>
        </w:trPr>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(“Aljoma”)</w:t>
            </w: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w w:val="93"/>
              </w:rPr>
              <w:t>located in Medley, FL. They serve Florida, the Eastern United</w:t>
            </w:r>
          </w:p>
        </w:tc>
      </w:tr>
      <w:tr>
        <w:trPr>
          <w:trHeight w:val="216"/>
        </w:trPr>
        <w:tc>
          <w:tcPr>
            <w:tcW w:w="1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w w:val="89"/>
              </w:rPr>
              <w:t>States and the Caribbean islands. Aljoma has one of the largest</w:t>
            </w:r>
          </w:p>
        </w:tc>
      </w:tr>
      <w:tr>
        <w:trPr>
          <w:trHeight w:val="216"/>
        </w:trPr>
        <w:tc>
          <w:tcPr>
            <w:tcW w:w="1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treating facilities in the country. 2006 sales were</w:t>
            </w:r>
          </w:p>
        </w:tc>
      </w:tr>
      <w:tr>
        <w:trPr>
          <w:trHeight w:val="230"/>
        </w:trPr>
        <w:tc>
          <w:tcPr>
            <w:tcW w:w="14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$225.0 million.</w:t>
            </w:r>
          </w:p>
        </w:tc>
      </w:tr>
    </w:tbl>
    <w:p>
      <w:pPr>
        <w:spacing w:after="0" w:line="15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RESULTS OF OPERATIONS</w:t>
      </w:r>
    </w:p>
    <w:p>
      <w:pPr>
        <w:spacing w:after="0" w:line="202" w:lineRule="exact"/>
        <w:rPr>
          <w:sz w:val="20"/>
          <w:szCs w:val="20"/>
          <w:color w:val="auto"/>
        </w:rPr>
      </w:pPr>
    </w:p>
    <w:p>
      <w:pPr>
        <w:jc w:val="both"/>
        <w:ind w:left="340" w:right="559"/>
        <w:spacing w:after="0" w:line="277" w:lineRule="auto"/>
        <w:rPr>
          <w:sz w:val="20"/>
          <w:szCs w:val="20"/>
          <w:color w:val="auto"/>
        </w:rPr>
      </w:pPr>
      <w:r>
        <w:rPr>
          <w:rFonts w:ascii="Arial" w:cs="Arial" w:eastAsia="Arial" w:hAnsi="Arial"/>
          <w:sz w:val="18"/>
          <w:szCs w:val="18"/>
          <w:color w:val="auto"/>
        </w:rPr>
        <w:t>The following table presents, for the periods indicated, the components of our Consolidated Condensed Statements of Earnings as a percentage of net sales.</w:t>
      </w:r>
    </w:p>
    <w:p>
      <w:pPr>
        <w:spacing w:after="0" w:line="170"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6720" w:type="dxa"/>
            <w:vAlign w:val="bottom"/>
          </w:tcPr>
          <w:p>
            <w:pPr>
              <w:spacing w:after="0"/>
              <w:rPr>
                <w:sz w:val="20"/>
                <w:szCs w:val="20"/>
                <w:color w:val="auto"/>
              </w:rPr>
            </w:pPr>
          </w:p>
        </w:tc>
        <w:tc>
          <w:tcPr>
            <w:tcW w:w="2600" w:type="dxa"/>
            <w:vAlign w:val="bottom"/>
            <w:gridSpan w:val="4"/>
          </w:tcPr>
          <w:p>
            <w:pPr>
              <w:jc w:val="right"/>
              <w:ind w:right="340"/>
              <w:spacing w:after="0"/>
              <w:rPr>
                <w:sz w:val="20"/>
                <w:szCs w:val="20"/>
                <w:color w:val="auto"/>
              </w:rPr>
            </w:pPr>
            <w:r>
              <w:rPr>
                <w:rFonts w:ascii="Arial" w:cs="Arial" w:eastAsia="Arial" w:hAnsi="Arial"/>
                <w:sz w:val="18"/>
                <w:szCs w:val="18"/>
                <w:color w:val="auto"/>
                <w:w w:val="97"/>
              </w:rPr>
              <w:t>For the Three Months Ended</w:t>
            </w:r>
          </w:p>
        </w:tc>
      </w:tr>
      <w:tr>
        <w:trPr>
          <w:trHeight w:val="195"/>
        </w:trPr>
        <w:tc>
          <w:tcPr>
            <w:tcW w:w="6720" w:type="dxa"/>
            <w:vAlign w:val="bottom"/>
          </w:tcPr>
          <w:p>
            <w:pPr>
              <w:spacing w:after="0"/>
              <w:rPr>
                <w:sz w:val="16"/>
                <w:szCs w:val="16"/>
                <w:color w:val="auto"/>
              </w:rPr>
            </w:pPr>
          </w:p>
        </w:tc>
        <w:tc>
          <w:tcPr>
            <w:tcW w:w="1460" w:type="dxa"/>
            <w:vAlign w:val="bottom"/>
            <w:tcBorders>
              <w:top w:val="single" w:sz="8" w:color="auto"/>
            </w:tcBorders>
            <w:gridSpan w:val="2"/>
          </w:tcPr>
          <w:p>
            <w:pPr>
              <w:jc w:val="right"/>
              <w:ind w:right="620"/>
              <w:spacing w:after="0" w:line="195" w:lineRule="exact"/>
              <w:rPr>
                <w:sz w:val="20"/>
                <w:szCs w:val="20"/>
                <w:color w:val="auto"/>
              </w:rPr>
            </w:pPr>
            <w:r>
              <w:rPr>
                <w:rFonts w:ascii="Arial" w:cs="Arial" w:eastAsia="Arial" w:hAnsi="Arial"/>
                <w:sz w:val="18"/>
                <w:szCs w:val="18"/>
                <w:color w:val="auto"/>
              </w:rPr>
              <w:t>March 29,</w:t>
            </w:r>
          </w:p>
        </w:tc>
        <w:tc>
          <w:tcPr>
            <w:tcW w:w="960" w:type="dxa"/>
            <w:vAlign w:val="bottom"/>
            <w:tcBorders>
              <w:top w:val="single" w:sz="8" w:color="auto"/>
            </w:tcBorders>
          </w:tcPr>
          <w:p>
            <w:pPr>
              <w:jc w:val="right"/>
              <w:ind w:right="10"/>
              <w:spacing w:after="0" w:line="195" w:lineRule="exact"/>
              <w:rPr>
                <w:sz w:val="20"/>
                <w:szCs w:val="20"/>
                <w:color w:val="auto"/>
              </w:rPr>
            </w:pPr>
            <w:r>
              <w:rPr>
                <w:rFonts w:ascii="Arial" w:cs="Arial" w:eastAsia="Arial" w:hAnsi="Arial"/>
                <w:sz w:val="18"/>
                <w:szCs w:val="18"/>
                <w:color w:val="auto"/>
              </w:rPr>
              <w:t>March 31,</w:t>
            </w:r>
          </w:p>
        </w:tc>
        <w:tc>
          <w:tcPr>
            <w:tcW w:w="180" w:type="dxa"/>
            <w:vAlign w:val="bottom"/>
          </w:tcPr>
          <w:p>
            <w:pPr>
              <w:spacing w:after="0"/>
              <w:rPr>
                <w:sz w:val="16"/>
                <w:szCs w:val="16"/>
                <w:color w:val="auto"/>
              </w:rPr>
            </w:pPr>
          </w:p>
        </w:tc>
      </w:tr>
      <w:tr>
        <w:trPr>
          <w:trHeight w:val="230"/>
        </w:trPr>
        <w:tc>
          <w:tcPr>
            <w:tcW w:w="6720" w:type="dxa"/>
            <w:vAlign w:val="bottom"/>
          </w:tcPr>
          <w:p>
            <w:pPr>
              <w:spacing w:after="0"/>
              <w:rPr>
                <w:sz w:val="20"/>
                <w:szCs w:val="20"/>
                <w:color w:val="auto"/>
              </w:rPr>
            </w:pPr>
          </w:p>
        </w:tc>
        <w:tc>
          <w:tcPr>
            <w:tcW w:w="9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2008</w:t>
            </w:r>
          </w:p>
        </w:tc>
        <w:tc>
          <w:tcPr>
            <w:tcW w:w="500" w:type="dxa"/>
            <w:vAlign w:val="bottom"/>
          </w:tcPr>
          <w:p>
            <w:pPr>
              <w:spacing w:after="0"/>
              <w:rPr>
                <w:sz w:val="20"/>
                <w:szCs w:val="20"/>
                <w:color w:val="auto"/>
              </w:rPr>
            </w:pPr>
          </w:p>
        </w:tc>
        <w:tc>
          <w:tcPr>
            <w:tcW w:w="9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2007</w:t>
            </w:r>
          </w:p>
        </w:tc>
        <w:tc>
          <w:tcPr>
            <w:tcW w:w="180" w:type="dxa"/>
            <w:vAlign w:val="bottom"/>
          </w:tcPr>
          <w:p>
            <w:pPr>
              <w:spacing w:after="0"/>
              <w:rPr>
                <w:sz w:val="20"/>
                <w:szCs w:val="20"/>
                <w:color w:val="auto"/>
              </w:rPr>
            </w:pPr>
          </w:p>
        </w:tc>
      </w:tr>
      <w:tr>
        <w:trPr>
          <w:trHeight w:val="210"/>
        </w:trPr>
        <w:tc>
          <w:tcPr>
            <w:tcW w:w="6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4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100.0%</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Cost of goods sold</w:t>
            </w:r>
          </w:p>
        </w:tc>
        <w:tc>
          <w:tcPr>
            <w:tcW w:w="1460" w:type="dxa"/>
            <w:vAlign w:val="bottom"/>
            <w:gridSpan w:val="2"/>
          </w:tcPr>
          <w:p>
            <w:pPr>
              <w:jc w:val="right"/>
              <w:ind w:right="500"/>
              <w:spacing w:after="0"/>
              <w:rPr>
                <w:sz w:val="20"/>
                <w:szCs w:val="20"/>
                <w:color w:val="auto"/>
              </w:rPr>
            </w:pPr>
            <w:r>
              <w:rPr>
                <w:rFonts w:ascii="Arial" w:cs="Arial" w:eastAsia="Arial" w:hAnsi="Arial"/>
                <w:sz w:val="18"/>
                <w:szCs w:val="18"/>
                <w:color w:val="auto"/>
              </w:rPr>
              <w:t>88.8</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86.6</w:t>
            </w:r>
          </w:p>
        </w:tc>
      </w:tr>
      <w:tr>
        <w:trPr>
          <w:trHeight w:val="223"/>
        </w:trPr>
        <w:tc>
          <w:tcPr>
            <w:tcW w:w="672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4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11.2</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13.4</w:t>
            </w: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460" w:type="dxa"/>
            <w:vAlign w:val="bottom"/>
            <w:gridSpan w:val="2"/>
          </w:tcPr>
          <w:p>
            <w:pPr>
              <w:jc w:val="right"/>
              <w:ind w:right="500"/>
              <w:spacing w:after="0"/>
              <w:rPr>
                <w:sz w:val="20"/>
                <w:szCs w:val="20"/>
                <w:color w:val="auto"/>
              </w:rPr>
            </w:pPr>
            <w:r>
              <w:rPr>
                <w:rFonts w:ascii="Arial" w:cs="Arial" w:eastAsia="Arial" w:hAnsi="Arial"/>
                <w:sz w:val="18"/>
                <w:szCs w:val="18"/>
                <w:color w:val="auto"/>
              </w:rPr>
              <w:t>12.1</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11.6</w:t>
            </w:r>
          </w:p>
        </w:tc>
      </w:tr>
      <w:tr>
        <w:trPr>
          <w:trHeight w:val="223"/>
        </w:trPr>
        <w:tc>
          <w:tcPr>
            <w:tcW w:w="672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Earnings (loss) from operations</w:t>
            </w:r>
          </w:p>
        </w:tc>
        <w:tc>
          <w:tcPr>
            <w:tcW w:w="14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(0.9)</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w:t>
            </w: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Interest, net</w:t>
            </w:r>
          </w:p>
        </w:tc>
        <w:tc>
          <w:tcPr>
            <w:tcW w:w="1460" w:type="dxa"/>
            <w:vAlign w:val="bottom"/>
            <w:gridSpan w:val="2"/>
          </w:tcPr>
          <w:p>
            <w:pPr>
              <w:jc w:val="right"/>
              <w:ind w:right="500"/>
              <w:spacing w:after="0"/>
              <w:rPr>
                <w:sz w:val="20"/>
                <w:szCs w:val="20"/>
                <w:color w:val="auto"/>
              </w:rPr>
            </w:pPr>
            <w:r>
              <w:rPr>
                <w:rFonts w:ascii="Arial" w:cs="Arial" w:eastAsia="Arial" w:hAnsi="Arial"/>
                <w:sz w:val="18"/>
                <w:szCs w:val="18"/>
                <w:color w:val="auto"/>
              </w:rPr>
              <w:t>0.7</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0.7</w:t>
            </w:r>
          </w:p>
        </w:tc>
      </w:tr>
      <w:tr>
        <w:trPr>
          <w:trHeight w:val="223"/>
        </w:trPr>
        <w:tc>
          <w:tcPr>
            <w:tcW w:w="672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Earnings (loss) before income taxes and minority interest</w:t>
            </w:r>
          </w:p>
        </w:tc>
        <w:tc>
          <w:tcPr>
            <w:tcW w:w="14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(1.6)</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w:t>
            </w: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Income taxes</w:t>
            </w:r>
          </w:p>
        </w:tc>
        <w:tc>
          <w:tcPr>
            <w:tcW w:w="1460" w:type="dxa"/>
            <w:vAlign w:val="bottom"/>
            <w:gridSpan w:val="2"/>
          </w:tcPr>
          <w:p>
            <w:pPr>
              <w:jc w:val="right"/>
              <w:ind w:right="440"/>
              <w:spacing w:after="0"/>
              <w:rPr>
                <w:sz w:val="20"/>
                <w:szCs w:val="20"/>
                <w:color w:val="auto"/>
              </w:rPr>
            </w:pPr>
            <w:r>
              <w:rPr>
                <w:rFonts w:ascii="Arial" w:cs="Arial" w:eastAsia="Arial" w:hAnsi="Arial"/>
                <w:sz w:val="18"/>
                <w:szCs w:val="18"/>
                <w:color w:val="auto"/>
              </w:rPr>
              <w:t>(0.7)</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0.3</w:t>
            </w:r>
          </w:p>
        </w:tc>
      </w:tr>
      <w:tr>
        <w:trPr>
          <w:trHeight w:val="223"/>
        </w:trPr>
        <w:tc>
          <w:tcPr>
            <w:tcW w:w="672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Earnings (loss) before minority interest</w:t>
            </w:r>
          </w:p>
        </w:tc>
        <w:tc>
          <w:tcPr>
            <w:tcW w:w="14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(0.9)</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0.8</w:t>
            </w: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Minority interest</w:t>
            </w:r>
          </w:p>
        </w:tc>
        <w:tc>
          <w:tcPr>
            <w:tcW w:w="1460" w:type="dxa"/>
            <w:vAlign w:val="bottom"/>
            <w:gridSpan w:val="2"/>
          </w:tcPr>
          <w:p>
            <w:pPr>
              <w:jc w:val="right"/>
              <w:ind w:right="440"/>
              <w:spacing w:after="0"/>
              <w:rPr>
                <w:sz w:val="20"/>
                <w:szCs w:val="20"/>
                <w:color w:val="auto"/>
              </w:rPr>
            </w:pPr>
            <w:r>
              <w:rPr>
                <w:rFonts w:ascii="Arial" w:cs="Arial" w:eastAsia="Arial" w:hAnsi="Arial"/>
                <w:sz w:val="18"/>
                <w:szCs w:val="18"/>
                <w:color w:val="auto"/>
              </w:rPr>
              <w:t>( 0.0)</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r>
      <w:tr>
        <w:trPr>
          <w:trHeight w:val="27"/>
        </w:trPr>
        <w:tc>
          <w:tcPr>
            <w:tcW w:w="67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Net earnings (loss)</w:t>
            </w:r>
          </w:p>
        </w:tc>
        <w:tc>
          <w:tcPr>
            <w:tcW w:w="14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(0.9%)</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0.7%</w:t>
            </w:r>
          </w:p>
        </w:tc>
      </w:tr>
      <w:tr>
        <w:trPr>
          <w:trHeight w:val="20"/>
        </w:trPr>
        <w:tc>
          <w:tcPr>
            <w:tcW w:w="67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219"/>
          </w:cols>
          <w:pgMar w:left="240" w:top="419" w:right="1440" w:bottom="1440" w:gutter="0" w:footer="0" w:header="0"/>
        </w:sectPr>
      </w:pPr>
    </w:p>
    <w:p>
      <w:pPr>
        <w:spacing w:after="0" w:line="366"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UNIVERSAL FOREST PRODUCTS, INC.</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GROSS SALES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engineer, manufacture, treat, distribute and install lumber, composite wood, plastic, and other building products for the</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DIY/retail, site-built construction, industrial, and manufactured housing markets. Our strategic sales objectives include:</w:t>
      </w:r>
    </w:p>
    <w:p>
      <w:pPr>
        <w:spacing w:after="0" w:line="182" w:lineRule="exact"/>
        <w:rPr>
          <w:sz w:val="20"/>
          <w:szCs w:val="20"/>
          <w:color w:val="auto"/>
        </w:rPr>
      </w:pPr>
    </w:p>
    <w:p>
      <w:pPr>
        <w:jc w:val="both"/>
        <w:ind w:left="680" w:right="559" w:hanging="348"/>
        <w:spacing w:after="0" w:line="264" w:lineRule="auto"/>
        <w:tabs>
          <w:tab w:leader="none" w:pos="68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Diversifying our end market sales mix by increasing sales of specialty wood packaging to industrial users, penetrating the concrete forms market and increasing our sales of engineered wood components for multi- family and light commercial construction.</w:t>
      </w:r>
    </w:p>
    <w:p>
      <w:pPr>
        <w:spacing w:after="0" w:line="113" w:lineRule="exact"/>
        <w:rPr>
          <w:rFonts w:ascii="Arial" w:cs="Arial" w:eastAsia="Arial" w:hAnsi="Arial"/>
          <w:sz w:val="18"/>
          <w:szCs w:val="18"/>
          <w:b w:val="1"/>
          <w:bCs w:val="1"/>
          <w:color w:val="auto"/>
        </w:rPr>
      </w:pPr>
    </w:p>
    <w:p>
      <w:pPr>
        <w:ind w:left="680" w:hanging="348"/>
        <w:spacing w:after="0"/>
        <w:tabs>
          <w:tab w:leader="none" w:pos="68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Expanding geographically in our core businesses.</w:t>
      </w:r>
    </w:p>
    <w:p>
      <w:pPr>
        <w:spacing w:after="0" w:line="157" w:lineRule="exact"/>
        <w:rPr>
          <w:rFonts w:ascii="Arial" w:cs="Arial" w:eastAsia="Arial" w:hAnsi="Arial"/>
          <w:sz w:val="18"/>
          <w:szCs w:val="18"/>
          <w:b w:val="1"/>
          <w:bCs w:val="1"/>
          <w:color w:val="auto"/>
        </w:rPr>
      </w:pPr>
    </w:p>
    <w:p>
      <w:pPr>
        <w:jc w:val="both"/>
        <w:ind w:left="680" w:right="559" w:hanging="348"/>
        <w:spacing w:after="0" w:line="255" w:lineRule="auto"/>
        <w:tabs>
          <w:tab w:leader="none" w:pos="68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Increasing sales of “value-added” products and framing services. Value-added product sales primarily consist of fencing, decking, lattice, and other specialty products sold to the DIY/retail market, specialty wood packaging, engineered wood components, and “wood alternative” products. Engineered wood components include roof trusses, wall panels, and floor systems. Wood alternative products consist primarily of composite wood and plastics. Although we consider the treatment of dimensional lumber with certain chemical preservatives a value-added process, treated lumber is not presently included in the value-added sales totals.</w:t>
      </w:r>
    </w:p>
    <w:p>
      <w:pPr>
        <w:spacing w:after="0" w:line="125" w:lineRule="exact"/>
        <w:rPr>
          <w:rFonts w:ascii="Arial" w:cs="Arial" w:eastAsia="Arial" w:hAnsi="Arial"/>
          <w:sz w:val="18"/>
          <w:szCs w:val="18"/>
          <w:b w:val="1"/>
          <w:bCs w:val="1"/>
          <w:color w:val="auto"/>
        </w:rPr>
      </w:pPr>
    </w:p>
    <w:p>
      <w:pPr>
        <w:ind w:left="680" w:hanging="348"/>
        <w:spacing w:after="0"/>
        <w:tabs>
          <w:tab w:leader="none" w:pos="68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Maximizing unit sales growth while achieving return on investment goals.</w:t>
      </w:r>
    </w:p>
    <w:p>
      <w:pPr>
        <w:spacing w:after="0" w:line="198" w:lineRule="exact"/>
        <w:rPr>
          <w:sz w:val="20"/>
          <w:szCs w:val="20"/>
          <w:color w:val="auto"/>
        </w:rPr>
      </w:pPr>
    </w:p>
    <w:p>
      <w:pPr>
        <w:jc w:val="both"/>
        <w:ind w:left="340" w:right="559"/>
        <w:spacing w:after="0" w:line="277" w:lineRule="auto"/>
        <w:rPr>
          <w:sz w:val="20"/>
          <w:szCs w:val="20"/>
          <w:color w:val="auto"/>
        </w:rPr>
      </w:pPr>
      <w:r>
        <w:rPr>
          <w:rFonts w:ascii="Arial" w:cs="Arial" w:eastAsia="Arial" w:hAnsi="Arial"/>
          <w:sz w:val="18"/>
          <w:szCs w:val="18"/>
          <w:color w:val="auto"/>
        </w:rPr>
        <w:t>The following table presents, for the periods indicated, our gross sales (in thousands) and percentage change in gross sales by market classification.</w:t>
      </w:r>
    </w:p>
    <w:p>
      <w:pPr>
        <w:spacing w:after="0" w:line="170"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5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20" w:type="dxa"/>
            <w:vAlign w:val="bottom"/>
            <w:gridSpan w:val="7"/>
          </w:tcPr>
          <w:p>
            <w:pPr>
              <w:jc w:val="right"/>
              <w:ind w:right="820"/>
              <w:spacing w:after="0"/>
              <w:rPr>
                <w:sz w:val="20"/>
                <w:szCs w:val="20"/>
                <w:color w:val="auto"/>
              </w:rPr>
            </w:pPr>
            <w:r>
              <w:rPr>
                <w:rFonts w:ascii="Arial" w:cs="Arial" w:eastAsia="Arial" w:hAnsi="Arial"/>
                <w:sz w:val="18"/>
                <w:szCs w:val="18"/>
                <w:color w:val="auto"/>
              </w:rPr>
              <w:t>For the Three Months Ended</w:t>
            </w:r>
          </w:p>
        </w:tc>
      </w:tr>
      <w:tr>
        <w:trPr>
          <w:trHeight w:val="195"/>
        </w:trPr>
        <w:tc>
          <w:tcPr>
            <w:tcW w:w="5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jc w:val="right"/>
              <w:ind w:right="480"/>
              <w:spacing w:after="0" w:line="195" w:lineRule="exact"/>
              <w:rPr>
                <w:sz w:val="20"/>
                <w:szCs w:val="20"/>
                <w:color w:val="auto"/>
              </w:rPr>
            </w:pPr>
            <w:r>
              <w:rPr>
                <w:rFonts w:ascii="Arial" w:cs="Arial" w:eastAsia="Arial" w:hAnsi="Arial"/>
                <w:sz w:val="18"/>
                <w:szCs w:val="18"/>
                <w:color w:val="auto"/>
                <w:w w:val="89"/>
              </w:rPr>
              <w:t>March 29,</w:t>
            </w:r>
          </w:p>
        </w:tc>
        <w:tc>
          <w:tcPr>
            <w:tcW w:w="940" w:type="dxa"/>
            <w:vAlign w:val="bottom"/>
            <w:tcBorders>
              <w:top w:val="single" w:sz="8" w:color="auto"/>
            </w:tcBorders>
          </w:tcPr>
          <w:p>
            <w:pPr>
              <w:jc w:val="right"/>
              <w:ind w:right="290"/>
              <w:spacing w:after="0" w:line="195" w:lineRule="exact"/>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ind w:right="10"/>
              <w:spacing w:after="0" w:line="195" w:lineRule="exact"/>
              <w:rPr>
                <w:sz w:val="20"/>
                <w:szCs w:val="20"/>
                <w:color w:val="auto"/>
              </w:rPr>
            </w:pPr>
            <w:r>
              <w:rPr>
                <w:rFonts w:ascii="Arial" w:cs="Arial" w:eastAsia="Arial" w:hAnsi="Arial"/>
                <w:sz w:val="18"/>
                <w:szCs w:val="18"/>
                <w:color w:val="auto"/>
                <w:w w:val="89"/>
              </w:rPr>
              <w:t>March 31,</w:t>
            </w:r>
          </w:p>
        </w:tc>
        <w:tc>
          <w:tcPr>
            <w:tcW w:w="80" w:type="dxa"/>
            <w:vAlign w:val="bottom"/>
          </w:tcPr>
          <w:p>
            <w:pPr>
              <w:spacing w:after="0"/>
              <w:rPr>
                <w:sz w:val="16"/>
                <w:szCs w:val="16"/>
                <w:color w:val="auto"/>
              </w:rPr>
            </w:pPr>
          </w:p>
        </w:tc>
      </w:tr>
      <w:tr>
        <w:trPr>
          <w:trHeight w:val="230"/>
        </w:trPr>
        <w:tc>
          <w:tcPr>
            <w:tcW w:w="5700" w:type="dxa"/>
            <w:vAlign w:val="bottom"/>
            <w:gridSpan w:val="2"/>
          </w:tcPr>
          <w:p>
            <w:pPr>
              <w:spacing w:after="0"/>
              <w:rPr>
                <w:sz w:val="20"/>
                <w:szCs w:val="20"/>
                <w:color w:val="auto"/>
              </w:rPr>
            </w:pPr>
            <w:r>
              <w:rPr>
                <w:rFonts w:ascii="Arial" w:cs="Arial" w:eastAsia="Arial" w:hAnsi="Arial"/>
                <w:sz w:val="18"/>
                <w:szCs w:val="18"/>
                <w:color w:val="auto"/>
              </w:rPr>
              <w:t>Market Classification</w:t>
            </w:r>
          </w:p>
        </w:tc>
        <w:tc>
          <w:tcPr>
            <w:tcW w:w="100" w:type="dxa"/>
            <w:vAlign w:val="bottom"/>
          </w:tcPr>
          <w:p>
            <w:pPr>
              <w:spacing w:after="0"/>
              <w:rPr>
                <w:sz w:val="20"/>
                <w:szCs w:val="20"/>
                <w:color w:val="auto"/>
              </w:rPr>
            </w:pPr>
          </w:p>
        </w:tc>
        <w:tc>
          <w:tcPr>
            <w:tcW w:w="860" w:type="dxa"/>
            <w:vAlign w:val="bottom"/>
          </w:tcPr>
          <w:p>
            <w:pPr>
              <w:jc w:val="right"/>
              <w:ind w:right="210"/>
              <w:spacing w:after="0"/>
              <w:rPr>
                <w:sz w:val="20"/>
                <w:szCs w:val="20"/>
                <w:color w:val="auto"/>
              </w:rPr>
            </w:pPr>
            <w:r>
              <w:rPr>
                <w:rFonts w:ascii="Arial" w:cs="Arial" w:eastAsia="Arial" w:hAnsi="Arial"/>
                <w:sz w:val="18"/>
                <w:szCs w:val="18"/>
                <w:color w:val="auto"/>
              </w:rPr>
              <w:t>2008</w:t>
            </w:r>
          </w:p>
        </w:tc>
        <w:tc>
          <w:tcPr>
            <w:tcW w:w="360" w:type="dxa"/>
            <w:vAlign w:val="bottom"/>
          </w:tcPr>
          <w:p>
            <w:pPr>
              <w:spacing w:after="0"/>
              <w:rPr>
                <w:sz w:val="20"/>
                <w:szCs w:val="20"/>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Change</w:t>
            </w:r>
          </w:p>
        </w:tc>
        <w:tc>
          <w:tcPr>
            <w:tcW w:w="80" w:type="dxa"/>
            <w:vAlign w:val="bottom"/>
          </w:tcPr>
          <w:p>
            <w:pPr>
              <w:spacing w:after="0"/>
              <w:rPr>
                <w:sz w:val="20"/>
                <w:szCs w:val="20"/>
                <w:color w:val="auto"/>
              </w:rPr>
            </w:pPr>
          </w:p>
        </w:tc>
        <w:tc>
          <w:tcPr>
            <w:tcW w:w="840" w:type="dxa"/>
            <w:vAlign w:val="bottom"/>
          </w:tcPr>
          <w:p>
            <w:pPr>
              <w:jc w:val="right"/>
              <w:ind w:right="190"/>
              <w:spacing w:after="0"/>
              <w:rPr>
                <w:sz w:val="20"/>
                <w:szCs w:val="20"/>
                <w:color w:val="auto"/>
              </w:rPr>
            </w:pPr>
            <w:r>
              <w:rPr>
                <w:rFonts w:ascii="Arial" w:cs="Arial" w:eastAsia="Arial" w:hAnsi="Arial"/>
                <w:sz w:val="18"/>
                <w:szCs w:val="18"/>
                <w:color w:val="auto"/>
              </w:rPr>
              <w:t>2007</w:t>
            </w:r>
          </w:p>
        </w:tc>
        <w:tc>
          <w:tcPr>
            <w:tcW w:w="80" w:type="dxa"/>
            <w:vAlign w:val="bottom"/>
          </w:tcPr>
          <w:p>
            <w:pPr>
              <w:spacing w:after="0"/>
              <w:rPr>
                <w:sz w:val="20"/>
                <w:szCs w:val="20"/>
                <w:color w:val="auto"/>
              </w:rPr>
            </w:pPr>
          </w:p>
        </w:tc>
      </w:tr>
      <w:tr>
        <w:trPr>
          <w:trHeight w:val="210"/>
        </w:trPr>
        <w:tc>
          <w:tcPr>
            <w:tcW w:w="54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DIY/Retail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172,646</w:t>
            </w: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195,601</w:t>
            </w:r>
          </w:p>
        </w:tc>
      </w:tr>
      <w:tr>
        <w:trPr>
          <w:trHeight w:val="216"/>
        </w:trPr>
        <w:tc>
          <w:tcPr>
            <w:tcW w:w="5700" w:type="dxa"/>
            <w:vAlign w:val="bottom"/>
            <w:gridSpan w:val="2"/>
          </w:tcPr>
          <w:p>
            <w:pPr>
              <w:spacing w:after="0"/>
              <w:rPr>
                <w:sz w:val="20"/>
                <w:szCs w:val="20"/>
                <w:color w:val="auto"/>
              </w:rPr>
            </w:pPr>
            <w:r>
              <w:rPr>
                <w:rFonts w:ascii="Arial" w:cs="Arial" w:eastAsia="Arial" w:hAnsi="Arial"/>
                <w:sz w:val="18"/>
                <w:szCs w:val="18"/>
                <w:color w:val="auto"/>
              </w:rPr>
              <w:t>Site-Built Construction</w:t>
            </w:r>
          </w:p>
        </w:tc>
        <w:tc>
          <w:tcPr>
            <w:tcW w:w="10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108,899</w:t>
            </w: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(21.3)</w:t>
            </w:r>
          </w:p>
        </w:tc>
        <w:tc>
          <w:tcPr>
            <w:tcW w:w="8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138,419</w:t>
            </w:r>
          </w:p>
        </w:tc>
      </w:tr>
      <w:tr>
        <w:trPr>
          <w:trHeight w:val="216"/>
        </w:trPr>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Industrial</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140,657</w:t>
            </w: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5.1</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133,790</w:t>
            </w:r>
          </w:p>
        </w:tc>
      </w:tr>
      <w:tr>
        <w:trPr>
          <w:trHeight w:val="216"/>
        </w:trPr>
        <w:tc>
          <w:tcPr>
            <w:tcW w:w="5700" w:type="dxa"/>
            <w:vAlign w:val="bottom"/>
            <w:gridSpan w:val="2"/>
          </w:tcPr>
          <w:p>
            <w:pPr>
              <w:spacing w:after="0"/>
              <w:rPr>
                <w:sz w:val="20"/>
                <w:szCs w:val="20"/>
                <w:color w:val="auto"/>
              </w:rPr>
            </w:pPr>
            <w:r>
              <w:rPr>
                <w:rFonts w:ascii="Arial" w:cs="Arial" w:eastAsia="Arial" w:hAnsi="Arial"/>
                <w:sz w:val="18"/>
                <w:szCs w:val="18"/>
                <w:color w:val="auto"/>
              </w:rPr>
              <w:t>Manufactured Housing</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76,315</w:t>
            </w:r>
          </w:p>
        </w:tc>
        <w:tc>
          <w:tcPr>
            <w:tcW w:w="36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(14.2)</w:t>
            </w:r>
          </w:p>
        </w:tc>
        <w:tc>
          <w:tcPr>
            <w:tcW w:w="8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88,898</w:t>
            </w:r>
          </w:p>
        </w:tc>
      </w:tr>
      <w:tr>
        <w:trPr>
          <w:trHeight w:val="20"/>
        </w:trPr>
        <w:tc>
          <w:tcPr>
            <w:tcW w:w="5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Gross Sales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498,517</w:t>
            </w:r>
          </w:p>
        </w:tc>
        <w:tc>
          <w:tcPr>
            <w:tcW w:w="3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556,708</w:t>
            </w:r>
          </w:p>
        </w:tc>
      </w:tr>
      <w:tr>
        <w:trPr>
          <w:trHeight w:val="216"/>
        </w:trPr>
        <w:tc>
          <w:tcPr>
            <w:tcW w:w="5700" w:type="dxa"/>
            <w:vAlign w:val="bottom"/>
            <w:gridSpan w:val="2"/>
          </w:tcPr>
          <w:p>
            <w:pPr>
              <w:spacing w:after="0"/>
              <w:rPr>
                <w:sz w:val="20"/>
                <w:szCs w:val="20"/>
                <w:color w:val="auto"/>
              </w:rPr>
            </w:pPr>
            <w:r>
              <w:rPr>
                <w:rFonts w:ascii="Arial" w:cs="Arial" w:eastAsia="Arial" w:hAnsi="Arial"/>
                <w:sz w:val="18"/>
                <w:szCs w:val="18"/>
                <w:color w:val="auto"/>
              </w:rPr>
              <w:t>Sales Allowances</w:t>
            </w:r>
          </w:p>
        </w:tc>
        <w:tc>
          <w:tcPr>
            <w:tcW w:w="10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(9,005)</w:t>
            </w: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(7,670)</w:t>
            </w:r>
          </w:p>
        </w:tc>
      </w:tr>
      <w:tr>
        <w:trPr>
          <w:trHeight w:val="20"/>
        </w:trPr>
        <w:tc>
          <w:tcPr>
            <w:tcW w:w="5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Net Sales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489,512</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549,038</w:t>
            </w:r>
          </w:p>
        </w:tc>
      </w:tr>
      <w:tr>
        <w:trPr>
          <w:trHeight w:val="20"/>
        </w:trPr>
        <w:tc>
          <w:tcPr>
            <w:tcW w:w="54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61" w:lineRule="exact"/>
        <w:rPr>
          <w:sz w:val="20"/>
          <w:szCs w:val="20"/>
          <w:color w:val="auto"/>
        </w:rPr>
      </w:pPr>
    </w:p>
    <w:p>
      <w:pPr>
        <w:jc w:val="both"/>
        <w:ind w:left="820" w:right="559" w:hanging="485"/>
        <w:spacing w:after="0" w:line="277" w:lineRule="auto"/>
        <w:rPr>
          <w:sz w:val="20"/>
          <w:szCs w:val="20"/>
          <w:color w:val="auto"/>
        </w:rPr>
      </w:pPr>
      <w:r>
        <w:rPr>
          <w:rFonts w:ascii="Arial" w:cs="Arial" w:eastAsia="Arial" w:hAnsi="Arial"/>
          <w:sz w:val="18"/>
          <w:szCs w:val="18"/>
          <w:color w:val="auto"/>
        </w:rPr>
        <w:t>Note: In the first quarter of 2008, we reviewed the classification of our customers and made certain reclassifications. Prior year information has been restated to reflect these reclassifications.</w:t>
      </w:r>
    </w:p>
    <w:p>
      <w:pPr>
        <w:spacing w:after="0" w:line="130" w:lineRule="exact"/>
        <w:rPr>
          <w:sz w:val="20"/>
          <w:szCs w:val="20"/>
          <w:color w:val="auto"/>
        </w:rPr>
      </w:pPr>
    </w:p>
    <w:p>
      <w:pPr>
        <w:jc w:val="both"/>
        <w:ind w:left="340" w:right="559"/>
        <w:spacing w:after="0" w:line="257" w:lineRule="auto"/>
        <w:rPr>
          <w:sz w:val="20"/>
          <w:szCs w:val="20"/>
          <w:color w:val="auto"/>
        </w:rPr>
      </w:pPr>
      <w:r>
        <w:rPr>
          <w:rFonts w:ascii="Arial" w:cs="Arial" w:eastAsia="Arial" w:hAnsi="Arial"/>
          <w:sz w:val="18"/>
          <w:szCs w:val="18"/>
          <w:color w:val="auto"/>
        </w:rPr>
        <w:t>Gross sales in the first quarter of 2008 decreased 10% compared to the first quarter of 2007. We estimate that our unit sales decreased by 5% and overall selling prices decreased by 5% comparing the two periods. We estimate that our unit sales increased 3% as a result of acquisitions, while unit sales from existing and closed facilities decreased 8%. Our overall selling prices fluctuate as a result of the Lumber Market (see “Historical Lumber Prices”) and were negatively impacted by pricing pressure in the site-built market.</w:t>
      </w:r>
    </w:p>
    <w:p>
      <w:pPr>
        <w:spacing w:after="0" w:line="200" w:lineRule="exact"/>
        <w:rPr>
          <w:sz w:val="20"/>
          <w:szCs w:val="20"/>
          <w:color w:val="auto"/>
        </w:rPr>
      </w:pPr>
    </w:p>
    <w:p>
      <w:pPr>
        <w:spacing w:after="0" w:line="35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UNIVERSAL FOREST PRODUCTS, INC.</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Changes in our sales by market are discussed below.</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DIY/Retail:</w:t>
      </w:r>
    </w:p>
    <w:p>
      <w:pPr>
        <w:spacing w:after="0" w:line="185" w:lineRule="exact"/>
        <w:rPr>
          <w:sz w:val="20"/>
          <w:szCs w:val="20"/>
          <w:color w:val="auto"/>
        </w:rPr>
      </w:pPr>
    </w:p>
    <w:p>
      <w:pPr>
        <w:jc w:val="both"/>
        <w:ind w:left="340" w:right="559"/>
        <w:spacing w:after="0" w:line="257" w:lineRule="auto"/>
        <w:rPr>
          <w:sz w:val="20"/>
          <w:szCs w:val="20"/>
          <w:color w:val="auto"/>
        </w:rPr>
      </w:pPr>
      <w:r>
        <w:rPr>
          <w:rFonts w:ascii="Arial" w:cs="Arial" w:eastAsia="Arial" w:hAnsi="Arial"/>
          <w:sz w:val="18"/>
          <w:szCs w:val="18"/>
          <w:color w:val="auto"/>
        </w:rPr>
        <w:t>Gross sales to the DIY/retail market decreased 12% in the first quarter of 2008 compared to 2007 primarily due to a 10% decrease in overall unit sales and a 2% decrease in overall selling prices. Unit sales declined due, in part, to the impact of the housing market. In addition, we believe unfavorable weather and our customer’s efforts to operate with lower inventory levels contributed to our decline in unit sales. These factors may cause demand for our products to shift to the second quarter, but we are cautious in our outlook for the economy and consumer spending.</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Site-Built Construction:</w:t>
      </w:r>
    </w:p>
    <w:p>
      <w:pPr>
        <w:spacing w:after="0" w:line="185" w:lineRule="exact"/>
        <w:rPr>
          <w:sz w:val="20"/>
          <w:szCs w:val="20"/>
          <w:color w:val="auto"/>
        </w:rPr>
      </w:pPr>
    </w:p>
    <w:p>
      <w:pPr>
        <w:jc w:val="both"/>
        <w:ind w:left="340" w:right="559"/>
        <w:spacing w:after="0" w:line="276" w:lineRule="auto"/>
        <w:rPr>
          <w:sz w:val="20"/>
          <w:szCs w:val="20"/>
          <w:color w:val="auto"/>
        </w:rPr>
      </w:pPr>
      <w:r>
        <w:rPr>
          <w:rFonts w:ascii="Arial" w:cs="Arial" w:eastAsia="Arial" w:hAnsi="Arial"/>
          <w:sz w:val="17"/>
          <w:szCs w:val="17"/>
          <w:color w:val="auto"/>
        </w:rPr>
        <w:t>Gross sales to the site-built construction market decreased 21% in the first quarter of 2008 compared to 2007 due to a 12% decrease in unit sales out of existing plants and a 9% decrease in our average selling prices primarily due to intense pricing pressure with other suppliers and a soft Lumber Market. National single-family housing starts were off a reported 39% from January through March of 2008 compared to the same period of 2007. We were able to mitigate the decrease in the single-family market by pursuing multi-family and light commercial business and increasing our turn-key framing activities.</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Industrial:</w:t>
      </w:r>
    </w:p>
    <w:p>
      <w:pPr>
        <w:spacing w:after="0" w:line="198" w:lineRule="exact"/>
        <w:rPr>
          <w:sz w:val="20"/>
          <w:szCs w:val="20"/>
          <w:color w:val="auto"/>
        </w:rPr>
      </w:pPr>
    </w:p>
    <w:p>
      <w:pPr>
        <w:jc w:val="both"/>
        <w:ind w:left="340" w:right="559"/>
        <w:spacing w:after="0" w:line="259" w:lineRule="auto"/>
        <w:rPr>
          <w:sz w:val="20"/>
          <w:szCs w:val="20"/>
          <w:color w:val="auto"/>
        </w:rPr>
      </w:pPr>
      <w:r>
        <w:rPr>
          <w:rFonts w:ascii="Arial" w:cs="Arial" w:eastAsia="Arial" w:hAnsi="Arial"/>
          <w:sz w:val="18"/>
          <w:szCs w:val="18"/>
          <w:color w:val="auto"/>
        </w:rPr>
        <w:t>Gross sales to the industrial market increased 5% in the first quarter of 2008 compared to the same period of 2008, due to a 12% increase in unit sales, partially offset by a 7% decrease in selling prices. Acquisitions and our continued focus on adding new customers, including concrete forming, helped us mitigate the effect of a decline in sales to certain of our customers that supply the housing market.</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Manufactured Housing:</w:t>
      </w:r>
    </w:p>
    <w:p>
      <w:pPr>
        <w:spacing w:after="0" w:line="185" w:lineRule="exact"/>
        <w:rPr>
          <w:sz w:val="20"/>
          <w:szCs w:val="20"/>
          <w:color w:val="auto"/>
        </w:rPr>
      </w:pPr>
    </w:p>
    <w:p>
      <w:pPr>
        <w:jc w:val="both"/>
        <w:ind w:left="340" w:right="559"/>
        <w:spacing w:after="0" w:line="276" w:lineRule="auto"/>
        <w:rPr>
          <w:sz w:val="20"/>
          <w:szCs w:val="20"/>
          <w:color w:val="auto"/>
        </w:rPr>
      </w:pPr>
      <w:r>
        <w:rPr>
          <w:rFonts w:ascii="Arial" w:cs="Arial" w:eastAsia="Arial" w:hAnsi="Arial"/>
          <w:sz w:val="17"/>
          <w:szCs w:val="17"/>
          <w:color w:val="auto"/>
        </w:rPr>
        <w:t>Gross sales to the manufactured housing market decreased 14% in the first quarter of 2008 compared to the same period of 2007, primarily due to a decrease in unit sales combined with a decrease in selling prices due to the Lumber Market. Our decline in unit sales from existing facilities was the result of an overall decline in industry production. While the industry most recently reported a slight increase in HUD code production for the quarter, we believe the modular market has experienced a decline in production consistent with the single-family site-built construction market.</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Value-Added and Commodity-Based Sales: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presents, for the periods indicated, our percentage of value-added and commodity-based sales to total sales.</w:t>
      </w:r>
    </w:p>
    <w:p>
      <w:pPr>
        <w:spacing w:after="0" w:line="248"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6760" w:type="dxa"/>
            <w:vAlign w:val="bottom"/>
          </w:tcPr>
          <w:p>
            <w:pPr>
              <w:spacing w:after="0"/>
              <w:rPr>
                <w:sz w:val="20"/>
                <w:szCs w:val="20"/>
                <w:color w:val="auto"/>
              </w:rPr>
            </w:pPr>
          </w:p>
        </w:tc>
        <w:tc>
          <w:tcPr>
            <w:tcW w:w="2560" w:type="dxa"/>
            <w:vAlign w:val="bottom"/>
            <w:gridSpan w:val="4"/>
          </w:tcPr>
          <w:p>
            <w:pPr>
              <w:jc w:val="right"/>
              <w:ind w:right="600"/>
              <w:spacing w:after="0"/>
              <w:rPr>
                <w:sz w:val="20"/>
                <w:szCs w:val="20"/>
                <w:color w:val="auto"/>
              </w:rPr>
            </w:pPr>
            <w:r>
              <w:rPr>
                <w:rFonts w:ascii="Arial" w:cs="Arial" w:eastAsia="Arial" w:hAnsi="Arial"/>
                <w:sz w:val="18"/>
                <w:szCs w:val="18"/>
                <w:color w:val="auto"/>
              </w:rPr>
              <w:t>Three Months Ended</w:t>
            </w:r>
          </w:p>
        </w:tc>
      </w:tr>
      <w:tr>
        <w:trPr>
          <w:trHeight w:val="195"/>
        </w:trPr>
        <w:tc>
          <w:tcPr>
            <w:tcW w:w="6760" w:type="dxa"/>
            <w:vAlign w:val="bottom"/>
          </w:tcPr>
          <w:p>
            <w:pPr>
              <w:spacing w:after="0"/>
              <w:rPr>
                <w:sz w:val="16"/>
                <w:szCs w:val="16"/>
                <w:color w:val="auto"/>
              </w:rPr>
            </w:pPr>
          </w:p>
        </w:tc>
        <w:tc>
          <w:tcPr>
            <w:tcW w:w="1400" w:type="dxa"/>
            <w:vAlign w:val="bottom"/>
            <w:tcBorders>
              <w:top w:val="single" w:sz="8" w:color="auto"/>
            </w:tcBorders>
            <w:gridSpan w:val="2"/>
          </w:tcPr>
          <w:p>
            <w:pPr>
              <w:jc w:val="center"/>
              <w:ind w:right="460"/>
              <w:spacing w:after="0" w:line="195" w:lineRule="exact"/>
              <w:rPr>
                <w:sz w:val="20"/>
                <w:szCs w:val="20"/>
                <w:color w:val="auto"/>
              </w:rPr>
            </w:pPr>
            <w:r>
              <w:rPr>
                <w:rFonts w:ascii="Arial" w:cs="Arial" w:eastAsia="Arial" w:hAnsi="Arial"/>
                <w:sz w:val="18"/>
                <w:szCs w:val="18"/>
                <w:color w:val="auto"/>
                <w:w w:val="92"/>
              </w:rPr>
              <w:t>March 29,</w:t>
            </w:r>
          </w:p>
        </w:tc>
        <w:tc>
          <w:tcPr>
            <w:tcW w:w="980" w:type="dxa"/>
            <w:vAlign w:val="bottom"/>
            <w:tcBorders>
              <w:top w:val="single" w:sz="8" w:color="auto"/>
            </w:tcBorders>
          </w:tcPr>
          <w:p>
            <w:pPr>
              <w:jc w:val="right"/>
              <w:ind w:right="30"/>
              <w:spacing w:after="0" w:line="195" w:lineRule="exact"/>
              <w:rPr>
                <w:sz w:val="20"/>
                <w:szCs w:val="20"/>
                <w:color w:val="auto"/>
              </w:rPr>
            </w:pPr>
            <w:r>
              <w:rPr>
                <w:rFonts w:ascii="Arial" w:cs="Arial" w:eastAsia="Arial" w:hAnsi="Arial"/>
                <w:sz w:val="18"/>
                <w:szCs w:val="18"/>
                <w:color w:val="auto"/>
              </w:rPr>
              <w:t>March 31,</w:t>
            </w:r>
          </w:p>
        </w:tc>
        <w:tc>
          <w:tcPr>
            <w:tcW w:w="180" w:type="dxa"/>
            <w:vAlign w:val="bottom"/>
          </w:tcPr>
          <w:p>
            <w:pPr>
              <w:spacing w:after="0"/>
              <w:rPr>
                <w:sz w:val="16"/>
                <w:szCs w:val="16"/>
                <w:color w:val="auto"/>
              </w:rPr>
            </w:pPr>
          </w:p>
        </w:tc>
      </w:tr>
      <w:tr>
        <w:trPr>
          <w:trHeight w:val="230"/>
        </w:trPr>
        <w:tc>
          <w:tcPr>
            <w:tcW w:w="6760" w:type="dxa"/>
            <w:vAlign w:val="bottom"/>
          </w:tcPr>
          <w:p>
            <w:pPr>
              <w:spacing w:after="0"/>
              <w:rPr>
                <w:sz w:val="20"/>
                <w:szCs w:val="20"/>
                <w:color w:val="auto"/>
              </w:rPr>
            </w:pPr>
          </w:p>
        </w:tc>
        <w:tc>
          <w:tcPr>
            <w:tcW w:w="9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2008</w:t>
            </w:r>
          </w:p>
        </w:tc>
        <w:tc>
          <w:tcPr>
            <w:tcW w:w="440" w:type="dxa"/>
            <w:vAlign w:val="bottom"/>
          </w:tcPr>
          <w:p>
            <w:pPr>
              <w:spacing w:after="0"/>
              <w:rPr>
                <w:sz w:val="20"/>
                <w:szCs w:val="20"/>
                <w:color w:val="auto"/>
              </w:rPr>
            </w:pPr>
          </w:p>
        </w:tc>
        <w:tc>
          <w:tcPr>
            <w:tcW w:w="9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2007</w:t>
            </w:r>
          </w:p>
        </w:tc>
        <w:tc>
          <w:tcPr>
            <w:tcW w:w="180" w:type="dxa"/>
            <w:vAlign w:val="bottom"/>
          </w:tcPr>
          <w:p>
            <w:pPr>
              <w:spacing w:after="0"/>
              <w:rPr>
                <w:sz w:val="20"/>
                <w:szCs w:val="20"/>
                <w:color w:val="auto"/>
              </w:rPr>
            </w:pPr>
          </w:p>
        </w:tc>
      </w:tr>
      <w:tr>
        <w:trPr>
          <w:trHeight w:val="210"/>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Value-Added</w:t>
            </w: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60.9%</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62.3%</w:t>
            </w:r>
          </w:p>
        </w:tc>
      </w:t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Commodity-Based</w:t>
            </w: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39.1%</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37.7%</w:t>
            </w:r>
          </w:p>
        </w:tc>
      </w:tr>
    </w:tbl>
    <w:p>
      <w:pPr>
        <w:spacing w:after="0" w:line="147" w:lineRule="exact"/>
        <w:rPr>
          <w:sz w:val="20"/>
          <w:szCs w:val="20"/>
          <w:color w:val="auto"/>
        </w:rPr>
      </w:pPr>
    </w:p>
    <w:p>
      <w:pPr>
        <w:jc w:val="both"/>
        <w:ind w:left="820" w:right="559" w:hanging="485"/>
        <w:spacing w:after="0" w:line="277" w:lineRule="auto"/>
        <w:rPr>
          <w:sz w:val="20"/>
          <w:szCs w:val="20"/>
          <w:color w:val="auto"/>
        </w:rPr>
      </w:pPr>
      <w:r>
        <w:rPr>
          <w:rFonts w:ascii="Arial" w:cs="Arial" w:eastAsia="Arial" w:hAnsi="Arial"/>
          <w:sz w:val="18"/>
          <w:szCs w:val="18"/>
          <w:color w:val="auto"/>
        </w:rPr>
        <w:t>Note: In the third quarter of 2007, we reviewed the classification of our product codes and made certain reclassifications. Prior year information has been restated to reflect these reclassifications.</w:t>
      </w:r>
    </w:p>
    <w:p>
      <w:pPr>
        <w:spacing w:after="0" w:line="200" w:lineRule="exact"/>
        <w:rPr>
          <w:sz w:val="20"/>
          <w:szCs w:val="20"/>
          <w:color w:val="auto"/>
        </w:rPr>
      </w:pPr>
    </w:p>
    <w:p>
      <w:pPr>
        <w:spacing w:after="0" w:line="3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UNIVERSAL FOREST PRODUCTS, INC.</w:t>
      </w:r>
    </w:p>
    <w:p>
      <w:pPr>
        <w:spacing w:after="0" w:line="202" w:lineRule="exact"/>
        <w:rPr>
          <w:sz w:val="20"/>
          <w:szCs w:val="20"/>
          <w:color w:val="auto"/>
        </w:rPr>
      </w:pPr>
    </w:p>
    <w:p>
      <w:pPr>
        <w:jc w:val="both"/>
        <w:ind w:left="340" w:right="559"/>
        <w:spacing w:after="0" w:line="257" w:lineRule="auto"/>
        <w:rPr>
          <w:sz w:val="20"/>
          <w:szCs w:val="20"/>
          <w:color w:val="auto"/>
        </w:rPr>
      </w:pPr>
      <w:r>
        <w:rPr>
          <w:rFonts w:ascii="Arial" w:cs="Arial" w:eastAsia="Arial" w:hAnsi="Arial"/>
          <w:sz w:val="18"/>
          <w:szCs w:val="18"/>
          <w:color w:val="auto"/>
        </w:rPr>
        <w:t>Value-added sales decreased 12% in the first quarter of 2008 compared to 2007, primarily due to decreased sales of trusses, wall panels, decking and railing, and engineered wood products, offset partially by increases in industrial packaging and related components and turn-key framing (i.e, installed) sales to site-built customers. Commodity-based sales decreased 7% comparing the first quarter of 2008 with the same period of 2007, primarily due to decreased sales of non-manufactured brite and other lumber.</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COST OF GOODS SOLD AND GROSS PROFIT</w:t>
      </w:r>
    </w:p>
    <w:p>
      <w:pPr>
        <w:spacing w:after="0" w:line="189" w:lineRule="exact"/>
        <w:rPr>
          <w:sz w:val="20"/>
          <w:szCs w:val="20"/>
          <w:color w:val="auto"/>
        </w:rPr>
      </w:pPr>
    </w:p>
    <w:p>
      <w:pPr>
        <w:jc w:val="both"/>
        <w:ind w:left="340" w:right="559"/>
        <w:spacing w:after="0" w:line="308" w:lineRule="auto"/>
        <w:rPr>
          <w:sz w:val="20"/>
          <w:szCs w:val="20"/>
          <w:color w:val="auto"/>
        </w:rPr>
      </w:pPr>
      <w:r>
        <w:rPr>
          <w:rFonts w:ascii="Arial" w:cs="Arial" w:eastAsia="Arial" w:hAnsi="Arial"/>
          <w:sz w:val="17"/>
          <w:szCs w:val="17"/>
          <w:color w:val="auto"/>
        </w:rPr>
        <w:t>Our gross profit percentage decreased to 11.2% from 13.4% and gross profit dollars decreased more than 25% comparing the first quarter of 2008 with the same period of 2007. The decline in our profitability was primarily due to a combination of:</w:t>
      </w:r>
    </w:p>
    <w:p>
      <w:pPr>
        <w:spacing w:after="0" w:line="120" w:lineRule="exact"/>
        <w:rPr>
          <w:sz w:val="20"/>
          <w:szCs w:val="20"/>
          <w:color w:val="auto"/>
        </w:rPr>
      </w:pPr>
    </w:p>
    <w:p>
      <w:pPr>
        <w:ind w:left="680" w:right="559" w:hanging="348"/>
        <w:spacing w:after="0" w:line="277" w:lineRule="auto"/>
        <w:tabs>
          <w:tab w:leader="none" w:pos="68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Price pressure in all of our markets but particularly in our site-built market, which reported a significant decline in gross margin.</w:t>
      </w:r>
    </w:p>
    <w:p>
      <w:pPr>
        <w:spacing w:after="0" w:line="102" w:lineRule="exact"/>
        <w:rPr>
          <w:rFonts w:ascii="Arial" w:cs="Arial" w:eastAsia="Arial" w:hAnsi="Arial"/>
          <w:sz w:val="18"/>
          <w:szCs w:val="18"/>
          <w:b w:val="1"/>
          <w:bCs w:val="1"/>
          <w:color w:val="auto"/>
        </w:rPr>
      </w:pPr>
    </w:p>
    <w:p>
      <w:pPr>
        <w:ind w:left="680" w:hanging="348"/>
        <w:spacing w:after="0"/>
        <w:tabs>
          <w:tab w:leader="none" w:pos="68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A combination of lower unit sales out of existing facilities and fixed manufacturing costs.</w:t>
      </w:r>
    </w:p>
    <w:p>
      <w:pPr>
        <w:spacing w:after="0" w:line="157" w:lineRule="exact"/>
        <w:rPr>
          <w:rFonts w:ascii="Arial" w:cs="Arial" w:eastAsia="Arial" w:hAnsi="Arial"/>
          <w:sz w:val="18"/>
          <w:szCs w:val="18"/>
          <w:b w:val="1"/>
          <w:bCs w:val="1"/>
          <w:color w:val="auto"/>
        </w:rPr>
      </w:pPr>
    </w:p>
    <w:p>
      <w:pPr>
        <w:ind w:left="680" w:hanging="348"/>
        <w:spacing w:after="0"/>
        <w:tabs>
          <w:tab w:leader="none" w:pos="68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Increased fuel costs.</w:t>
      </w:r>
    </w:p>
    <w:p>
      <w:pPr>
        <w:spacing w:after="0" w:line="157" w:lineRule="exact"/>
        <w:rPr>
          <w:rFonts w:ascii="Arial" w:cs="Arial" w:eastAsia="Arial" w:hAnsi="Arial"/>
          <w:sz w:val="18"/>
          <w:szCs w:val="18"/>
          <w:b w:val="1"/>
          <w:bCs w:val="1"/>
          <w:color w:val="auto"/>
        </w:rPr>
      </w:pPr>
    </w:p>
    <w:p>
      <w:pPr>
        <w:ind w:left="680" w:right="559" w:hanging="348"/>
        <w:spacing w:after="0" w:line="277" w:lineRule="auto"/>
        <w:tabs>
          <w:tab w:leader="none" w:pos="68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A change in sales mix whereby historically higher margin engineered wood components sold to site-built customers comprised a lower percentage of our sales this quarter.</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189" w:lineRule="exact"/>
        <w:rPr>
          <w:sz w:val="20"/>
          <w:szCs w:val="20"/>
          <w:color w:val="auto"/>
        </w:rPr>
      </w:pPr>
    </w:p>
    <w:p>
      <w:pPr>
        <w:jc w:val="both"/>
        <w:ind w:left="340" w:right="559"/>
        <w:spacing w:after="0" w:line="273" w:lineRule="auto"/>
        <w:rPr>
          <w:sz w:val="20"/>
          <w:szCs w:val="20"/>
          <w:color w:val="auto"/>
        </w:rPr>
      </w:pPr>
      <w:r>
        <w:rPr>
          <w:rFonts w:ascii="Arial" w:cs="Arial" w:eastAsia="Arial" w:hAnsi="Arial"/>
          <w:sz w:val="17"/>
          <w:szCs w:val="17"/>
          <w:color w:val="auto"/>
        </w:rPr>
        <w:t>Selling, general and administrative (“SG&amp;A”) expenses decreased by approximately $4 million, or 6%, in the first quarter of 2008 compared to the same period of 2007, while we reported a 5% decrease in unit sales. Existing facilities and operations we closed in 2007 decreased SG&amp;A expenses by approximately $5 million, while business acquisitions added $1 million in SG&amp;A expenses. The decreases in SG&amp;A expenses at our existing facilities were primarily due to a decline in wages due to a reduction in headcount and a decrease in accrued bonus expense, which is tied to operating profits and return on investment. These decreases were partially offset by increases in legal fees and severance costs.</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INTEREST, NET</w:t>
      </w:r>
    </w:p>
    <w:p>
      <w:pPr>
        <w:spacing w:after="0" w:line="189" w:lineRule="exact"/>
        <w:rPr>
          <w:sz w:val="20"/>
          <w:szCs w:val="20"/>
          <w:color w:val="auto"/>
        </w:rPr>
      </w:pPr>
    </w:p>
    <w:p>
      <w:pPr>
        <w:jc w:val="both"/>
        <w:ind w:left="340" w:right="559"/>
        <w:spacing w:after="0" w:line="277" w:lineRule="auto"/>
        <w:rPr>
          <w:sz w:val="20"/>
          <w:szCs w:val="20"/>
          <w:color w:val="auto"/>
        </w:rPr>
      </w:pPr>
      <w:r>
        <w:rPr>
          <w:rFonts w:ascii="Arial" w:cs="Arial" w:eastAsia="Arial" w:hAnsi="Arial"/>
          <w:sz w:val="18"/>
          <w:szCs w:val="18"/>
          <w:color w:val="auto"/>
        </w:rPr>
        <w:t>Net interest costs were lower in the first quarter of 2008 compared to the same period of 2007 due to lower debt balances combined with a decrease in short-term interest rates.</w:t>
      </w:r>
    </w:p>
    <w:p>
      <w:pPr>
        <w:spacing w:after="0" w:line="200" w:lineRule="exact"/>
        <w:rPr>
          <w:sz w:val="20"/>
          <w:szCs w:val="20"/>
          <w:color w:val="auto"/>
        </w:rPr>
      </w:pPr>
    </w:p>
    <w:p>
      <w:pPr>
        <w:spacing w:after="0" w:line="3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UNIVERSAL FOREST PRODUCTS, INC.</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INCOME TAXES</w:t>
      </w:r>
    </w:p>
    <w:p>
      <w:pPr>
        <w:spacing w:after="0" w:line="189" w:lineRule="exact"/>
        <w:rPr>
          <w:sz w:val="20"/>
          <w:szCs w:val="20"/>
          <w:color w:val="auto"/>
        </w:rPr>
      </w:pPr>
    </w:p>
    <w:p>
      <w:pPr>
        <w:jc w:val="both"/>
        <w:ind w:left="340" w:right="559"/>
        <w:spacing w:after="0" w:line="259" w:lineRule="auto"/>
        <w:rPr>
          <w:sz w:val="20"/>
          <w:szCs w:val="20"/>
          <w:color w:val="auto"/>
        </w:rPr>
      </w:pPr>
      <w:r>
        <w:rPr>
          <w:rFonts w:ascii="Arial" w:cs="Arial" w:eastAsia="Arial" w:hAnsi="Arial"/>
          <w:sz w:val="18"/>
          <w:szCs w:val="18"/>
          <w:color w:val="auto"/>
        </w:rPr>
        <w:t>Effective tax rates differ from statutory federal income tax rates, primarily due to provisions for state and local income taxes and permanent tax differences. Our effective tax rate was a 43.2% credit in the first quarter of 2008. This year’s tax rate was impacted by the research &amp; development tax credit which is still awaiting legislative approval for 2007 and a tax benefit from foreclosing on a note receivable from a joint venture.</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ACCOUNTING FOR UNCERTAINTY IN INCOME TAXES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Notes to Consolidated Condensed Financial Statements, Note I, “Accounting for Uncertainty in Income Taxes.”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OFF-BALANCE SHEET TRANSACTIONS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no significant off-balance sheet transactions other than operating leases.</w:t>
      </w:r>
    </w:p>
    <w:p>
      <w:pPr>
        <w:spacing w:after="0" w:line="194"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LIQUIDITY AND CAPITAL RESOURCES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presents, for the periods indicated, a summary of our cash flow statement (in thousands):</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6560" w:type="dxa"/>
            <w:vAlign w:val="bottom"/>
          </w:tcPr>
          <w:p>
            <w:pPr>
              <w:spacing w:after="0"/>
              <w:rPr>
                <w:sz w:val="20"/>
                <w:szCs w:val="20"/>
                <w:color w:val="auto"/>
              </w:rPr>
            </w:pPr>
          </w:p>
        </w:tc>
        <w:tc>
          <w:tcPr>
            <w:tcW w:w="1500" w:type="dxa"/>
            <w:vAlign w:val="bottom"/>
            <w:gridSpan w:val="4"/>
          </w:tcPr>
          <w:p>
            <w:pPr>
              <w:spacing w:after="0"/>
              <w:rPr>
                <w:sz w:val="20"/>
                <w:szCs w:val="20"/>
                <w:color w:val="auto"/>
              </w:rPr>
            </w:pPr>
            <w:r>
              <w:rPr>
                <w:rFonts w:ascii="Arial" w:cs="Arial" w:eastAsia="Arial" w:hAnsi="Arial"/>
                <w:sz w:val="18"/>
                <w:szCs w:val="18"/>
                <w:color w:val="auto"/>
              </w:rPr>
              <w:t>March 29, 2008</w:t>
            </w:r>
          </w:p>
        </w:tc>
        <w:tc>
          <w:tcPr>
            <w:tcW w:w="1260" w:type="dxa"/>
            <w:vAlign w:val="bottom"/>
            <w:gridSpan w:val="3"/>
          </w:tcPr>
          <w:p>
            <w:pPr>
              <w:ind w:left="20"/>
              <w:spacing w:after="0"/>
              <w:rPr>
                <w:sz w:val="20"/>
                <w:szCs w:val="20"/>
                <w:color w:val="auto"/>
              </w:rPr>
            </w:pPr>
            <w:r>
              <w:rPr>
                <w:rFonts w:ascii="Arial" w:cs="Arial" w:eastAsia="Arial" w:hAnsi="Arial"/>
                <w:sz w:val="18"/>
                <w:szCs w:val="18"/>
                <w:color w:val="auto"/>
                <w:w w:val="97"/>
              </w:rPr>
              <w:t>March 31, 2007</w:t>
            </w:r>
          </w:p>
        </w:tc>
      </w:tr>
      <w:tr>
        <w:trPr>
          <w:trHeight w:val="210"/>
        </w:trPr>
        <w:tc>
          <w:tcPr>
            <w:tcW w:w="65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Cash from operating activities</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(5,383)</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(27,568)</w:t>
            </w: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Cash from investing activities</w:t>
            </w:r>
          </w:p>
        </w:tc>
        <w:tc>
          <w:tcPr>
            <w:tcW w:w="34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6,481</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(62,929)</w:t>
            </w: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Cash from financing activities</w:t>
            </w:r>
          </w:p>
        </w:tc>
        <w:tc>
          <w:tcPr>
            <w:tcW w:w="34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(11,119)</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83,413</w:t>
            </w:r>
          </w:p>
        </w:tc>
      </w:tr>
      <w:tr>
        <w:trPr>
          <w:trHeight w:val="223"/>
        </w:trPr>
        <w:tc>
          <w:tcPr>
            <w:tcW w:w="6560" w:type="dxa"/>
            <w:vAlign w:val="bottom"/>
          </w:tcPr>
          <w:p>
            <w:pPr>
              <w:spacing w:after="0"/>
              <w:rPr>
                <w:sz w:val="20"/>
                <w:szCs w:val="20"/>
                <w:color w:val="auto"/>
              </w:rPr>
            </w:pPr>
            <w:r>
              <w:rPr>
                <w:rFonts w:ascii="Arial" w:cs="Arial" w:eastAsia="Arial" w:hAnsi="Arial"/>
                <w:sz w:val="18"/>
                <w:szCs w:val="18"/>
                <w:color w:val="auto"/>
              </w:rPr>
              <w:t>Net change in cash and cash equivalents</w:t>
            </w:r>
          </w:p>
        </w:tc>
        <w:tc>
          <w:tcPr>
            <w:tcW w:w="3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(10,021)</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(7,084)</w:t>
            </w:r>
          </w:p>
        </w:tc>
        <w:tc>
          <w:tcPr>
            <w:tcW w:w="100" w:type="dxa"/>
            <w:vAlign w:val="bottom"/>
          </w:tcPr>
          <w:p>
            <w:pPr>
              <w:spacing w:after="0"/>
              <w:rPr>
                <w:sz w:val="19"/>
                <w:szCs w:val="19"/>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43,605</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51,108</w:t>
            </w:r>
          </w:p>
        </w:tc>
      </w:tr>
      <w:tr>
        <w:trPr>
          <w:trHeight w:val="223"/>
        </w:trPr>
        <w:tc>
          <w:tcPr>
            <w:tcW w:w="6560" w:type="dxa"/>
            <w:vAlign w:val="bottom"/>
          </w:tcPr>
          <w:p>
            <w:pPr>
              <w:spacing w:after="0"/>
              <w:rPr>
                <w:sz w:val="20"/>
                <w:szCs w:val="20"/>
                <w:color w:val="auto"/>
              </w:rPr>
            </w:pPr>
            <w:r>
              <w:rPr>
                <w:rFonts w:ascii="Arial" w:cs="Arial" w:eastAsia="Arial" w:hAnsi="Arial"/>
                <w:sz w:val="18"/>
                <w:szCs w:val="18"/>
                <w:color w:val="auto"/>
              </w:rPr>
              <w:t>Cash and cash equivalents, end of period</w:t>
            </w:r>
          </w:p>
        </w:tc>
        <w:tc>
          <w:tcPr>
            <w:tcW w:w="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33,584</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44,024</w:t>
            </w:r>
          </w:p>
        </w:tc>
        <w:tc>
          <w:tcPr>
            <w:tcW w:w="100" w:type="dxa"/>
            <w:vAlign w:val="bottom"/>
          </w:tcPr>
          <w:p>
            <w:pPr>
              <w:spacing w:after="0"/>
              <w:rPr>
                <w:sz w:val="19"/>
                <w:szCs w:val="19"/>
                <w:color w:val="auto"/>
              </w:rPr>
            </w:pPr>
          </w:p>
        </w:tc>
      </w:tr>
      <w:tr>
        <w:trPr>
          <w:trHeight w:val="20"/>
        </w:trPr>
        <w:tc>
          <w:tcPr>
            <w:tcW w:w="65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559"/>
        <w:spacing w:after="0" w:line="255" w:lineRule="auto"/>
        <w:rPr>
          <w:sz w:val="20"/>
          <w:szCs w:val="20"/>
          <w:color w:val="auto"/>
        </w:rPr>
      </w:pPr>
      <w:r>
        <w:rPr>
          <w:rFonts w:ascii="Arial" w:cs="Arial" w:eastAsia="Arial" w:hAnsi="Arial"/>
          <w:sz w:val="18"/>
          <w:szCs w:val="18"/>
          <w:color w:val="auto"/>
        </w:rPr>
        <w:t>In general, we financed our growth in the past through a combination of operating cash flows, our revolving credit facility, industrial development bonds (when circumstances permit), and issuance of long-term notes payable at times when interest rates are favorable. We have not issued equity to finance growth except in the case of a large acquisition. We manage our capital structure by attempting to maintain a targeted ratio of debt to equity and debt to earnings before interest, taxes, depreciation and amortization. We believe this is one of many important factors to maintaining a strong credit profile, which in turn helps ensure timely access to capital when needed.</w:t>
      </w:r>
    </w:p>
    <w:p>
      <w:pPr>
        <w:spacing w:after="0" w:line="166" w:lineRule="exact"/>
        <w:rPr>
          <w:sz w:val="20"/>
          <w:szCs w:val="20"/>
          <w:color w:val="auto"/>
        </w:rPr>
      </w:pPr>
    </w:p>
    <w:p>
      <w:pPr>
        <w:jc w:val="both"/>
        <w:ind w:left="340" w:right="559"/>
        <w:spacing w:after="0" w:line="257" w:lineRule="auto"/>
        <w:rPr>
          <w:sz w:val="20"/>
          <w:szCs w:val="20"/>
          <w:color w:val="auto"/>
        </w:rPr>
      </w:pPr>
      <w:r>
        <w:rPr>
          <w:rFonts w:ascii="Arial" w:cs="Arial" w:eastAsia="Arial" w:hAnsi="Arial"/>
          <w:sz w:val="18"/>
          <w:szCs w:val="18"/>
          <w:color w:val="auto"/>
        </w:rPr>
        <w:t>Seasonality has a significant impact on our working capital from March to August which historically resulted in negative or modest cash flows from operations in our first and second quarters. Conversely, we experience a substantial decrease in working capital from September to February which results in significant cash flow from operations in our third and fourth quarters. For comparative purposes, we have included the March 31, 2007 balances in the accompanying unaudited consolidated condensed balance sheets.</w:t>
      </w:r>
    </w:p>
    <w:p>
      <w:pPr>
        <w:spacing w:after="0" w:line="200" w:lineRule="exact"/>
        <w:rPr>
          <w:sz w:val="20"/>
          <w:szCs w:val="20"/>
          <w:color w:val="auto"/>
        </w:rPr>
      </w:pPr>
    </w:p>
    <w:p>
      <w:pPr>
        <w:spacing w:after="0" w:line="33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UNIVERSAL FOREST PRODUCTS, INC.</w:t>
      </w:r>
    </w:p>
    <w:p>
      <w:pPr>
        <w:spacing w:after="0" w:line="202" w:lineRule="exact"/>
        <w:rPr>
          <w:sz w:val="20"/>
          <w:szCs w:val="20"/>
          <w:color w:val="auto"/>
        </w:rPr>
      </w:pPr>
    </w:p>
    <w:p>
      <w:pPr>
        <w:jc w:val="both"/>
        <w:ind w:left="340" w:right="559"/>
        <w:spacing w:after="0" w:line="290" w:lineRule="auto"/>
        <w:rPr>
          <w:sz w:val="20"/>
          <w:szCs w:val="20"/>
          <w:color w:val="auto"/>
        </w:rPr>
      </w:pPr>
      <w:r>
        <w:rPr>
          <w:rFonts w:ascii="Arial" w:cs="Arial" w:eastAsia="Arial" w:hAnsi="Arial"/>
          <w:sz w:val="16"/>
          <w:szCs w:val="16"/>
          <w:color w:val="auto"/>
        </w:rPr>
        <w:t>Due to the seasonality of our business and the effects of the Lumber Market, we believe our cash cycle (days of sales outstanding plus days supply of inventory less days payables outstanding) is a good indicator of our working capital management. Our cash cycle (excluding the impact of our sale of receivables program) increased to 55 days in the first three months of 2008 from 51 days in the first three months of 2007, due to a 2 day increase in our days of sales outstanding, a 1 day increase in our days supply of inventory, and a 1 day decrease in our days payables outstanding. The increase in our days of sales outstanding was primarily due to slower payments with certain site-built customers and a change in sales mix whereby the industrial market, which has a comparatively longer receivables cycle, comprises a higher percentage of our sales. Additionally, our inventory levels were higher than required due to the soft sales experienced during the quarter.</w:t>
      </w:r>
    </w:p>
    <w:p>
      <w:pPr>
        <w:spacing w:after="0" w:line="126" w:lineRule="exact"/>
        <w:rPr>
          <w:sz w:val="20"/>
          <w:szCs w:val="20"/>
          <w:color w:val="auto"/>
        </w:rPr>
      </w:pPr>
    </w:p>
    <w:p>
      <w:pPr>
        <w:jc w:val="both"/>
        <w:ind w:left="340" w:right="559"/>
        <w:spacing w:after="0" w:line="312" w:lineRule="auto"/>
        <w:rPr>
          <w:sz w:val="20"/>
          <w:szCs w:val="20"/>
          <w:color w:val="auto"/>
        </w:rPr>
      </w:pPr>
      <w:r>
        <w:rPr>
          <w:rFonts w:ascii="Arial" w:cs="Arial" w:eastAsia="Arial" w:hAnsi="Arial"/>
          <w:sz w:val="16"/>
          <w:szCs w:val="16"/>
          <w:color w:val="auto"/>
        </w:rPr>
        <w:t>Cash used in operating activities was approximately $5 million in the first three months of 2008. Our net loss of $4.6 million included $12.5 million of non-cash expenses, which were offset by a $13.3 million increase in working capital. Working capital increases were primarily due to the increase in our receivables cycle and seasonal increases and our receivables and inventory.</w:t>
      </w:r>
    </w:p>
    <w:p>
      <w:pPr>
        <w:spacing w:after="0" w:line="106" w:lineRule="exact"/>
        <w:rPr>
          <w:sz w:val="20"/>
          <w:szCs w:val="20"/>
          <w:color w:val="auto"/>
        </w:rPr>
      </w:pPr>
    </w:p>
    <w:p>
      <w:pPr>
        <w:jc w:val="both"/>
        <w:ind w:left="340" w:right="559"/>
        <w:spacing w:after="0" w:line="312" w:lineRule="auto"/>
        <w:rPr>
          <w:sz w:val="20"/>
          <w:szCs w:val="20"/>
          <w:color w:val="auto"/>
        </w:rPr>
      </w:pPr>
      <w:r>
        <w:rPr>
          <w:rFonts w:ascii="Arial" w:cs="Arial" w:eastAsia="Arial" w:hAnsi="Arial"/>
          <w:sz w:val="16"/>
          <w:szCs w:val="16"/>
          <w:color w:val="auto"/>
        </w:rPr>
        <w:t>We currently plan to spend up to $25 million on capital expenditures in 2008, which includes outstanding purchase commitments on existing capital projects totaling approximately $3.3 million on March 29, 2008. We intend to fund capital expenditures and purchase commitments through a combination of operating cash flows and availability under our revolving credit facility.</w:t>
      </w:r>
    </w:p>
    <w:p>
      <w:pPr>
        <w:spacing w:after="0" w:line="120" w:lineRule="exact"/>
        <w:rPr>
          <w:sz w:val="20"/>
          <w:szCs w:val="20"/>
          <w:color w:val="auto"/>
        </w:rPr>
      </w:pPr>
    </w:p>
    <w:p>
      <w:pPr>
        <w:jc w:val="both"/>
        <w:ind w:left="340" w:right="559"/>
        <w:spacing w:after="0" w:line="297" w:lineRule="auto"/>
        <w:rPr>
          <w:sz w:val="20"/>
          <w:szCs w:val="20"/>
          <w:color w:val="auto"/>
        </w:rPr>
      </w:pPr>
      <w:r>
        <w:rPr>
          <w:rFonts w:ascii="Arial" w:cs="Arial" w:eastAsia="Arial" w:hAnsi="Arial"/>
          <w:sz w:val="16"/>
          <w:szCs w:val="16"/>
          <w:color w:val="auto"/>
        </w:rPr>
        <w:t>On March 29, 2008, we had approximately $44 million outstanding on our $300 million revolving credit facility. The revolving credit facility also supports letters of credit totaling approximately $31 million on March 29, 2008. Financial covenants on the unsecured revolving credit facility and unsecured notes include a minimum net worth requirement, minimum interest and fixed charge coverage tests, and a maximum leverage ratio. The agreements also restrict the amount of additional indebtedness we may incur and the amount of assets which may be sold. We were within all of our lending requirements on March 29, 2008.</w:t>
      </w:r>
    </w:p>
    <w:p>
      <w:pPr>
        <w:spacing w:after="0" w:line="200" w:lineRule="exact"/>
        <w:rPr>
          <w:sz w:val="20"/>
          <w:szCs w:val="20"/>
          <w:color w:val="auto"/>
        </w:rPr>
      </w:pPr>
    </w:p>
    <w:p>
      <w:pPr>
        <w:spacing w:after="0" w:line="30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UNIVERSAL FOREST PRODUCTS, INC.</w:t>
      </w:r>
    </w:p>
    <w:p>
      <w:pPr>
        <w:spacing w:after="0" w:line="198" w:lineRule="exact"/>
        <w:rPr>
          <w:sz w:val="20"/>
          <w:szCs w:val="20"/>
          <w:color w:val="auto"/>
        </w:rPr>
      </w:pPr>
    </w:p>
    <w:p>
      <w:pPr>
        <w:ind w:left="2460"/>
        <w:spacing w:after="0"/>
        <w:rPr>
          <w:sz w:val="20"/>
          <w:szCs w:val="20"/>
          <w:color w:val="auto"/>
        </w:rPr>
      </w:pPr>
      <w:r>
        <w:rPr>
          <w:rFonts w:ascii="Arial" w:cs="Arial" w:eastAsia="Arial" w:hAnsi="Arial"/>
          <w:sz w:val="18"/>
          <w:szCs w:val="18"/>
          <w:b w:val="1"/>
          <w:bCs w:val="1"/>
          <w:color w:val="auto"/>
        </w:rPr>
        <w:t>ENVIRONMENTAL CONSIDERATIONS AND REGULATIONS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See Notes to Consolidated Condensed Financial Statements, Note H, “Commitments, Contingencies, and Guarantees.”</w:t>
      </w:r>
    </w:p>
    <w:p>
      <w:pPr>
        <w:spacing w:after="0" w:line="192"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CRITICAL ACCOUNTING POLICIES</w:t>
      </w:r>
    </w:p>
    <w:p>
      <w:pPr>
        <w:spacing w:after="0" w:line="202" w:lineRule="exact"/>
        <w:rPr>
          <w:sz w:val="20"/>
          <w:szCs w:val="20"/>
          <w:color w:val="auto"/>
        </w:rPr>
      </w:pPr>
    </w:p>
    <w:p>
      <w:pPr>
        <w:jc w:val="both"/>
        <w:ind w:left="340" w:right="559"/>
        <w:spacing w:after="0" w:line="259" w:lineRule="auto"/>
        <w:rPr>
          <w:sz w:val="20"/>
          <w:szCs w:val="20"/>
          <w:color w:val="auto"/>
        </w:rPr>
      </w:pPr>
      <w:r>
        <w:rPr>
          <w:rFonts w:ascii="Arial" w:cs="Arial" w:eastAsia="Arial" w:hAnsi="Arial"/>
          <w:sz w:val="18"/>
          <w:szCs w:val="18"/>
          <w:color w:val="auto"/>
        </w:rPr>
        <w:t>In preparing our consolidated financial statements, we follow accounting principles generally accepted in the United States. These principles require us to make certain estimates and apply judgments that affect our financial position and results of operations. We continually review our accounting policies and financial information disclosures. There have been no material changes in our policies or estimates since December 29, 2007.</w:t>
      </w:r>
    </w:p>
    <w:p>
      <w:pPr>
        <w:spacing w:after="0" w:line="200" w:lineRule="exact"/>
        <w:rPr>
          <w:sz w:val="20"/>
          <w:szCs w:val="20"/>
          <w:color w:val="auto"/>
        </w:rPr>
      </w:pPr>
    </w:p>
    <w:p>
      <w:pPr>
        <w:spacing w:after="0" w:line="33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UNIVERSAL FOREST PRODUCTS, INC.</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Item 3. Quantitative and Qualitative Disclosures about Market Risk</w:t>
      </w:r>
      <w:r>
        <w:rPr>
          <w:rFonts w:ascii="Arial" w:cs="Arial" w:eastAsia="Arial" w:hAnsi="Arial"/>
          <w:sz w:val="18"/>
          <w:szCs w:val="18"/>
          <w:color w:val="auto"/>
        </w:rPr>
        <w:t>.</w:t>
      </w:r>
    </w:p>
    <w:p>
      <w:pPr>
        <w:spacing w:after="0" w:line="185"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color w:val="auto"/>
        </w:rPr>
        <w:t>We are exposed to market risks related to fluctuations in interest rates on our variable rate debt, which consists of a revolving credit facility and industrial development revenue bonds. We do not currently use interest rate swaps, futures contracts or options on futures, or other types of derivative financial instruments to mitigate this risk.</w:t>
      </w:r>
    </w:p>
    <w:p>
      <w:pPr>
        <w:spacing w:after="0" w:line="141" w:lineRule="exact"/>
        <w:rPr>
          <w:sz w:val="20"/>
          <w:szCs w:val="20"/>
          <w:color w:val="auto"/>
        </w:rPr>
      </w:pPr>
    </w:p>
    <w:p>
      <w:pPr>
        <w:jc w:val="both"/>
        <w:ind w:left="340" w:right="559"/>
        <w:spacing w:after="0" w:line="302" w:lineRule="auto"/>
        <w:rPr>
          <w:sz w:val="20"/>
          <w:szCs w:val="20"/>
          <w:color w:val="auto"/>
        </w:rPr>
      </w:pPr>
      <w:r>
        <w:rPr>
          <w:rFonts w:ascii="Arial" w:cs="Arial" w:eastAsia="Arial" w:hAnsi="Arial"/>
          <w:sz w:val="16"/>
          <w:szCs w:val="16"/>
          <w:color w:val="auto"/>
        </w:rPr>
        <w:t>For fixed rate debt, changes in interest rates generally affect the fair market value, but not earnings or cash flows. Conversely, for variable rate debt, changes in interest rates generally do not influence fair market value, but do affect future earnings and cash flows. We do not have an obligation to prepay fixed rate debt prior to maturity, and as a result, interest rate risk and changes in fair market value should not have a significant impact on such debt until we would be required to refinance it.</w:t>
      </w:r>
    </w:p>
    <w:p>
      <w:pPr>
        <w:spacing w:after="0" w:line="200" w:lineRule="exact"/>
        <w:rPr>
          <w:sz w:val="20"/>
          <w:szCs w:val="20"/>
          <w:color w:val="auto"/>
        </w:rPr>
      </w:pPr>
    </w:p>
    <w:p>
      <w:pPr>
        <w:spacing w:after="0" w:line="3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UNIVERSAL FOREST PRODUCTS, INC.</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Item 4. Controls and Procedures</w:t>
      </w:r>
      <w:r>
        <w:rPr>
          <w:rFonts w:ascii="Arial" w:cs="Arial" w:eastAsia="Arial" w:hAnsi="Arial"/>
          <w:sz w:val="18"/>
          <w:szCs w:val="18"/>
          <w:color w:val="auto"/>
        </w:rPr>
        <w:t>.</w:t>
      </w:r>
    </w:p>
    <w:p>
      <w:pPr>
        <w:spacing w:after="0" w:line="185" w:lineRule="exact"/>
        <w:rPr>
          <w:sz w:val="20"/>
          <w:szCs w:val="20"/>
          <w:color w:val="auto"/>
        </w:rPr>
      </w:pPr>
    </w:p>
    <w:p>
      <w:pPr>
        <w:jc w:val="both"/>
        <w:ind w:left="680" w:right="559" w:hanging="348"/>
        <w:spacing w:after="0" w:line="259" w:lineRule="auto"/>
        <w:tabs>
          <w:tab w:leader="none" w:pos="68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Evaluation of Disclosure Controls and Procedures</w:t>
      </w:r>
      <w:r>
        <w:rPr>
          <w:rFonts w:ascii="Arial" w:cs="Arial" w:eastAsia="Arial" w:hAnsi="Arial"/>
          <w:sz w:val="18"/>
          <w:szCs w:val="18"/>
          <w:color w:val="auto"/>
        </w:rPr>
        <w:t>. With the participation of management, our chief executive officer and chief financial officer, after evaluating the effectiveness of our disclosure controls and procedures (as defined in Exchange Act Rules 13a — 15e and 15d — 15e) as of the quarter ended March 29, 2008 (the “Evaluation Date”), have concluded that, as of such date, our disclosure controls and procedures were effective.</w:t>
      </w:r>
    </w:p>
    <w:p>
      <w:pPr>
        <w:spacing w:after="0" w:line="119" w:lineRule="exact"/>
        <w:rPr>
          <w:rFonts w:ascii="Arial" w:cs="Arial" w:eastAsia="Arial" w:hAnsi="Arial"/>
          <w:sz w:val="18"/>
          <w:szCs w:val="18"/>
          <w:color w:val="auto"/>
        </w:rPr>
      </w:pPr>
    </w:p>
    <w:p>
      <w:pPr>
        <w:jc w:val="both"/>
        <w:ind w:left="680" w:right="559" w:hanging="348"/>
        <w:spacing w:after="0" w:line="264" w:lineRule="auto"/>
        <w:tabs>
          <w:tab w:leader="none" w:pos="68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Changes in Internal Controls</w:t>
      </w:r>
      <w:r>
        <w:rPr>
          <w:rFonts w:ascii="Arial" w:cs="Arial" w:eastAsia="Arial" w:hAnsi="Arial"/>
          <w:sz w:val="18"/>
          <w:szCs w:val="18"/>
          <w:color w:val="auto"/>
        </w:rPr>
        <w:t>. During the first quarter ended March 29, 2008, there were no changes in our internal control over financial reporting that materially affected, or is reasonably likely to materially affect, our internal control over financial reporting.</w:t>
      </w:r>
    </w:p>
    <w:p>
      <w:pPr>
        <w:spacing w:after="0" w:line="200" w:lineRule="exact"/>
        <w:rPr>
          <w:sz w:val="20"/>
          <w:szCs w:val="20"/>
          <w:color w:val="auto"/>
        </w:rPr>
      </w:pPr>
    </w:p>
    <w:p>
      <w:pPr>
        <w:spacing w:after="0" w:line="34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UNIVERSAL FOREST PRODUCTS, INC.</w:t>
      </w:r>
    </w:p>
    <w:p>
      <w:pPr>
        <w:spacing w:after="0" w:line="198"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PART II. OTHER INFORMATION</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Item 2. Unregistered Sales of Equity Securities and Use of Proceeds</w:t>
      </w:r>
      <w:r>
        <w:rPr>
          <w:rFonts w:ascii="Arial" w:cs="Arial" w:eastAsia="Arial" w:hAnsi="Arial"/>
          <w:sz w:val="18"/>
          <w:szCs w:val="18"/>
          <w:color w:val="auto"/>
        </w:rPr>
        <w:t>.</w:t>
      </w:r>
    </w:p>
    <w:p>
      <w:pPr>
        <w:spacing w:after="0" w:line="185" w:lineRule="exact"/>
        <w:rPr>
          <w:sz w:val="20"/>
          <w:szCs w:val="20"/>
          <w:color w:val="auto"/>
        </w:rPr>
      </w:pPr>
    </w:p>
    <w:p>
      <w:pPr>
        <w:ind w:left="340"/>
        <w:spacing w:after="0"/>
        <w:tabs>
          <w:tab w:leader="none" w:pos="66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None.</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  None.</w:t>
      </w:r>
    </w:p>
    <w:p>
      <w:pPr>
        <w:spacing w:after="0" w:line="158" w:lineRule="exact"/>
        <w:rPr>
          <w:sz w:val="20"/>
          <w:szCs w:val="20"/>
          <w:color w:val="auto"/>
        </w:rPr>
      </w:pPr>
    </w:p>
    <w:p>
      <w:pPr>
        <w:ind w:left="340"/>
        <w:spacing w:after="0"/>
        <w:tabs>
          <w:tab w:leader="none" w:pos="660" w:val="left"/>
        </w:tabs>
        <w:rPr>
          <w:sz w:val="20"/>
          <w:szCs w:val="20"/>
          <w:color w:val="auto"/>
        </w:rPr>
      </w:pPr>
      <w:r>
        <w:rPr>
          <w:rFonts w:ascii="Arial" w:cs="Arial" w:eastAsia="Arial" w:hAnsi="Arial"/>
          <w:sz w:val="18"/>
          <w:szCs w:val="18"/>
          <w:color w:val="auto"/>
        </w:rPr>
        <w:t>(c)</w:t>
      </w:r>
      <w:r>
        <w:rPr>
          <w:sz w:val="20"/>
          <w:szCs w:val="20"/>
          <w:color w:val="auto"/>
        </w:rPr>
        <w:tab/>
      </w:r>
      <w:r>
        <w:rPr>
          <w:rFonts w:ascii="Arial" w:cs="Arial" w:eastAsia="Arial" w:hAnsi="Arial"/>
          <w:sz w:val="16"/>
          <w:szCs w:val="16"/>
          <w:color w:val="auto"/>
        </w:rPr>
        <w:t>Issuer purchases of equity securities.</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Fiscal Month</w:t>
            </w:r>
          </w:p>
        </w:tc>
        <w:tc>
          <w:tcPr>
            <w:tcW w:w="280" w:type="dxa"/>
            <w:vAlign w:val="bottom"/>
          </w:tcPr>
          <w:p>
            <w:pPr>
              <w:spacing w:after="0"/>
              <w:rPr>
                <w:sz w:val="20"/>
                <w:szCs w:val="20"/>
                <w:color w:val="auto"/>
              </w:rPr>
            </w:pPr>
          </w:p>
        </w:tc>
        <w:tc>
          <w:tcPr>
            <w:tcW w:w="1320" w:type="dxa"/>
            <w:vAlign w:val="bottom"/>
            <w:gridSpan w:val="2"/>
          </w:tcPr>
          <w:p>
            <w:pPr>
              <w:ind w:left="360"/>
              <w:spacing w:after="0"/>
              <w:rPr>
                <w:sz w:val="20"/>
                <w:szCs w:val="20"/>
                <w:color w:val="auto"/>
              </w:rPr>
            </w:pPr>
            <w:r>
              <w:rPr>
                <w:rFonts w:ascii="Arial" w:cs="Arial" w:eastAsia="Arial" w:hAnsi="Arial"/>
                <w:sz w:val="18"/>
                <w:szCs w:val="18"/>
                <w:color w:val="auto"/>
              </w:rPr>
              <w:t>(a)</w:t>
            </w:r>
          </w:p>
        </w:tc>
        <w:tc>
          <w:tcPr>
            <w:tcW w:w="1320" w:type="dxa"/>
            <w:vAlign w:val="bottom"/>
            <w:gridSpan w:val="2"/>
          </w:tcPr>
          <w:p>
            <w:pPr>
              <w:ind w:left="360"/>
              <w:spacing w:after="0"/>
              <w:rPr>
                <w:sz w:val="20"/>
                <w:szCs w:val="20"/>
                <w:color w:val="auto"/>
              </w:rPr>
            </w:pPr>
            <w:r>
              <w:rPr>
                <w:rFonts w:ascii="Arial" w:cs="Arial" w:eastAsia="Arial" w:hAnsi="Arial"/>
                <w:sz w:val="18"/>
                <w:szCs w:val="18"/>
                <w:color w:val="auto"/>
              </w:rPr>
              <w:t>(b)</w:t>
            </w:r>
          </w:p>
        </w:tc>
        <w:tc>
          <w:tcPr>
            <w:tcW w:w="1280" w:type="dxa"/>
            <w:vAlign w:val="bottom"/>
            <w:gridSpan w:val="2"/>
          </w:tcPr>
          <w:p>
            <w:pPr>
              <w:ind w:left="360"/>
              <w:spacing w:after="0"/>
              <w:rPr>
                <w:sz w:val="20"/>
                <w:szCs w:val="20"/>
                <w:color w:val="auto"/>
              </w:rPr>
            </w:pPr>
            <w:r>
              <w:rPr>
                <w:rFonts w:ascii="Arial" w:cs="Arial" w:eastAsia="Arial" w:hAnsi="Arial"/>
                <w:sz w:val="18"/>
                <w:szCs w:val="18"/>
                <w:color w:val="auto"/>
              </w:rPr>
              <w:t>(c)</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(d)</w:t>
            </w:r>
          </w:p>
        </w:tc>
      </w:tr>
      <w:tr>
        <w:trPr>
          <w:trHeight w:val="210"/>
        </w:trPr>
        <w:tc>
          <w:tcPr>
            <w:tcW w:w="41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December 30, 2007 – February 2, 2008</w:t>
            </w:r>
            <w:r>
              <w:rPr>
                <w:rFonts w:ascii="Arial" w:cs="Arial" w:eastAsia="Arial" w:hAnsi="Arial"/>
                <w:sz w:val="15"/>
                <w:szCs w:val="15"/>
                <w:color w:val="auto"/>
              </w:rPr>
              <w:t>(1)</w:t>
            </w: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1,244,710</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February 3, 2008 – March 1, 2008</w:t>
            </w:r>
          </w:p>
        </w:tc>
        <w:tc>
          <w:tcPr>
            <w:tcW w:w="280" w:type="dxa"/>
            <w:vAlign w:val="bottom"/>
          </w:tcPr>
          <w:p>
            <w:pPr>
              <w:spacing w:after="0"/>
              <w:rPr>
                <w:sz w:val="18"/>
                <w:szCs w:val="18"/>
                <w:color w:val="auto"/>
              </w:rPr>
            </w:pPr>
          </w:p>
        </w:tc>
        <w:tc>
          <w:tcPr>
            <w:tcW w:w="132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32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28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1,244,710</w:t>
            </w: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March 2 – 29, 2008</w:t>
            </w: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1,244,710</w:t>
            </w:r>
          </w:p>
        </w:tc>
      </w:tr>
    </w:tbl>
    <w:p>
      <w:pPr>
        <w:spacing w:after="0" w:line="107" w:lineRule="exact"/>
        <w:rPr>
          <w:sz w:val="20"/>
          <w:szCs w:val="20"/>
          <w:color w:val="auto"/>
        </w:rPr>
      </w:pPr>
    </w:p>
    <w:p>
      <w:pPr>
        <w:ind w:left="680" w:hanging="348"/>
        <w:spacing w:after="0"/>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Total number of shares purchased.</w:t>
      </w:r>
    </w:p>
    <w:p>
      <w:pPr>
        <w:spacing w:after="0" w:line="76" w:lineRule="exact"/>
        <w:rPr>
          <w:rFonts w:ascii="Arial" w:cs="Arial" w:eastAsia="Arial" w:hAnsi="Arial"/>
          <w:sz w:val="18"/>
          <w:szCs w:val="18"/>
          <w:color w:val="auto"/>
        </w:rPr>
      </w:pPr>
    </w:p>
    <w:p>
      <w:pPr>
        <w:ind w:left="680" w:hanging="348"/>
        <w:spacing w:after="0"/>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Average price paid per share.</w:t>
      </w:r>
    </w:p>
    <w:p>
      <w:pPr>
        <w:spacing w:after="0" w:line="76" w:lineRule="exact"/>
        <w:rPr>
          <w:rFonts w:ascii="Arial" w:cs="Arial" w:eastAsia="Arial" w:hAnsi="Arial"/>
          <w:sz w:val="18"/>
          <w:szCs w:val="18"/>
          <w:color w:val="auto"/>
        </w:rPr>
      </w:pPr>
    </w:p>
    <w:p>
      <w:pPr>
        <w:ind w:left="680" w:hanging="348"/>
        <w:spacing w:after="0"/>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Total number of shares purchased as part of publicly announced plans or programs.</w:t>
      </w:r>
    </w:p>
    <w:p>
      <w:pPr>
        <w:spacing w:after="0" w:line="76" w:lineRule="exact"/>
        <w:rPr>
          <w:rFonts w:ascii="Arial" w:cs="Arial" w:eastAsia="Arial" w:hAnsi="Arial"/>
          <w:sz w:val="18"/>
          <w:szCs w:val="18"/>
          <w:color w:val="auto"/>
        </w:rPr>
      </w:pPr>
    </w:p>
    <w:p>
      <w:pPr>
        <w:ind w:left="680" w:hanging="348"/>
        <w:spacing w:after="0"/>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Maximum number of shares that may yet be purchased under the plans or programs.</w:t>
      </w:r>
    </w:p>
    <w:p>
      <w:pPr>
        <w:spacing w:after="0" w:line="77" w:lineRule="exact"/>
        <w:rPr>
          <w:sz w:val="20"/>
          <w:szCs w:val="20"/>
          <w:color w:val="auto"/>
        </w:rPr>
      </w:pPr>
    </w:p>
    <w:p>
      <w:pPr>
        <w:jc w:val="both"/>
        <w:ind w:left="680" w:right="559" w:hanging="348"/>
        <w:spacing w:after="0" w:line="264" w:lineRule="auto"/>
        <w:tabs>
          <w:tab w:leader="none" w:pos="680" w:val="left"/>
        </w:tabs>
        <w:numPr>
          <w:ilvl w:val="0"/>
          <w:numId w:val="18"/>
        </w:numPr>
        <w:rPr>
          <w:rFonts w:ascii="Arial" w:cs="Arial" w:eastAsia="Arial" w:hAnsi="Arial"/>
          <w:sz w:val="15"/>
          <w:szCs w:val="15"/>
          <w:color w:val="auto"/>
        </w:rPr>
      </w:pPr>
      <w:r>
        <w:rPr>
          <w:rFonts w:ascii="Arial" w:cs="Arial" w:eastAsia="Arial" w:hAnsi="Arial"/>
          <w:sz w:val="18"/>
          <w:szCs w:val="18"/>
          <w:color w:val="auto"/>
        </w:rPr>
        <w:t>On November 14, 2001, the Board of Directors approved a share repurchase program (which succeeded a previous program) allowing us to repurchase up to 2.5 million shares of our common stock. As of March 29, 2008, cumulative total authorized shares available for repurchase is 1.2 million shares.</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Item 5. Other Information</w:t>
      </w:r>
      <w:r>
        <w:rPr>
          <w:rFonts w:ascii="Arial" w:cs="Arial" w:eastAsia="Arial" w:hAnsi="Arial"/>
          <w:sz w:val="18"/>
          <w:szCs w:val="18"/>
          <w:color w:val="auto"/>
        </w:rPr>
        <w:t>.</w:t>
      </w:r>
    </w:p>
    <w:p>
      <w:pPr>
        <w:spacing w:after="0" w:line="185" w:lineRule="exact"/>
        <w:rPr>
          <w:sz w:val="20"/>
          <w:szCs w:val="20"/>
          <w:color w:val="auto"/>
        </w:rPr>
      </w:pPr>
    </w:p>
    <w:p>
      <w:pPr>
        <w:ind w:left="340" w:right="559"/>
        <w:spacing w:after="0" w:line="277" w:lineRule="auto"/>
        <w:rPr>
          <w:sz w:val="20"/>
          <w:szCs w:val="20"/>
          <w:color w:val="auto"/>
        </w:rPr>
      </w:pPr>
      <w:r>
        <w:rPr>
          <w:rFonts w:ascii="Arial" w:cs="Arial" w:eastAsia="Arial" w:hAnsi="Arial"/>
          <w:sz w:val="18"/>
          <w:szCs w:val="18"/>
          <w:color w:val="auto"/>
        </w:rPr>
        <w:t>In the first quarter of 2008, the Audit Committee approved $197,000 of non-audit services to be provided by our independent auditors, Ernst &amp; Young LLP, for 2008.</w:t>
      </w:r>
    </w:p>
    <w:p>
      <w:pPr>
        <w:spacing w:after="0" w:line="200" w:lineRule="exact"/>
        <w:rPr>
          <w:sz w:val="20"/>
          <w:szCs w:val="20"/>
          <w:color w:val="auto"/>
        </w:rPr>
      </w:pPr>
    </w:p>
    <w:p>
      <w:pPr>
        <w:spacing w:after="0" w:line="3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UNIVERSAL FOREST PRODUCTS, INC.</w:t>
      </w:r>
    </w:p>
    <w:p>
      <w:pPr>
        <w:spacing w:after="0" w:line="19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PART II. OTHER INFORMATION</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Item 6. Exhibits</w:t>
      </w:r>
      <w:r>
        <w:rPr>
          <w:rFonts w:ascii="Arial" w:cs="Arial" w:eastAsia="Arial" w:hAnsi="Arial"/>
          <w:sz w:val="18"/>
          <w:szCs w:val="18"/>
          <w:color w:val="auto"/>
        </w:rPr>
        <w:t>.</w:t>
      </w:r>
    </w:p>
    <w:p>
      <w:pPr>
        <w:spacing w:after="0" w:line="185" w:lineRule="exact"/>
        <w:rPr>
          <w:sz w:val="20"/>
          <w:szCs w:val="20"/>
          <w:color w:val="auto"/>
        </w:rPr>
      </w:pPr>
    </w:p>
    <w:p>
      <w:pPr>
        <w:ind w:left="340" w:right="559"/>
        <w:spacing w:after="0" w:line="277" w:lineRule="auto"/>
        <w:rPr>
          <w:sz w:val="20"/>
          <w:szCs w:val="20"/>
          <w:color w:val="auto"/>
        </w:rPr>
      </w:pPr>
      <w:r>
        <w:rPr>
          <w:rFonts w:ascii="Arial" w:cs="Arial" w:eastAsia="Arial" w:hAnsi="Arial"/>
          <w:sz w:val="18"/>
          <w:szCs w:val="18"/>
          <w:color w:val="auto"/>
        </w:rPr>
        <w:t>The following exhibits (listed by number corresponding to the Exhibit Table as Item 601 in Regulation S-K) are filed with this report:</w:t>
      </w:r>
    </w:p>
    <w:p>
      <w:pPr>
        <w:spacing w:after="0" w:line="143" w:lineRule="exact"/>
        <w:rPr>
          <w:sz w:val="20"/>
          <w:szCs w:val="20"/>
          <w:color w:val="auto"/>
        </w:rPr>
      </w:pPr>
    </w:p>
    <w:p>
      <w:pPr>
        <w:ind w:left="680" w:hanging="348"/>
        <w:spacing w:after="0"/>
        <w:tabs>
          <w:tab w:leader="none" w:pos="6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Certifications.</w:t>
      </w:r>
    </w:p>
    <w:p>
      <w:pPr>
        <w:spacing w:after="0" w:line="184" w:lineRule="exact"/>
        <w:rPr>
          <w:rFonts w:ascii="Arial" w:cs="Arial" w:eastAsia="Arial" w:hAnsi="Arial"/>
          <w:sz w:val="18"/>
          <w:szCs w:val="18"/>
          <w:color w:val="auto"/>
        </w:rPr>
      </w:pPr>
    </w:p>
    <w:p>
      <w:pPr>
        <w:ind w:left="1040" w:right="559" w:hanging="343"/>
        <w:spacing w:after="0" w:line="277" w:lineRule="auto"/>
        <w:tabs>
          <w:tab w:leader="none" w:pos="10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Certificate of the Chief Executive Officer of Universal Forest Products, Inc., pursuant to Section 302 of the Sarbanes-Oxley Act of 2002 (18 U.S.C. 1350).</w:t>
      </w:r>
    </w:p>
    <w:p>
      <w:pPr>
        <w:spacing w:after="0" w:line="102" w:lineRule="exact"/>
        <w:rPr>
          <w:rFonts w:ascii="Arial" w:cs="Arial" w:eastAsia="Arial" w:hAnsi="Arial"/>
          <w:sz w:val="18"/>
          <w:szCs w:val="18"/>
          <w:color w:val="auto"/>
        </w:rPr>
      </w:pPr>
    </w:p>
    <w:p>
      <w:pPr>
        <w:ind w:left="1040" w:right="559" w:hanging="343"/>
        <w:spacing w:after="0" w:line="277" w:lineRule="auto"/>
        <w:tabs>
          <w:tab w:leader="none" w:pos="10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Certificate of the Chief Financial Officer of Universal Forest Products, Inc., pursuant to Section 302 of the Sarbanes-Oxley Act of 2002 (18 U.S.C. 1350).</w:t>
      </w:r>
    </w:p>
    <w:p>
      <w:pPr>
        <w:spacing w:after="0" w:line="129" w:lineRule="exact"/>
        <w:rPr>
          <w:rFonts w:ascii="Arial" w:cs="Arial" w:eastAsia="Arial" w:hAnsi="Arial"/>
          <w:sz w:val="18"/>
          <w:szCs w:val="18"/>
          <w:color w:val="auto"/>
        </w:rPr>
      </w:pPr>
    </w:p>
    <w:p>
      <w:pPr>
        <w:ind w:left="680" w:hanging="348"/>
        <w:spacing w:after="0"/>
        <w:tabs>
          <w:tab w:leader="none" w:pos="6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Certifications.</w:t>
      </w:r>
    </w:p>
    <w:p>
      <w:pPr>
        <w:spacing w:after="0" w:line="198" w:lineRule="exact"/>
        <w:rPr>
          <w:rFonts w:ascii="Arial" w:cs="Arial" w:eastAsia="Arial" w:hAnsi="Arial"/>
          <w:sz w:val="18"/>
          <w:szCs w:val="18"/>
          <w:color w:val="auto"/>
        </w:rPr>
      </w:pPr>
    </w:p>
    <w:p>
      <w:pPr>
        <w:ind w:left="1040" w:right="559" w:hanging="343"/>
        <w:spacing w:after="0" w:line="277" w:lineRule="auto"/>
        <w:tabs>
          <w:tab w:leader="none" w:pos="10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Certificate of the Chief Executive Officer of Universal Forest Products, Inc., pursuant to Section 906 of the Sarbanes-Oxley Act of 2002 (18 U.S.C. 1350).</w:t>
      </w:r>
    </w:p>
    <w:p>
      <w:pPr>
        <w:spacing w:after="0" w:line="102" w:lineRule="exact"/>
        <w:rPr>
          <w:rFonts w:ascii="Arial" w:cs="Arial" w:eastAsia="Arial" w:hAnsi="Arial"/>
          <w:sz w:val="18"/>
          <w:szCs w:val="18"/>
          <w:color w:val="auto"/>
        </w:rPr>
      </w:pPr>
    </w:p>
    <w:p>
      <w:pPr>
        <w:ind w:left="1040" w:right="559" w:hanging="343"/>
        <w:spacing w:after="0" w:line="277" w:lineRule="auto"/>
        <w:tabs>
          <w:tab w:leader="none" w:pos="10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Certificate of the Chief Financial Officer of Universal Forest Products, Inc., pursuant to Section 906 of the Sarbanes-Oxley Act of 2002 (18 U.S.C. 1350).</w:t>
      </w:r>
    </w:p>
    <w:p>
      <w:pPr>
        <w:spacing w:after="0" w:line="200" w:lineRule="exact"/>
        <w:rPr>
          <w:sz w:val="20"/>
          <w:szCs w:val="20"/>
          <w:color w:val="auto"/>
        </w:rPr>
      </w:pPr>
    </w:p>
    <w:p>
      <w:pPr>
        <w:spacing w:after="0" w:line="32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UNIVERSAL FOREST PRODUCTS, INC.</w:t>
      </w:r>
    </w:p>
    <w:p>
      <w:pPr>
        <w:spacing w:after="0" w:line="19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ind w:left="340" w:right="559"/>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5040" w:type="dxa"/>
            <w:vAlign w:val="bottom"/>
            <w:gridSpan w:val="2"/>
          </w:tcPr>
          <w:p>
            <w:pPr>
              <w:ind w:left="1420"/>
              <w:spacing w:after="0"/>
              <w:rPr>
                <w:sz w:val="20"/>
                <w:szCs w:val="20"/>
                <w:color w:val="auto"/>
              </w:rPr>
            </w:pPr>
            <w:r>
              <w:rPr>
                <w:rFonts w:ascii="Arial" w:cs="Arial" w:eastAsia="Arial" w:hAnsi="Arial"/>
                <w:sz w:val="18"/>
                <w:szCs w:val="18"/>
                <w:b w:val="1"/>
                <w:bCs w:val="1"/>
                <w:color w:val="auto"/>
              </w:rPr>
              <w:t>UNIVERSAL FOREST PRODUCTS, INC.</w:t>
            </w:r>
          </w:p>
        </w:tc>
      </w:tr>
      <w:tr>
        <w:trPr>
          <w:trHeight w:val="392"/>
        </w:trPr>
        <w:tc>
          <w:tcPr>
            <w:tcW w:w="2920" w:type="dxa"/>
            <w:vAlign w:val="bottom"/>
            <w:gridSpan w:val="3"/>
          </w:tcPr>
          <w:p>
            <w:pPr>
              <w:spacing w:after="0"/>
              <w:rPr>
                <w:sz w:val="20"/>
                <w:szCs w:val="20"/>
                <w:color w:val="auto"/>
              </w:rPr>
            </w:pPr>
            <w:r>
              <w:rPr>
                <w:rFonts w:ascii="Arial" w:cs="Arial" w:eastAsia="Arial" w:hAnsi="Arial"/>
                <w:sz w:val="18"/>
                <w:szCs w:val="18"/>
                <w:color w:val="auto"/>
              </w:rPr>
              <w:t>Date: April 24, 2008</w:t>
            </w:r>
          </w:p>
        </w:tc>
        <w:tc>
          <w:tcPr>
            <w:tcW w:w="5040" w:type="dxa"/>
            <w:vAlign w:val="bottom"/>
            <w:gridSpan w:val="2"/>
          </w:tcPr>
          <w:p>
            <w:pPr>
              <w:ind w:left="1420"/>
              <w:spacing w:after="0"/>
              <w:rPr>
                <w:sz w:val="20"/>
                <w:szCs w:val="20"/>
                <w:color w:val="auto"/>
              </w:rPr>
            </w:pPr>
            <w:r>
              <w:rPr>
                <w:rFonts w:ascii="Arial" w:cs="Arial" w:eastAsia="Arial" w:hAnsi="Arial"/>
                <w:sz w:val="18"/>
                <w:szCs w:val="18"/>
                <w:color w:val="auto"/>
              </w:rPr>
              <w:t>By: /s/ Michael B. Glenn</w:t>
            </w:r>
          </w:p>
        </w:tc>
      </w:tr>
      <w:tr>
        <w:trPr>
          <w:trHeight w:val="21"/>
        </w:trPr>
        <w:tc>
          <w:tcPr>
            <w:tcW w:w="420" w:type="dxa"/>
            <w:vAlign w:val="bottom"/>
          </w:tcPr>
          <w:p>
            <w:pPr>
              <w:spacing w:after="0" w:line="20" w:lineRule="exact"/>
              <w:rPr>
                <w:sz w:val="1"/>
                <w:szCs w:val="1"/>
                <w:color w:val="auto"/>
              </w:rPr>
            </w:pPr>
          </w:p>
        </w:tc>
        <w:tc>
          <w:tcPr>
            <w:tcW w:w="1060" w:type="dxa"/>
            <w:vAlign w:val="bottom"/>
            <w:tcBorders>
              <w:top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260" w:type="dxa"/>
            <w:vAlign w:val="bottom"/>
            <w:tcBorders>
              <w:bottom w:val="single" w:sz="8" w:color="auto"/>
            </w:tcBorders>
          </w:tcPr>
          <w:p>
            <w:pPr>
              <w:spacing w:after="0" w:line="20" w:lineRule="exact"/>
              <w:rPr>
                <w:sz w:val="1"/>
                <w:szCs w:val="1"/>
                <w:color w:val="auto"/>
              </w:rPr>
            </w:pPr>
          </w:p>
        </w:tc>
      </w:tr>
      <w:tr>
        <w:trPr>
          <w:trHeight w:val="195"/>
        </w:trPr>
        <w:tc>
          <w:tcPr>
            <w:tcW w:w="4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3260" w:type="dxa"/>
            <w:vAlign w:val="bottom"/>
          </w:tcPr>
          <w:p>
            <w:pPr>
              <w:spacing w:after="0" w:line="195" w:lineRule="exact"/>
              <w:rPr>
                <w:sz w:val="20"/>
                <w:szCs w:val="20"/>
                <w:color w:val="auto"/>
              </w:rPr>
            </w:pPr>
            <w:r>
              <w:rPr>
                <w:rFonts w:ascii="Arial" w:cs="Arial" w:eastAsia="Arial" w:hAnsi="Arial"/>
                <w:sz w:val="18"/>
                <w:szCs w:val="18"/>
                <w:color w:val="auto"/>
              </w:rPr>
              <w:t>Michael B. Glenn</w:t>
            </w:r>
          </w:p>
        </w:tc>
      </w:tr>
      <w:tr>
        <w:trPr>
          <w:trHeight w:val="230"/>
        </w:trPr>
        <w:tc>
          <w:tcPr>
            <w:tcW w:w="4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Its: Chief Executive Officer</w:t>
            </w:r>
          </w:p>
        </w:tc>
      </w:tr>
      <w:tr>
        <w:trPr>
          <w:trHeight w:val="608"/>
        </w:trPr>
        <w:tc>
          <w:tcPr>
            <w:tcW w:w="2920" w:type="dxa"/>
            <w:vAlign w:val="bottom"/>
            <w:gridSpan w:val="3"/>
          </w:tcPr>
          <w:p>
            <w:pPr>
              <w:spacing w:after="0"/>
              <w:rPr>
                <w:sz w:val="20"/>
                <w:szCs w:val="20"/>
                <w:color w:val="auto"/>
              </w:rPr>
            </w:pPr>
            <w:r>
              <w:rPr>
                <w:rFonts w:ascii="Arial" w:cs="Arial" w:eastAsia="Arial" w:hAnsi="Arial"/>
                <w:sz w:val="18"/>
                <w:szCs w:val="18"/>
                <w:color w:val="auto"/>
              </w:rPr>
              <w:t>Date: April 24, 2008</w:t>
            </w:r>
          </w:p>
        </w:tc>
        <w:tc>
          <w:tcPr>
            <w:tcW w:w="5040" w:type="dxa"/>
            <w:vAlign w:val="bottom"/>
            <w:gridSpan w:val="2"/>
          </w:tcPr>
          <w:p>
            <w:pPr>
              <w:ind w:left="1420"/>
              <w:spacing w:after="0"/>
              <w:rPr>
                <w:sz w:val="20"/>
                <w:szCs w:val="20"/>
                <w:color w:val="auto"/>
              </w:rPr>
            </w:pPr>
            <w:r>
              <w:rPr>
                <w:rFonts w:ascii="Arial" w:cs="Arial" w:eastAsia="Arial" w:hAnsi="Arial"/>
                <w:sz w:val="18"/>
                <w:szCs w:val="18"/>
                <w:color w:val="auto"/>
              </w:rPr>
              <w:t>By: /s/ Michael R. Cole</w:t>
            </w:r>
          </w:p>
        </w:tc>
      </w:tr>
      <w:tr>
        <w:trPr>
          <w:trHeight w:val="21"/>
        </w:trPr>
        <w:tc>
          <w:tcPr>
            <w:tcW w:w="420" w:type="dxa"/>
            <w:vAlign w:val="bottom"/>
          </w:tcPr>
          <w:p>
            <w:pPr>
              <w:spacing w:after="0" w:line="20" w:lineRule="exact"/>
              <w:rPr>
                <w:sz w:val="1"/>
                <w:szCs w:val="1"/>
                <w:color w:val="auto"/>
              </w:rPr>
            </w:pPr>
          </w:p>
        </w:tc>
        <w:tc>
          <w:tcPr>
            <w:tcW w:w="1060" w:type="dxa"/>
            <w:vAlign w:val="bottom"/>
            <w:tcBorders>
              <w:top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260" w:type="dxa"/>
            <w:vAlign w:val="bottom"/>
            <w:tcBorders>
              <w:bottom w:val="single" w:sz="8" w:color="auto"/>
            </w:tcBorders>
          </w:tcPr>
          <w:p>
            <w:pPr>
              <w:spacing w:after="0" w:line="20" w:lineRule="exact"/>
              <w:rPr>
                <w:sz w:val="1"/>
                <w:szCs w:val="1"/>
                <w:color w:val="auto"/>
              </w:rPr>
            </w:pPr>
          </w:p>
        </w:tc>
      </w:tr>
      <w:tr>
        <w:trPr>
          <w:trHeight w:val="195"/>
        </w:trPr>
        <w:tc>
          <w:tcPr>
            <w:tcW w:w="4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3260" w:type="dxa"/>
            <w:vAlign w:val="bottom"/>
          </w:tcPr>
          <w:p>
            <w:pPr>
              <w:spacing w:after="0" w:line="195" w:lineRule="exact"/>
              <w:rPr>
                <w:sz w:val="20"/>
                <w:szCs w:val="20"/>
                <w:color w:val="auto"/>
              </w:rPr>
            </w:pPr>
            <w:r>
              <w:rPr>
                <w:rFonts w:ascii="Arial" w:cs="Arial" w:eastAsia="Arial" w:hAnsi="Arial"/>
                <w:sz w:val="18"/>
                <w:szCs w:val="18"/>
                <w:color w:val="auto"/>
              </w:rPr>
              <w:t>Michael R. Cole</w:t>
            </w:r>
          </w:p>
        </w:tc>
      </w:tr>
      <w:tr>
        <w:trPr>
          <w:trHeight w:val="230"/>
        </w:trPr>
        <w:tc>
          <w:tcPr>
            <w:tcW w:w="4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Its: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EXHIBIT INDEX</w:t>
      </w:r>
    </w:p>
    <w:p>
      <w:pPr>
        <w:spacing w:after="0" w:line="225" w:lineRule="exact"/>
        <w:rPr>
          <w:sz w:val="20"/>
          <w:szCs w:val="20"/>
          <w:color w:val="auto"/>
        </w:rPr>
      </w:pPr>
    </w:p>
    <w:p>
      <w:pPr>
        <w:ind w:left="340"/>
        <w:spacing w:after="0"/>
        <w:tabs>
          <w:tab w:leader="none" w:pos="1420" w:val="left"/>
        </w:tabs>
        <w:rPr>
          <w:sz w:val="20"/>
          <w:szCs w:val="20"/>
          <w:color w:val="auto"/>
        </w:rPr>
      </w:pPr>
      <w:r>
        <w:rPr>
          <w:rFonts w:ascii="Arial" w:cs="Arial" w:eastAsia="Arial" w:hAnsi="Arial"/>
          <w:sz w:val="18"/>
          <w:szCs w:val="18"/>
          <w:u w:val="single" w:color="auto"/>
          <w:color w:val="auto"/>
        </w:rPr>
        <w:t>Exhibit No.</w:t>
      </w:r>
      <w:r>
        <w:rPr>
          <w:sz w:val="20"/>
          <w:szCs w:val="20"/>
          <w:color w:val="auto"/>
        </w:rPr>
        <w:tab/>
      </w:r>
      <w:r>
        <w:rPr>
          <w:rFonts w:ascii="Arial" w:cs="Arial" w:eastAsia="Arial" w:hAnsi="Arial"/>
          <w:sz w:val="16"/>
          <w:szCs w:val="16"/>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14605</wp:posOffset>
            </wp:positionV>
            <wp:extent cx="522287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222875" cy="8890"/>
                    </a:xfrm>
                    <a:prstGeom prst="rect">
                      <a:avLst/>
                    </a:prstGeom>
                    <a:noFill/>
                  </pic:spPr>
                </pic:pic>
              </a:graphicData>
            </a:graphic>
          </wp:anchor>
        </w:drawing>
      </w:r>
    </w:p>
    <w:p>
      <w:pPr>
        <w:spacing w:after="0" w:line="219" w:lineRule="exact"/>
        <w:rPr>
          <w:sz w:val="20"/>
          <w:szCs w:val="20"/>
          <w:color w:val="auto"/>
        </w:rPr>
      </w:pPr>
    </w:p>
    <w:p>
      <w:pPr>
        <w:ind w:left="1440" w:hanging="1107"/>
        <w:spacing w:after="0"/>
        <w:tabs>
          <w:tab w:leader="none" w:pos="14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Certifications.</w:t>
      </w:r>
    </w:p>
    <w:p>
      <w:pPr>
        <w:spacing w:after="0" w:line="225" w:lineRule="exact"/>
        <w:rPr>
          <w:rFonts w:ascii="Arial" w:cs="Arial" w:eastAsia="Arial" w:hAnsi="Arial"/>
          <w:sz w:val="18"/>
          <w:szCs w:val="18"/>
          <w:color w:val="auto"/>
        </w:rPr>
      </w:pPr>
    </w:p>
    <w:p>
      <w:pPr>
        <w:ind w:left="1840" w:right="639" w:hanging="399"/>
        <w:spacing w:after="0" w:line="277" w:lineRule="auto"/>
        <w:tabs>
          <w:tab w:leader="none" w:pos="18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Certificate of the Chief Executive Officer of Universal Forest Products, Inc., pursuant to Section 302 of the Sarbanes-Oxley Act of 2002 (18 U.S.C. 1350).</w:t>
      </w:r>
    </w:p>
    <w:p>
      <w:pPr>
        <w:spacing w:after="0" w:line="170" w:lineRule="exact"/>
        <w:rPr>
          <w:rFonts w:ascii="Arial" w:cs="Arial" w:eastAsia="Arial" w:hAnsi="Arial"/>
          <w:sz w:val="18"/>
          <w:szCs w:val="18"/>
          <w:color w:val="auto"/>
        </w:rPr>
      </w:pPr>
    </w:p>
    <w:p>
      <w:pPr>
        <w:ind w:left="1840" w:right="679" w:hanging="399"/>
        <w:spacing w:after="0" w:line="277" w:lineRule="auto"/>
        <w:tabs>
          <w:tab w:leader="none" w:pos="1870" w:val="left"/>
        </w:tabs>
        <w:numPr>
          <w:ilvl w:val="1"/>
          <w:numId w:val="20"/>
        </w:numPr>
        <w:rPr>
          <w:rFonts w:ascii="Arial" w:cs="Arial" w:eastAsia="Arial" w:hAnsi="Arial"/>
          <w:sz w:val="18"/>
          <w:szCs w:val="18"/>
          <w:color w:val="auto"/>
        </w:rPr>
      </w:pPr>
      <w:r>
        <w:rPr>
          <w:rFonts w:ascii="Arial" w:cs="Arial" w:eastAsia="Arial" w:hAnsi="Arial"/>
          <w:sz w:val="18"/>
          <w:szCs w:val="18"/>
          <w:color w:val="auto"/>
        </w:rPr>
        <w:t>Certificate of the Chief Financial Officer of Universal Forest Products, Inc., pursuant to Section 302 of the Sarbanes-Oxley Act of 2002 (18 U.S.C. 1350).</w:t>
      </w:r>
    </w:p>
    <w:p>
      <w:pPr>
        <w:spacing w:after="0" w:line="170" w:lineRule="exact"/>
        <w:rPr>
          <w:rFonts w:ascii="Arial" w:cs="Arial" w:eastAsia="Arial" w:hAnsi="Arial"/>
          <w:sz w:val="18"/>
          <w:szCs w:val="18"/>
          <w:color w:val="auto"/>
        </w:rPr>
      </w:pPr>
    </w:p>
    <w:p>
      <w:pPr>
        <w:ind w:left="1440" w:hanging="1107"/>
        <w:spacing w:after="0"/>
        <w:tabs>
          <w:tab w:leader="none" w:pos="14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Certifications.</w:t>
      </w:r>
    </w:p>
    <w:p>
      <w:pPr>
        <w:spacing w:after="0" w:line="225" w:lineRule="exact"/>
        <w:rPr>
          <w:rFonts w:ascii="Arial" w:cs="Arial" w:eastAsia="Arial" w:hAnsi="Arial"/>
          <w:sz w:val="18"/>
          <w:szCs w:val="18"/>
          <w:color w:val="auto"/>
        </w:rPr>
      </w:pPr>
    </w:p>
    <w:p>
      <w:pPr>
        <w:ind w:left="1840" w:right="639" w:hanging="399"/>
        <w:spacing w:after="0" w:line="277" w:lineRule="auto"/>
        <w:tabs>
          <w:tab w:leader="none" w:pos="18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Certificate of the Chief Executive Officer of Universal Forest Products, Inc., pursuant to Section 906 of the Sarbanes-Oxley Act of 2002 (18 U.S.C. 1350).</w:t>
      </w:r>
    </w:p>
    <w:p>
      <w:pPr>
        <w:spacing w:after="0" w:line="170" w:lineRule="exact"/>
        <w:rPr>
          <w:rFonts w:ascii="Arial" w:cs="Arial" w:eastAsia="Arial" w:hAnsi="Arial"/>
          <w:sz w:val="18"/>
          <w:szCs w:val="18"/>
          <w:color w:val="auto"/>
        </w:rPr>
      </w:pPr>
    </w:p>
    <w:p>
      <w:pPr>
        <w:ind w:left="1840" w:right="679" w:hanging="399"/>
        <w:spacing w:after="0" w:line="277" w:lineRule="auto"/>
        <w:tabs>
          <w:tab w:leader="none" w:pos="1870" w:val="left"/>
        </w:tabs>
        <w:numPr>
          <w:ilvl w:val="1"/>
          <w:numId w:val="20"/>
        </w:numPr>
        <w:rPr>
          <w:rFonts w:ascii="Arial" w:cs="Arial" w:eastAsia="Arial" w:hAnsi="Arial"/>
          <w:sz w:val="18"/>
          <w:szCs w:val="18"/>
          <w:color w:val="auto"/>
        </w:rPr>
      </w:pPr>
      <w:r>
        <w:rPr>
          <w:rFonts w:ascii="Arial" w:cs="Arial" w:eastAsia="Arial" w:hAnsi="Arial"/>
          <w:sz w:val="18"/>
          <w:szCs w:val="18"/>
          <w:color w:val="auto"/>
        </w:rPr>
        <w:t>Certificate of the Chief Financial Officer of Universal Forest Products, Inc., pursuant to Section 906 of the Sarbanes-Oxley Act of 2002 (18 U.S.C. 1350).</w:t>
      </w:r>
    </w:p>
    <w:p>
      <w:pPr>
        <w:sectPr>
          <w:pgSz w:w="11900" w:h="16838" w:orient="portrait"/>
          <w:cols w:equalWidth="0" w:num="1">
            <w:col w:w="10219"/>
          </w:cols>
          <w:pgMar w:left="240" w:top="419" w:right="1440" w:bottom="1440" w:gutter="0" w:footer="0" w:header="0"/>
        </w:sectPr>
      </w:pPr>
    </w:p>
    <w:bookmarkStart w:id="35" w:name="page36"/>
    <w:bookmarkEnd w:id="35"/>
    <w:p>
      <w:pPr>
        <w:jc w:val="right"/>
        <w:ind w:right="559"/>
        <w:spacing w:after="0"/>
        <w:rPr>
          <w:sz w:val="20"/>
          <w:szCs w:val="20"/>
          <w:color w:val="auto"/>
        </w:rPr>
      </w:pPr>
      <w:r>
        <w:rPr>
          <w:rFonts w:ascii="Arial" w:cs="Arial" w:eastAsia="Arial" w:hAnsi="Arial"/>
          <w:sz w:val="18"/>
          <w:szCs w:val="18"/>
          <w:color w:val="auto"/>
        </w:rPr>
        <w:t>Exhibit 31(a)</w:t>
      </w:r>
    </w:p>
    <w:p>
      <w:pPr>
        <w:spacing w:after="0" w:line="181" w:lineRule="exact"/>
        <w:rPr>
          <w:sz w:val="20"/>
          <w:szCs w:val="20"/>
          <w:color w:val="auto"/>
        </w:rPr>
      </w:pPr>
    </w:p>
    <w:p>
      <w:pPr>
        <w:jc w:val="center"/>
        <w:ind w:right="551"/>
        <w:spacing w:after="0"/>
        <w:rPr>
          <w:sz w:val="20"/>
          <w:szCs w:val="20"/>
          <w:color w:val="auto"/>
        </w:rPr>
      </w:pPr>
      <w:r>
        <w:rPr>
          <w:rFonts w:ascii="Arial" w:cs="Arial" w:eastAsia="Arial" w:hAnsi="Arial"/>
          <w:sz w:val="18"/>
          <w:szCs w:val="18"/>
          <w:b w:val="1"/>
          <w:bCs w:val="1"/>
          <w:color w:val="auto"/>
        </w:rPr>
        <w:t>Universal Forest Products, Inc.</w:t>
      </w:r>
    </w:p>
    <w:p>
      <w:pPr>
        <w:spacing w:after="0" w:line="185" w:lineRule="exact"/>
        <w:rPr>
          <w:sz w:val="20"/>
          <w:szCs w:val="20"/>
          <w:color w:val="auto"/>
        </w:rPr>
      </w:pPr>
    </w:p>
    <w:p>
      <w:pPr>
        <w:jc w:val="center"/>
        <w:ind w:right="551"/>
        <w:spacing w:after="0"/>
        <w:rPr>
          <w:sz w:val="20"/>
          <w:szCs w:val="20"/>
          <w:color w:val="auto"/>
        </w:rPr>
      </w:pPr>
      <w:r>
        <w:rPr>
          <w:rFonts w:ascii="Arial" w:cs="Arial" w:eastAsia="Arial" w:hAnsi="Arial"/>
          <w:sz w:val="18"/>
          <w:szCs w:val="18"/>
          <w:b w:val="1"/>
          <w:bCs w:val="1"/>
          <w:color w:val="auto"/>
        </w:rPr>
        <w:t>Certification</w:t>
      </w:r>
    </w:p>
    <w:p>
      <w:pPr>
        <w:spacing w:after="0" w:line="202" w:lineRule="exact"/>
        <w:rPr>
          <w:sz w:val="20"/>
          <w:szCs w:val="20"/>
          <w:color w:val="auto"/>
        </w:rPr>
      </w:pPr>
    </w:p>
    <w:p>
      <w:pPr>
        <w:ind w:left="8"/>
        <w:spacing w:after="0"/>
        <w:rPr>
          <w:sz w:val="20"/>
          <w:szCs w:val="20"/>
          <w:color w:val="auto"/>
        </w:rPr>
      </w:pPr>
      <w:r>
        <w:rPr>
          <w:rFonts w:ascii="Arial" w:cs="Arial" w:eastAsia="Arial" w:hAnsi="Arial"/>
          <w:sz w:val="18"/>
          <w:szCs w:val="18"/>
          <w:color w:val="auto"/>
        </w:rPr>
        <w:t>I, Michael B. Glenn, certify that:</w:t>
      </w:r>
    </w:p>
    <w:p>
      <w:pPr>
        <w:spacing w:after="0" w:line="185" w:lineRule="exact"/>
        <w:rPr>
          <w:sz w:val="20"/>
          <w:szCs w:val="20"/>
          <w:color w:val="auto"/>
        </w:rPr>
      </w:pPr>
    </w:p>
    <w:p>
      <w:pPr>
        <w:ind w:left="348" w:hanging="348"/>
        <w:spacing w:after="0"/>
        <w:tabs>
          <w:tab w:leader="none" w:pos="348"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report on Form 10-Q of Universal Forest Products, Inc.;</w:t>
      </w:r>
    </w:p>
    <w:p>
      <w:pPr>
        <w:spacing w:after="0" w:line="157" w:lineRule="exact"/>
        <w:rPr>
          <w:rFonts w:ascii="Arial" w:cs="Arial" w:eastAsia="Arial" w:hAnsi="Arial"/>
          <w:sz w:val="18"/>
          <w:szCs w:val="18"/>
          <w:color w:val="auto"/>
        </w:rPr>
      </w:pPr>
    </w:p>
    <w:p>
      <w:pPr>
        <w:jc w:val="both"/>
        <w:ind w:left="348" w:right="559" w:hanging="348"/>
        <w:spacing w:after="0" w:line="264" w:lineRule="auto"/>
        <w:tabs>
          <w:tab w:leader="none" w:pos="348"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3" w:lineRule="exact"/>
        <w:rPr>
          <w:rFonts w:ascii="Arial" w:cs="Arial" w:eastAsia="Arial" w:hAnsi="Arial"/>
          <w:sz w:val="18"/>
          <w:szCs w:val="18"/>
          <w:color w:val="auto"/>
        </w:rPr>
      </w:pPr>
    </w:p>
    <w:p>
      <w:pPr>
        <w:jc w:val="both"/>
        <w:ind w:left="348" w:right="559" w:hanging="348"/>
        <w:spacing w:after="0" w:line="264" w:lineRule="auto"/>
        <w:tabs>
          <w:tab w:leader="none" w:pos="348"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3" w:lineRule="exact"/>
        <w:rPr>
          <w:rFonts w:ascii="Arial" w:cs="Arial" w:eastAsia="Arial" w:hAnsi="Arial"/>
          <w:sz w:val="18"/>
          <w:szCs w:val="18"/>
          <w:color w:val="auto"/>
        </w:rPr>
      </w:pPr>
    </w:p>
    <w:p>
      <w:pPr>
        <w:jc w:val="both"/>
        <w:ind w:left="348" w:right="559" w:hanging="348"/>
        <w:spacing w:after="0" w:line="264" w:lineRule="auto"/>
        <w:tabs>
          <w:tab w:leader="none" w:pos="348"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0" w:lineRule="exact"/>
        <w:rPr>
          <w:rFonts w:ascii="Arial" w:cs="Arial" w:eastAsia="Arial" w:hAnsi="Arial"/>
          <w:sz w:val="18"/>
          <w:szCs w:val="18"/>
          <w:color w:val="auto"/>
        </w:rPr>
      </w:pPr>
    </w:p>
    <w:p>
      <w:pPr>
        <w:jc w:val="both"/>
        <w:ind w:left="708" w:right="559" w:hanging="343"/>
        <w:spacing w:after="0" w:line="259" w:lineRule="auto"/>
        <w:tabs>
          <w:tab w:leader="none" w:pos="708"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9" w:lineRule="exact"/>
        <w:rPr>
          <w:rFonts w:ascii="Arial" w:cs="Arial" w:eastAsia="Arial" w:hAnsi="Arial"/>
          <w:sz w:val="18"/>
          <w:szCs w:val="18"/>
          <w:color w:val="auto"/>
        </w:rPr>
      </w:pPr>
    </w:p>
    <w:p>
      <w:pPr>
        <w:jc w:val="both"/>
        <w:ind w:left="708" w:right="559" w:hanging="343"/>
        <w:spacing w:after="0" w:line="312" w:lineRule="auto"/>
        <w:tabs>
          <w:tab w:leader="none" w:pos="708" w:val="left"/>
        </w:tabs>
        <w:numPr>
          <w:ilvl w:val="1"/>
          <w:numId w:val="21"/>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9" w:lineRule="exact"/>
        <w:rPr>
          <w:rFonts w:ascii="Arial" w:cs="Arial" w:eastAsia="Arial" w:hAnsi="Arial"/>
          <w:sz w:val="16"/>
          <w:szCs w:val="16"/>
          <w:color w:val="auto"/>
        </w:rPr>
      </w:pPr>
    </w:p>
    <w:p>
      <w:pPr>
        <w:jc w:val="both"/>
        <w:ind w:left="708" w:right="559" w:hanging="343"/>
        <w:spacing w:after="0" w:line="264" w:lineRule="auto"/>
        <w:tabs>
          <w:tab w:leader="none" w:pos="708" w:val="left"/>
        </w:tabs>
        <w:numPr>
          <w:ilvl w:val="1"/>
          <w:numId w:val="2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3" w:lineRule="exact"/>
        <w:rPr>
          <w:rFonts w:ascii="Arial" w:cs="Arial" w:eastAsia="Arial" w:hAnsi="Arial"/>
          <w:sz w:val="18"/>
          <w:szCs w:val="18"/>
          <w:color w:val="auto"/>
        </w:rPr>
      </w:pPr>
    </w:p>
    <w:p>
      <w:pPr>
        <w:jc w:val="both"/>
        <w:ind w:left="708" w:right="559" w:hanging="343"/>
        <w:spacing w:after="0" w:line="259" w:lineRule="auto"/>
        <w:tabs>
          <w:tab w:leader="none" w:pos="708"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9" w:lineRule="exact"/>
        <w:rPr>
          <w:rFonts w:ascii="Arial" w:cs="Arial" w:eastAsia="Arial" w:hAnsi="Arial"/>
          <w:sz w:val="18"/>
          <w:szCs w:val="18"/>
          <w:color w:val="auto"/>
        </w:rPr>
      </w:pPr>
    </w:p>
    <w:p>
      <w:pPr>
        <w:jc w:val="both"/>
        <w:ind w:left="348" w:right="559" w:hanging="348"/>
        <w:spacing w:after="0" w:line="264" w:lineRule="auto"/>
        <w:tabs>
          <w:tab w:leader="none" w:pos="348"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140" w:lineRule="exact"/>
        <w:rPr>
          <w:rFonts w:ascii="Arial" w:cs="Arial" w:eastAsia="Arial" w:hAnsi="Arial"/>
          <w:sz w:val="18"/>
          <w:szCs w:val="18"/>
          <w:color w:val="auto"/>
        </w:rPr>
      </w:pPr>
    </w:p>
    <w:p>
      <w:pPr>
        <w:jc w:val="both"/>
        <w:ind w:left="708" w:right="559" w:hanging="343"/>
        <w:spacing w:after="0" w:line="264" w:lineRule="auto"/>
        <w:tabs>
          <w:tab w:leader="none" w:pos="708"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3" w:lineRule="exact"/>
        <w:rPr>
          <w:rFonts w:ascii="Arial" w:cs="Arial" w:eastAsia="Arial" w:hAnsi="Arial"/>
          <w:sz w:val="18"/>
          <w:szCs w:val="18"/>
          <w:color w:val="auto"/>
        </w:rPr>
      </w:pPr>
    </w:p>
    <w:p>
      <w:pPr>
        <w:ind w:left="708" w:right="559" w:hanging="343"/>
        <w:spacing w:after="0" w:line="277" w:lineRule="auto"/>
        <w:tabs>
          <w:tab w:leader="none" w:pos="708"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69" w:lineRule="exact"/>
        <w:rPr>
          <w:sz w:val="20"/>
          <w:szCs w:val="20"/>
          <w:color w:val="auto"/>
        </w:rPr>
      </w:pPr>
    </w:p>
    <w:tbl>
      <w:tblPr>
        <w:tblLayout w:type="fixed"/>
        <w:tblInd w:w="8" w:type="dxa"/>
        <w:tblCellMar>
          <w:top w:w="0" w:type="dxa"/>
          <w:left w:w="0" w:type="dxa"/>
          <w:bottom w:w="0" w:type="dxa"/>
          <w:right w:w="0" w:type="dxa"/>
        </w:tblCellMar>
      </w:tblPr>
      <w:tr>
        <w:trPr>
          <w:trHeight w:val="207"/>
        </w:trPr>
        <w:tc>
          <w:tcPr>
            <w:tcW w:w="4480" w:type="dxa"/>
            <w:vAlign w:val="bottom"/>
            <w:gridSpan w:val="3"/>
          </w:tcPr>
          <w:p>
            <w:pPr>
              <w:spacing w:after="0"/>
              <w:rPr>
                <w:sz w:val="20"/>
                <w:szCs w:val="20"/>
                <w:color w:val="auto"/>
              </w:rPr>
            </w:pPr>
            <w:r>
              <w:rPr>
                <w:rFonts w:ascii="Arial" w:cs="Arial" w:eastAsia="Arial" w:hAnsi="Arial"/>
                <w:sz w:val="18"/>
                <w:szCs w:val="18"/>
                <w:color w:val="auto"/>
              </w:rPr>
              <w:t>Date: April 24, 2008</w:t>
            </w:r>
          </w:p>
        </w:tc>
        <w:tc>
          <w:tcPr>
            <w:tcW w:w="3460" w:type="dxa"/>
            <w:vAlign w:val="bottom"/>
          </w:tcPr>
          <w:p>
            <w:pPr>
              <w:spacing w:after="0"/>
              <w:rPr>
                <w:sz w:val="20"/>
                <w:szCs w:val="20"/>
                <w:color w:val="auto"/>
              </w:rPr>
            </w:pPr>
            <w:r>
              <w:rPr>
                <w:rFonts w:ascii="Arial" w:cs="Arial" w:eastAsia="Arial" w:hAnsi="Arial"/>
                <w:sz w:val="18"/>
                <w:szCs w:val="18"/>
                <w:color w:val="auto"/>
              </w:rPr>
              <w:t>/s/ Michael B. Glenn</w:t>
            </w:r>
          </w:p>
        </w:tc>
      </w:tr>
      <w:tr>
        <w:trPr>
          <w:trHeight w:val="21"/>
        </w:trPr>
        <w:tc>
          <w:tcPr>
            <w:tcW w:w="420" w:type="dxa"/>
            <w:vAlign w:val="bottom"/>
          </w:tcPr>
          <w:p>
            <w:pPr>
              <w:spacing w:after="0" w:line="20" w:lineRule="exact"/>
              <w:rPr>
                <w:sz w:val="1"/>
                <w:szCs w:val="1"/>
                <w:color w:val="auto"/>
              </w:rPr>
            </w:pPr>
          </w:p>
        </w:tc>
        <w:tc>
          <w:tcPr>
            <w:tcW w:w="1060" w:type="dxa"/>
            <w:vAlign w:val="bottom"/>
            <w:tcBorders>
              <w:top w:val="single" w:sz="8" w:color="auto"/>
            </w:tcBorders>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3460" w:type="dxa"/>
            <w:vAlign w:val="bottom"/>
            <w:tcBorders>
              <w:bottom w:val="single" w:sz="8" w:color="auto"/>
            </w:tcBorders>
          </w:tcPr>
          <w:p>
            <w:pPr>
              <w:spacing w:after="0" w:line="20" w:lineRule="exact"/>
              <w:rPr>
                <w:sz w:val="1"/>
                <w:szCs w:val="1"/>
                <w:color w:val="auto"/>
              </w:rPr>
            </w:pPr>
          </w:p>
        </w:tc>
      </w:tr>
      <w:tr>
        <w:trPr>
          <w:trHeight w:val="195"/>
        </w:trPr>
        <w:tc>
          <w:tcPr>
            <w:tcW w:w="4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3460" w:type="dxa"/>
            <w:vAlign w:val="bottom"/>
          </w:tcPr>
          <w:p>
            <w:pPr>
              <w:spacing w:after="0" w:line="195" w:lineRule="exact"/>
              <w:rPr>
                <w:sz w:val="20"/>
                <w:szCs w:val="20"/>
                <w:color w:val="auto"/>
              </w:rPr>
            </w:pPr>
            <w:r>
              <w:rPr>
                <w:rFonts w:ascii="Arial" w:cs="Arial" w:eastAsia="Arial" w:hAnsi="Arial"/>
                <w:sz w:val="18"/>
                <w:szCs w:val="18"/>
                <w:color w:val="auto"/>
              </w:rPr>
              <w:t>Michael B. Glenn</w:t>
            </w:r>
          </w:p>
        </w:tc>
      </w:tr>
      <w:tr>
        <w:trPr>
          <w:trHeight w:val="230"/>
        </w:trPr>
        <w:tc>
          <w:tcPr>
            <w:tcW w:w="4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9887"/>
          </w:cols>
          <w:pgMar w:left="572" w:top="1125" w:right="1440" w:bottom="1440" w:gutter="0" w:footer="0" w:header="0"/>
        </w:sectPr>
      </w:pPr>
    </w:p>
    <w:bookmarkStart w:id="36" w:name="page37"/>
    <w:bookmarkEnd w:id="36"/>
    <w:p>
      <w:pPr>
        <w:jc w:val="right"/>
        <w:ind w:right="559"/>
        <w:spacing w:after="0"/>
        <w:rPr>
          <w:sz w:val="20"/>
          <w:szCs w:val="20"/>
          <w:color w:val="auto"/>
        </w:rPr>
      </w:pPr>
      <w:r>
        <w:rPr>
          <w:rFonts w:ascii="Arial" w:cs="Arial" w:eastAsia="Arial" w:hAnsi="Arial"/>
          <w:sz w:val="18"/>
          <w:szCs w:val="18"/>
          <w:color w:val="auto"/>
        </w:rPr>
        <w:t>Exhibit 31(b)</w:t>
      </w:r>
    </w:p>
    <w:p>
      <w:pPr>
        <w:spacing w:after="0" w:line="181" w:lineRule="exact"/>
        <w:rPr>
          <w:sz w:val="20"/>
          <w:szCs w:val="20"/>
          <w:color w:val="auto"/>
        </w:rPr>
      </w:pPr>
    </w:p>
    <w:p>
      <w:pPr>
        <w:jc w:val="center"/>
        <w:ind w:right="551"/>
        <w:spacing w:after="0"/>
        <w:rPr>
          <w:sz w:val="20"/>
          <w:szCs w:val="20"/>
          <w:color w:val="auto"/>
        </w:rPr>
      </w:pPr>
      <w:r>
        <w:rPr>
          <w:rFonts w:ascii="Arial" w:cs="Arial" w:eastAsia="Arial" w:hAnsi="Arial"/>
          <w:sz w:val="18"/>
          <w:szCs w:val="18"/>
          <w:b w:val="1"/>
          <w:bCs w:val="1"/>
          <w:color w:val="auto"/>
        </w:rPr>
        <w:t>Universal Forest Products, Inc.</w:t>
      </w:r>
    </w:p>
    <w:p>
      <w:pPr>
        <w:spacing w:after="0" w:line="185" w:lineRule="exact"/>
        <w:rPr>
          <w:sz w:val="20"/>
          <w:szCs w:val="20"/>
          <w:color w:val="auto"/>
        </w:rPr>
      </w:pPr>
    </w:p>
    <w:p>
      <w:pPr>
        <w:jc w:val="center"/>
        <w:ind w:right="551"/>
        <w:spacing w:after="0"/>
        <w:rPr>
          <w:sz w:val="20"/>
          <w:szCs w:val="20"/>
          <w:color w:val="auto"/>
        </w:rPr>
      </w:pPr>
      <w:r>
        <w:rPr>
          <w:rFonts w:ascii="Arial" w:cs="Arial" w:eastAsia="Arial" w:hAnsi="Arial"/>
          <w:sz w:val="18"/>
          <w:szCs w:val="18"/>
          <w:b w:val="1"/>
          <w:bCs w:val="1"/>
          <w:color w:val="auto"/>
        </w:rPr>
        <w:t>Certification</w:t>
      </w:r>
    </w:p>
    <w:p>
      <w:pPr>
        <w:spacing w:after="0" w:line="202" w:lineRule="exact"/>
        <w:rPr>
          <w:sz w:val="20"/>
          <w:szCs w:val="20"/>
          <w:color w:val="auto"/>
        </w:rPr>
      </w:pPr>
    </w:p>
    <w:p>
      <w:pPr>
        <w:ind w:left="8"/>
        <w:spacing w:after="0"/>
        <w:rPr>
          <w:sz w:val="20"/>
          <w:szCs w:val="20"/>
          <w:color w:val="auto"/>
        </w:rPr>
      </w:pPr>
      <w:r>
        <w:rPr>
          <w:rFonts w:ascii="Arial" w:cs="Arial" w:eastAsia="Arial" w:hAnsi="Arial"/>
          <w:sz w:val="18"/>
          <w:szCs w:val="18"/>
          <w:color w:val="auto"/>
        </w:rPr>
        <w:t>I, Michael R. Cole, certify that:</w:t>
      </w:r>
    </w:p>
    <w:p>
      <w:pPr>
        <w:spacing w:after="0" w:line="185" w:lineRule="exact"/>
        <w:rPr>
          <w:sz w:val="20"/>
          <w:szCs w:val="20"/>
          <w:color w:val="auto"/>
        </w:rPr>
      </w:pPr>
    </w:p>
    <w:p>
      <w:pPr>
        <w:ind w:left="348" w:hanging="348"/>
        <w:spacing w:after="0"/>
        <w:tabs>
          <w:tab w:leader="none" w:pos="348"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report on Form 10-Q of Universal Forest Products, Inc.;</w:t>
      </w:r>
    </w:p>
    <w:p>
      <w:pPr>
        <w:spacing w:after="0" w:line="157" w:lineRule="exact"/>
        <w:rPr>
          <w:rFonts w:ascii="Arial" w:cs="Arial" w:eastAsia="Arial" w:hAnsi="Arial"/>
          <w:sz w:val="18"/>
          <w:szCs w:val="18"/>
          <w:color w:val="auto"/>
        </w:rPr>
      </w:pPr>
    </w:p>
    <w:p>
      <w:pPr>
        <w:jc w:val="both"/>
        <w:ind w:left="348" w:right="559" w:hanging="348"/>
        <w:spacing w:after="0" w:line="264" w:lineRule="auto"/>
        <w:tabs>
          <w:tab w:leader="none" w:pos="348"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3" w:lineRule="exact"/>
        <w:rPr>
          <w:rFonts w:ascii="Arial" w:cs="Arial" w:eastAsia="Arial" w:hAnsi="Arial"/>
          <w:sz w:val="18"/>
          <w:szCs w:val="18"/>
          <w:color w:val="auto"/>
        </w:rPr>
      </w:pPr>
    </w:p>
    <w:p>
      <w:pPr>
        <w:jc w:val="both"/>
        <w:ind w:left="348" w:right="559" w:hanging="348"/>
        <w:spacing w:after="0" w:line="264" w:lineRule="auto"/>
        <w:tabs>
          <w:tab w:leader="none" w:pos="348"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3" w:lineRule="exact"/>
        <w:rPr>
          <w:rFonts w:ascii="Arial" w:cs="Arial" w:eastAsia="Arial" w:hAnsi="Arial"/>
          <w:sz w:val="18"/>
          <w:szCs w:val="18"/>
          <w:color w:val="auto"/>
        </w:rPr>
      </w:pPr>
    </w:p>
    <w:p>
      <w:pPr>
        <w:jc w:val="both"/>
        <w:ind w:left="348" w:right="559" w:hanging="348"/>
        <w:spacing w:after="0" w:line="264" w:lineRule="auto"/>
        <w:tabs>
          <w:tab w:leader="none" w:pos="348"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0" w:lineRule="exact"/>
        <w:rPr>
          <w:rFonts w:ascii="Arial" w:cs="Arial" w:eastAsia="Arial" w:hAnsi="Arial"/>
          <w:sz w:val="18"/>
          <w:szCs w:val="18"/>
          <w:color w:val="auto"/>
        </w:rPr>
      </w:pPr>
    </w:p>
    <w:p>
      <w:pPr>
        <w:jc w:val="both"/>
        <w:ind w:left="708" w:right="559" w:hanging="343"/>
        <w:spacing w:after="0" w:line="259" w:lineRule="auto"/>
        <w:tabs>
          <w:tab w:leader="none" w:pos="708"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9" w:lineRule="exact"/>
        <w:rPr>
          <w:rFonts w:ascii="Arial" w:cs="Arial" w:eastAsia="Arial" w:hAnsi="Arial"/>
          <w:sz w:val="18"/>
          <w:szCs w:val="18"/>
          <w:color w:val="auto"/>
        </w:rPr>
      </w:pPr>
    </w:p>
    <w:p>
      <w:pPr>
        <w:jc w:val="both"/>
        <w:ind w:left="708" w:right="559" w:hanging="343"/>
        <w:spacing w:after="0" w:line="312" w:lineRule="auto"/>
        <w:tabs>
          <w:tab w:leader="none" w:pos="708" w:val="left"/>
        </w:tabs>
        <w:numPr>
          <w:ilvl w:val="1"/>
          <w:numId w:val="22"/>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9" w:lineRule="exact"/>
        <w:rPr>
          <w:rFonts w:ascii="Arial" w:cs="Arial" w:eastAsia="Arial" w:hAnsi="Arial"/>
          <w:sz w:val="16"/>
          <w:szCs w:val="16"/>
          <w:color w:val="auto"/>
        </w:rPr>
      </w:pPr>
    </w:p>
    <w:p>
      <w:pPr>
        <w:jc w:val="both"/>
        <w:ind w:left="708" w:right="559" w:hanging="343"/>
        <w:spacing w:after="0" w:line="264" w:lineRule="auto"/>
        <w:tabs>
          <w:tab w:leader="none" w:pos="708" w:val="left"/>
        </w:tabs>
        <w:numPr>
          <w:ilvl w:val="1"/>
          <w:numId w:val="2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3" w:lineRule="exact"/>
        <w:rPr>
          <w:rFonts w:ascii="Arial" w:cs="Arial" w:eastAsia="Arial" w:hAnsi="Arial"/>
          <w:sz w:val="18"/>
          <w:szCs w:val="18"/>
          <w:color w:val="auto"/>
        </w:rPr>
      </w:pPr>
    </w:p>
    <w:p>
      <w:pPr>
        <w:jc w:val="both"/>
        <w:ind w:left="708" w:right="559" w:hanging="343"/>
        <w:spacing w:after="0" w:line="259" w:lineRule="auto"/>
        <w:tabs>
          <w:tab w:leader="none" w:pos="708"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9" w:lineRule="exact"/>
        <w:rPr>
          <w:rFonts w:ascii="Arial" w:cs="Arial" w:eastAsia="Arial" w:hAnsi="Arial"/>
          <w:sz w:val="18"/>
          <w:szCs w:val="18"/>
          <w:color w:val="auto"/>
        </w:rPr>
      </w:pPr>
    </w:p>
    <w:p>
      <w:pPr>
        <w:jc w:val="both"/>
        <w:ind w:left="348" w:right="559" w:hanging="348"/>
        <w:spacing w:after="0" w:line="264" w:lineRule="auto"/>
        <w:tabs>
          <w:tab w:leader="none" w:pos="348"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140" w:lineRule="exact"/>
        <w:rPr>
          <w:rFonts w:ascii="Arial" w:cs="Arial" w:eastAsia="Arial" w:hAnsi="Arial"/>
          <w:sz w:val="18"/>
          <w:szCs w:val="18"/>
          <w:color w:val="auto"/>
        </w:rPr>
      </w:pPr>
    </w:p>
    <w:p>
      <w:pPr>
        <w:jc w:val="both"/>
        <w:ind w:left="708" w:right="559" w:hanging="343"/>
        <w:spacing w:after="0" w:line="264" w:lineRule="auto"/>
        <w:tabs>
          <w:tab w:leader="none" w:pos="708"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3" w:lineRule="exact"/>
        <w:rPr>
          <w:rFonts w:ascii="Arial" w:cs="Arial" w:eastAsia="Arial" w:hAnsi="Arial"/>
          <w:sz w:val="18"/>
          <w:szCs w:val="18"/>
          <w:color w:val="auto"/>
        </w:rPr>
      </w:pPr>
    </w:p>
    <w:p>
      <w:pPr>
        <w:ind w:left="708" w:right="559" w:hanging="343"/>
        <w:spacing w:after="0" w:line="277" w:lineRule="auto"/>
        <w:tabs>
          <w:tab w:leader="none" w:pos="708"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69" w:lineRule="exact"/>
        <w:rPr>
          <w:sz w:val="20"/>
          <w:szCs w:val="20"/>
          <w:color w:val="auto"/>
        </w:rPr>
      </w:pPr>
    </w:p>
    <w:tbl>
      <w:tblPr>
        <w:tblLayout w:type="fixed"/>
        <w:tblInd w:w="8" w:type="dxa"/>
        <w:tblCellMar>
          <w:top w:w="0" w:type="dxa"/>
          <w:left w:w="0" w:type="dxa"/>
          <w:bottom w:w="0" w:type="dxa"/>
          <w:right w:w="0" w:type="dxa"/>
        </w:tblCellMar>
      </w:tblPr>
      <w:tr>
        <w:trPr>
          <w:trHeight w:val="207"/>
        </w:trPr>
        <w:tc>
          <w:tcPr>
            <w:tcW w:w="4480" w:type="dxa"/>
            <w:vAlign w:val="bottom"/>
            <w:gridSpan w:val="3"/>
          </w:tcPr>
          <w:p>
            <w:pPr>
              <w:spacing w:after="0"/>
              <w:rPr>
                <w:sz w:val="20"/>
                <w:szCs w:val="20"/>
                <w:color w:val="auto"/>
              </w:rPr>
            </w:pPr>
            <w:r>
              <w:rPr>
                <w:rFonts w:ascii="Arial" w:cs="Arial" w:eastAsia="Arial" w:hAnsi="Arial"/>
                <w:sz w:val="18"/>
                <w:szCs w:val="18"/>
                <w:color w:val="auto"/>
              </w:rPr>
              <w:t>Date: April 24, 2008</w:t>
            </w:r>
          </w:p>
        </w:tc>
        <w:tc>
          <w:tcPr>
            <w:tcW w:w="3460" w:type="dxa"/>
            <w:vAlign w:val="bottom"/>
          </w:tcPr>
          <w:p>
            <w:pPr>
              <w:spacing w:after="0"/>
              <w:rPr>
                <w:sz w:val="20"/>
                <w:szCs w:val="20"/>
                <w:color w:val="auto"/>
              </w:rPr>
            </w:pPr>
            <w:r>
              <w:rPr>
                <w:rFonts w:ascii="Arial" w:cs="Arial" w:eastAsia="Arial" w:hAnsi="Arial"/>
                <w:sz w:val="18"/>
                <w:szCs w:val="18"/>
                <w:color w:val="auto"/>
              </w:rPr>
              <w:t>/s/ Michael R. Cole</w:t>
            </w:r>
          </w:p>
        </w:tc>
      </w:tr>
      <w:tr>
        <w:trPr>
          <w:trHeight w:val="21"/>
        </w:trPr>
        <w:tc>
          <w:tcPr>
            <w:tcW w:w="420" w:type="dxa"/>
            <w:vAlign w:val="bottom"/>
          </w:tcPr>
          <w:p>
            <w:pPr>
              <w:spacing w:after="0" w:line="20" w:lineRule="exact"/>
              <w:rPr>
                <w:sz w:val="1"/>
                <w:szCs w:val="1"/>
                <w:color w:val="auto"/>
              </w:rPr>
            </w:pPr>
          </w:p>
        </w:tc>
        <w:tc>
          <w:tcPr>
            <w:tcW w:w="1060" w:type="dxa"/>
            <w:vAlign w:val="bottom"/>
            <w:tcBorders>
              <w:top w:val="single" w:sz="8" w:color="auto"/>
            </w:tcBorders>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3460" w:type="dxa"/>
            <w:vAlign w:val="bottom"/>
            <w:tcBorders>
              <w:bottom w:val="single" w:sz="8" w:color="auto"/>
            </w:tcBorders>
          </w:tcPr>
          <w:p>
            <w:pPr>
              <w:spacing w:after="0" w:line="20" w:lineRule="exact"/>
              <w:rPr>
                <w:sz w:val="1"/>
                <w:szCs w:val="1"/>
                <w:color w:val="auto"/>
              </w:rPr>
            </w:pPr>
          </w:p>
        </w:tc>
      </w:tr>
      <w:tr>
        <w:trPr>
          <w:trHeight w:val="195"/>
        </w:trPr>
        <w:tc>
          <w:tcPr>
            <w:tcW w:w="4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3460" w:type="dxa"/>
            <w:vAlign w:val="bottom"/>
          </w:tcPr>
          <w:p>
            <w:pPr>
              <w:spacing w:after="0" w:line="195" w:lineRule="exact"/>
              <w:rPr>
                <w:sz w:val="20"/>
                <w:szCs w:val="20"/>
                <w:color w:val="auto"/>
              </w:rPr>
            </w:pPr>
            <w:r>
              <w:rPr>
                <w:rFonts w:ascii="Arial" w:cs="Arial" w:eastAsia="Arial" w:hAnsi="Arial"/>
                <w:sz w:val="18"/>
                <w:szCs w:val="18"/>
                <w:color w:val="auto"/>
              </w:rPr>
              <w:t>Michael R. Cole</w:t>
            </w:r>
          </w:p>
        </w:tc>
      </w:tr>
      <w:tr>
        <w:trPr>
          <w:trHeight w:val="230"/>
        </w:trPr>
        <w:tc>
          <w:tcPr>
            <w:tcW w:w="4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9887"/>
          </w:cols>
          <w:pgMar w:left="572" w:top="1341" w:right="1440" w:bottom="1440" w:gutter="0" w:footer="0" w:header="0"/>
        </w:sectPr>
      </w:pPr>
    </w:p>
    <w:bookmarkStart w:id="37" w:name="page38"/>
    <w:bookmarkEnd w:id="37"/>
    <w:p>
      <w:pPr>
        <w:jc w:val="right"/>
        <w:ind w:right="559"/>
        <w:spacing w:after="0"/>
        <w:rPr>
          <w:sz w:val="20"/>
          <w:szCs w:val="20"/>
          <w:color w:val="auto"/>
        </w:rPr>
      </w:pPr>
      <w:r>
        <w:rPr>
          <w:rFonts w:ascii="Arial" w:cs="Arial" w:eastAsia="Arial" w:hAnsi="Arial"/>
          <w:sz w:val="18"/>
          <w:szCs w:val="18"/>
          <w:color w:val="auto"/>
        </w:rPr>
        <w:t>Exhibit 32(a)</w:t>
      </w:r>
    </w:p>
    <w:p>
      <w:pPr>
        <w:spacing w:after="0" w:line="198"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CERTIFICATE OF THE</w:t>
      </w:r>
    </w:p>
    <w:p>
      <w:pPr>
        <w:spacing w:after="0" w:line="23"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CHIEF EXECUTIVE OFFICER OF</w:t>
      </w:r>
    </w:p>
    <w:p>
      <w:pPr>
        <w:spacing w:after="0" w:line="9"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UNIVERSAL FOREST PRODUCTS, INC.</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Pursuant to Section 906 of the Sarbanes-Oxley Act of 2002 (18 U.S.C. 1350):</w:t>
      </w:r>
    </w:p>
    <w:p>
      <w:pPr>
        <w:spacing w:after="0" w:line="185" w:lineRule="exact"/>
        <w:rPr>
          <w:sz w:val="20"/>
          <w:szCs w:val="20"/>
          <w:color w:val="auto"/>
        </w:rPr>
      </w:pPr>
    </w:p>
    <w:p>
      <w:pPr>
        <w:ind w:right="559" w:firstLine="373"/>
        <w:spacing w:after="0" w:line="277" w:lineRule="auto"/>
        <w:rPr>
          <w:sz w:val="20"/>
          <w:szCs w:val="20"/>
          <w:color w:val="auto"/>
        </w:rPr>
      </w:pPr>
      <w:r>
        <w:rPr>
          <w:rFonts w:ascii="Arial" w:cs="Arial" w:eastAsia="Arial" w:hAnsi="Arial"/>
          <w:sz w:val="18"/>
          <w:szCs w:val="18"/>
          <w:color w:val="auto"/>
        </w:rPr>
        <w:t>I, Michael B. Glenn, Chief Executive Officer of Universal Forest Products, Inc., certify, to the best of my knowledge and belief, pursuant to Section 906 of the Sarbanes-Oxley Act of 2002 (18 U.S.C. 1350) that:</w:t>
      </w:r>
    </w:p>
    <w:p>
      <w:pPr>
        <w:spacing w:after="0" w:line="143" w:lineRule="exact"/>
        <w:rPr>
          <w:sz w:val="20"/>
          <w:szCs w:val="20"/>
          <w:color w:val="auto"/>
        </w:rPr>
      </w:pPr>
    </w:p>
    <w:p>
      <w:pPr>
        <w:ind w:right="559" w:firstLine="365"/>
        <w:spacing w:after="0" w:line="277" w:lineRule="auto"/>
        <w:tabs>
          <w:tab w:leader="none" w:pos="636"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quarterly report on Form 10-Q for the quarterly period ended March 29, 2008, which this statement accompanies, fully complies with requirements of Section 13(a) or 15(d) of the Securities Exchange Act of 1934; and</w:t>
      </w:r>
    </w:p>
    <w:p>
      <w:pPr>
        <w:spacing w:after="0" w:line="129" w:lineRule="exact"/>
        <w:rPr>
          <w:rFonts w:ascii="Arial" w:cs="Arial" w:eastAsia="Arial" w:hAnsi="Arial"/>
          <w:sz w:val="18"/>
          <w:szCs w:val="18"/>
          <w:color w:val="auto"/>
        </w:rPr>
      </w:pPr>
    </w:p>
    <w:p>
      <w:pPr>
        <w:ind w:right="559" w:firstLine="365"/>
        <w:spacing w:after="0" w:line="308" w:lineRule="auto"/>
        <w:tabs>
          <w:tab w:leader="none" w:pos="637"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information contained in this quarterly report on Form 10-Q for the quarterly period ended March 29, 2008 fairly presents, in all material respects, the financial condition and results of operations of Universal Forest Products, Inc.</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5040" w:type="dxa"/>
            <w:vAlign w:val="bottom"/>
            <w:gridSpan w:val="2"/>
          </w:tcPr>
          <w:p>
            <w:pPr>
              <w:ind w:left="1420"/>
              <w:spacing w:after="0"/>
              <w:rPr>
                <w:sz w:val="20"/>
                <w:szCs w:val="20"/>
                <w:color w:val="auto"/>
              </w:rPr>
            </w:pPr>
            <w:r>
              <w:rPr>
                <w:rFonts w:ascii="Arial" w:cs="Arial" w:eastAsia="Arial" w:hAnsi="Arial"/>
                <w:sz w:val="18"/>
                <w:szCs w:val="18"/>
                <w:color w:val="auto"/>
              </w:rPr>
              <w:t>UNIVERSAL FOREST PRODUCTS, INC.</w:t>
            </w:r>
          </w:p>
        </w:tc>
      </w:tr>
      <w:tr>
        <w:trPr>
          <w:trHeight w:val="392"/>
        </w:trPr>
        <w:tc>
          <w:tcPr>
            <w:tcW w:w="2920" w:type="dxa"/>
            <w:vAlign w:val="bottom"/>
            <w:gridSpan w:val="3"/>
          </w:tcPr>
          <w:p>
            <w:pPr>
              <w:spacing w:after="0"/>
              <w:rPr>
                <w:sz w:val="20"/>
                <w:szCs w:val="20"/>
                <w:color w:val="auto"/>
              </w:rPr>
            </w:pPr>
            <w:r>
              <w:rPr>
                <w:rFonts w:ascii="Arial" w:cs="Arial" w:eastAsia="Arial" w:hAnsi="Arial"/>
                <w:sz w:val="18"/>
                <w:szCs w:val="18"/>
                <w:color w:val="auto"/>
              </w:rPr>
              <w:t>Date: April 24, 2008</w:t>
            </w:r>
          </w:p>
        </w:tc>
        <w:tc>
          <w:tcPr>
            <w:tcW w:w="5040" w:type="dxa"/>
            <w:vAlign w:val="bottom"/>
            <w:gridSpan w:val="2"/>
          </w:tcPr>
          <w:p>
            <w:pPr>
              <w:ind w:left="1420"/>
              <w:spacing w:after="0"/>
              <w:rPr>
                <w:sz w:val="20"/>
                <w:szCs w:val="20"/>
                <w:color w:val="auto"/>
              </w:rPr>
            </w:pPr>
            <w:r>
              <w:rPr>
                <w:rFonts w:ascii="Arial" w:cs="Arial" w:eastAsia="Arial" w:hAnsi="Arial"/>
                <w:sz w:val="18"/>
                <w:szCs w:val="18"/>
                <w:color w:val="auto"/>
              </w:rPr>
              <w:t>By: /s/ Michael B. Glenn</w:t>
            </w:r>
          </w:p>
        </w:tc>
      </w:tr>
      <w:tr>
        <w:trPr>
          <w:trHeight w:val="21"/>
        </w:trPr>
        <w:tc>
          <w:tcPr>
            <w:tcW w:w="420" w:type="dxa"/>
            <w:vAlign w:val="bottom"/>
          </w:tcPr>
          <w:p>
            <w:pPr>
              <w:spacing w:after="0" w:line="20" w:lineRule="exact"/>
              <w:rPr>
                <w:sz w:val="1"/>
                <w:szCs w:val="1"/>
                <w:color w:val="auto"/>
              </w:rPr>
            </w:pPr>
          </w:p>
        </w:tc>
        <w:tc>
          <w:tcPr>
            <w:tcW w:w="1060" w:type="dxa"/>
            <w:vAlign w:val="bottom"/>
            <w:tcBorders>
              <w:top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260" w:type="dxa"/>
            <w:vAlign w:val="bottom"/>
            <w:tcBorders>
              <w:bottom w:val="single" w:sz="8" w:color="auto"/>
            </w:tcBorders>
          </w:tcPr>
          <w:p>
            <w:pPr>
              <w:spacing w:after="0" w:line="20" w:lineRule="exact"/>
              <w:rPr>
                <w:sz w:val="1"/>
                <w:szCs w:val="1"/>
                <w:color w:val="auto"/>
              </w:rPr>
            </w:pPr>
          </w:p>
        </w:tc>
      </w:tr>
      <w:tr>
        <w:trPr>
          <w:trHeight w:val="195"/>
        </w:trPr>
        <w:tc>
          <w:tcPr>
            <w:tcW w:w="4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3260" w:type="dxa"/>
            <w:vAlign w:val="bottom"/>
          </w:tcPr>
          <w:p>
            <w:pPr>
              <w:spacing w:after="0" w:line="195" w:lineRule="exact"/>
              <w:rPr>
                <w:sz w:val="20"/>
                <w:szCs w:val="20"/>
                <w:color w:val="auto"/>
              </w:rPr>
            </w:pPr>
            <w:r>
              <w:rPr>
                <w:rFonts w:ascii="Arial" w:cs="Arial" w:eastAsia="Arial" w:hAnsi="Arial"/>
                <w:sz w:val="18"/>
                <w:szCs w:val="18"/>
                <w:color w:val="auto"/>
              </w:rPr>
              <w:t>Michael B. Glenn</w:t>
            </w:r>
          </w:p>
        </w:tc>
      </w:tr>
      <w:tr>
        <w:trPr>
          <w:trHeight w:val="230"/>
        </w:trPr>
        <w:tc>
          <w:tcPr>
            <w:tcW w:w="4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Its: Chief Executive Officer</w:t>
            </w:r>
          </w:p>
        </w:tc>
      </w:tr>
    </w:tbl>
    <w:p>
      <w:pPr>
        <w:spacing w:after="0" w:line="377" w:lineRule="exact"/>
        <w:rPr>
          <w:sz w:val="20"/>
          <w:szCs w:val="20"/>
          <w:color w:val="auto"/>
        </w:rPr>
      </w:pPr>
    </w:p>
    <w:p>
      <w:pPr>
        <w:jc w:val="both"/>
        <w:ind w:right="559"/>
        <w:spacing w:after="0" w:line="279" w:lineRule="auto"/>
        <w:rPr>
          <w:sz w:val="20"/>
          <w:szCs w:val="20"/>
          <w:color w:val="auto"/>
        </w:rPr>
      </w:pPr>
      <w:r>
        <w:rPr>
          <w:rFonts w:ascii="Arial" w:cs="Arial" w:eastAsia="Arial" w:hAnsi="Arial"/>
          <w:sz w:val="17"/>
          <w:szCs w:val="17"/>
          <w:color w:val="auto"/>
        </w:rPr>
        <w:t>The signed original of this written statement required by Section 906, or any other document authenticating, acknowledging, or otherwise adopting the signature that appears in typed form within the electronic version of this written statement required by Section 906, has been provided to Universal Forest Products, Inc. and will be retained by Universal Forest Products, Inc. and furnished to the Securities and Exchange Commission or its staff upon request.</w:t>
      </w:r>
    </w:p>
    <w:p>
      <w:pPr>
        <w:sectPr>
          <w:pgSz w:w="11900" w:h="16838" w:orient="portrait"/>
          <w:cols w:equalWidth="0" w:num="1">
            <w:col w:w="9879"/>
          </w:cols>
          <w:pgMar w:left="580" w:top="935" w:right="1440" w:bottom="1440" w:gutter="0" w:footer="0" w:header="0"/>
        </w:sectPr>
      </w:pPr>
    </w:p>
    <w:bookmarkStart w:id="38" w:name="page39"/>
    <w:bookmarkEnd w:id="38"/>
    <w:p>
      <w:pPr>
        <w:jc w:val="right"/>
        <w:ind w:right="559"/>
        <w:spacing w:after="0"/>
        <w:rPr>
          <w:sz w:val="20"/>
          <w:szCs w:val="20"/>
          <w:color w:val="auto"/>
        </w:rPr>
      </w:pPr>
      <w:r>
        <w:rPr>
          <w:rFonts w:ascii="Arial" w:cs="Arial" w:eastAsia="Arial" w:hAnsi="Arial"/>
          <w:sz w:val="18"/>
          <w:szCs w:val="18"/>
          <w:color w:val="auto"/>
        </w:rPr>
        <w:t>Exhibit 32(b)</w:t>
      </w:r>
    </w:p>
    <w:p>
      <w:pPr>
        <w:spacing w:after="0" w:line="198"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CERTIFICATE OF THE</w:t>
      </w:r>
    </w:p>
    <w:p>
      <w:pPr>
        <w:spacing w:after="0" w:line="23"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CHIEF FINANCIAL OFFICER OF</w:t>
      </w:r>
    </w:p>
    <w:p>
      <w:pPr>
        <w:spacing w:after="0" w:line="9"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UNIVERSAL FOREST PRODUCTS, INC.</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Pursuant to Section 906 of the Sarbanes-Oxley Act of 2002 (18 U.S.C. 1350):</w:t>
      </w:r>
    </w:p>
    <w:p>
      <w:pPr>
        <w:spacing w:after="0" w:line="185" w:lineRule="exact"/>
        <w:rPr>
          <w:sz w:val="20"/>
          <w:szCs w:val="20"/>
          <w:color w:val="auto"/>
        </w:rPr>
      </w:pPr>
    </w:p>
    <w:p>
      <w:pPr>
        <w:ind w:right="559" w:firstLine="373"/>
        <w:spacing w:after="0" w:line="277" w:lineRule="auto"/>
        <w:rPr>
          <w:sz w:val="20"/>
          <w:szCs w:val="20"/>
          <w:color w:val="auto"/>
        </w:rPr>
      </w:pPr>
      <w:r>
        <w:rPr>
          <w:rFonts w:ascii="Arial" w:cs="Arial" w:eastAsia="Arial" w:hAnsi="Arial"/>
          <w:sz w:val="18"/>
          <w:szCs w:val="18"/>
          <w:color w:val="auto"/>
        </w:rPr>
        <w:t>I, Michael R. Cole, Chief Financial Officer of Universal Forest Products, Inc., certify, to the best of my knowledge and belief, pursuant to Section 906 of the Sarbanes-Oxley Act of 2002 (18 U.S.C. 1350) that:</w:t>
      </w:r>
    </w:p>
    <w:p>
      <w:pPr>
        <w:spacing w:after="0" w:line="143" w:lineRule="exact"/>
        <w:rPr>
          <w:sz w:val="20"/>
          <w:szCs w:val="20"/>
          <w:color w:val="auto"/>
        </w:rPr>
      </w:pPr>
    </w:p>
    <w:p>
      <w:pPr>
        <w:ind w:right="559" w:firstLine="365"/>
        <w:spacing w:after="0" w:line="277" w:lineRule="auto"/>
        <w:tabs>
          <w:tab w:leader="none" w:pos="636"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quarterly report on Form 10-Q for the quarterly period ended March 29, 2008, which this statement accompanies, fully complies with requirements of Section 13(a) or 15(d) of the Securities Exchange Act of 1934; and</w:t>
      </w:r>
    </w:p>
    <w:p>
      <w:pPr>
        <w:spacing w:after="0" w:line="129" w:lineRule="exact"/>
        <w:rPr>
          <w:rFonts w:ascii="Arial" w:cs="Arial" w:eastAsia="Arial" w:hAnsi="Arial"/>
          <w:sz w:val="18"/>
          <w:szCs w:val="18"/>
          <w:color w:val="auto"/>
        </w:rPr>
      </w:pPr>
    </w:p>
    <w:p>
      <w:pPr>
        <w:ind w:right="559" w:firstLine="365"/>
        <w:spacing w:after="0" w:line="308" w:lineRule="auto"/>
        <w:tabs>
          <w:tab w:leader="none" w:pos="637"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information contained in this quarterly report on Form 10-Q for the quarterly period ended March 29, 2008 fairly presents, in all material respects, the financial condition and results of operations of Universal Forest Products, Inc.</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5040" w:type="dxa"/>
            <w:vAlign w:val="bottom"/>
            <w:gridSpan w:val="2"/>
          </w:tcPr>
          <w:p>
            <w:pPr>
              <w:ind w:left="1420"/>
              <w:spacing w:after="0"/>
              <w:rPr>
                <w:sz w:val="20"/>
                <w:szCs w:val="20"/>
                <w:color w:val="auto"/>
              </w:rPr>
            </w:pPr>
            <w:r>
              <w:rPr>
                <w:rFonts w:ascii="Arial" w:cs="Arial" w:eastAsia="Arial" w:hAnsi="Arial"/>
                <w:sz w:val="18"/>
                <w:szCs w:val="18"/>
                <w:color w:val="auto"/>
              </w:rPr>
              <w:t>UNIVERSAL FOREST PRODUCTS, INC.</w:t>
            </w:r>
          </w:p>
        </w:tc>
      </w:tr>
      <w:tr>
        <w:trPr>
          <w:trHeight w:val="392"/>
        </w:trPr>
        <w:tc>
          <w:tcPr>
            <w:tcW w:w="2920" w:type="dxa"/>
            <w:vAlign w:val="bottom"/>
            <w:gridSpan w:val="3"/>
          </w:tcPr>
          <w:p>
            <w:pPr>
              <w:spacing w:after="0"/>
              <w:rPr>
                <w:sz w:val="20"/>
                <w:szCs w:val="20"/>
                <w:color w:val="auto"/>
              </w:rPr>
            </w:pPr>
            <w:r>
              <w:rPr>
                <w:rFonts w:ascii="Arial" w:cs="Arial" w:eastAsia="Arial" w:hAnsi="Arial"/>
                <w:sz w:val="18"/>
                <w:szCs w:val="18"/>
                <w:color w:val="auto"/>
              </w:rPr>
              <w:t>Date: April 24, 2008</w:t>
            </w:r>
          </w:p>
        </w:tc>
        <w:tc>
          <w:tcPr>
            <w:tcW w:w="5040" w:type="dxa"/>
            <w:vAlign w:val="bottom"/>
            <w:gridSpan w:val="2"/>
          </w:tcPr>
          <w:p>
            <w:pPr>
              <w:ind w:left="1420"/>
              <w:spacing w:after="0"/>
              <w:rPr>
                <w:sz w:val="20"/>
                <w:szCs w:val="20"/>
                <w:color w:val="auto"/>
              </w:rPr>
            </w:pPr>
            <w:r>
              <w:rPr>
                <w:rFonts w:ascii="Arial" w:cs="Arial" w:eastAsia="Arial" w:hAnsi="Arial"/>
                <w:sz w:val="18"/>
                <w:szCs w:val="18"/>
                <w:color w:val="auto"/>
              </w:rPr>
              <w:t>By: /s/ Michael R. Cole</w:t>
            </w:r>
          </w:p>
        </w:tc>
      </w:tr>
      <w:tr>
        <w:trPr>
          <w:trHeight w:val="21"/>
        </w:trPr>
        <w:tc>
          <w:tcPr>
            <w:tcW w:w="420" w:type="dxa"/>
            <w:vAlign w:val="bottom"/>
          </w:tcPr>
          <w:p>
            <w:pPr>
              <w:spacing w:after="0" w:line="20" w:lineRule="exact"/>
              <w:rPr>
                <w:sz w:val="1"/>
                <w:szCs w:val="1"/>
                <w:color w:val="auto"/>
              </w:rPr>
            </w:pPr>
          </w:p>
        </w:tc>
        <w:tc>
          <w:tcPr>
            <w:tcW w:w="1060" w:type="dxa"/>
            <w:vAlign w:val="bottom"/>
            <w:tcBorders>
              <w:top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260" w:type="dxa"/>
            <w:vAlign w:val="bottom"/>
            <w:tcBorders>
              <w:bottom w:val="single" w:sz="8" w:color="auto"/>
            </w:tcBorders>
          </w:tcPr>
          <w:p>
            <w:pPr>
              <w:spacing w:after="0" w:line="20" w:lineRule="exact"/>
              <w:rPr>
                <w:sz w:val="1"/>
                <w:szCs w:val="1"/>
                <w:color w:val="auto"/>
              </w:rPr>
            </w:pPr>
          </w:p>
        </w:tc>
      </w:tr>
      <w:tr>
        <w:trPr>
          <w:trHeight w:val="195"/>
        </w:trPr>
        <w:tc>
          <w:tcPr>
            <w:tcW w:w="4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3260" w:type="dxa"/>
            <w:vAlign w:val="bottom"/>
          </w:tcPr>
          <w:p>
            <w:pPr>
              <w:spacing w:after="0" w:line="195" w:lineRule="exact"/>
              <w:rPr>
                <w:sz w:val="20"/>
                <w:szCs w:val="20"/>
                <w:color w:val="auto"/>
              </w:rPr>
            </w:pPr>
            <w:r>
              <w:rPr>
                <w:rFonts w:ascii="Arial" w:cs="Arial" w:eastAsia="Arial" w:hAnsi="Arial"/>
                <w:sz w:val="18"/>
                <w:szCs w:val="18"/>
                <w:color w:val="auto"/>
              </w:rPr>
              <w:t>Michael R. Cole</w:t>
            </w:r>
          </w:p>
        </w:tc>
      </w:tr>
      <w:tr>
        <w:trPr>
          <w:trHeight w:val="230"/>
        </w:trPr>
        <w:tc>
          <w:tcPr>
            <w:tcW w:w="4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Its: Chief Financial Officer</w:t>
            </w:r>
          </w:p>
        </w:tc>
      </w:tr>
    </w:tbl>
    <w:p>
      <w:pPr>
        <w:spacing w:after="0" w:line="377" w:lineRule="exact"/>
        <w:rPr>
          <w:sz w:val="20"/>
          <w:szCs w:val="20"/>
          <w:color w:val="auto"/>
        </w:rPr>
      </w:pPr>
    </w:p>
    <w:p>
      <w:pPr>
        <w:jc w:val="both"/>
        <w:ind w:right="559"/>
        <w:spacing w:after="0" w:line="279" w:lineRule="auto"/>
        <w:rPr>
          <w:sz w:val="20"/>
          <w:szCs w:val="20"/>
          <w:color w:val="auto"/>
        </w:rPr>
      </w:pPr>
      <w:r>
        <w:rPr>
          <w:rFonts w:ascii="Arial" w:cs="Arial" w:eastAsia="Arial" w:hAnsi="Arial"/>
          <w:sz w:val="17"/>
          <w:szCs w:val="17"/>
          <w:color w:val="auto"/>
        </w:rPr>
        <w:t>The signed original of this written statement required by Section 906, or any other document authenticating, acknowledging, or otherwise adopting the signature that appears in typed form within the electronic version of this written statement required by Section 906, has been provided to Universal Forest Products, Inc. and will be retained by Universal Forest Products, Inc. and furnished to the Securities and Exchange Commission or its staff upon request.</w:t>
      </w:r>
    </w:p>
    <w:sectPr>
      <w:pgSz w:w="11900" w:h="16838" w:orient="portrait"/>
      <w:cols w:equalWidth="0" w:num="1">
        <w:col w:w="9879"/>
      </w:cols>
      <w:pgMar w:left="580" w:top="93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o"/>
      <w:numFmt w:val="bullet"/>
      <w:start w:val="1"/>
    </w:lvl>
  </w:abstractNum>
  <w:abstractNum w:abstractNumId="2">
    <w:nsid w:val="109CF92E"/>
    <w:multiLevelType w:val="hybridMultilevel"/>
    <w:lvl w:ilvl="0">
      <w:lvlJc w:val="left"/>
      <w:lvlText w:val="%1."/>
      <w:numFmt w:val="upperLetter"/>
      <w:start w:val="1"/>
    </w:lvl>
  </w:abstractNum>
  <w:abstractNum w:abstractNumId="3">
    <w:nsid w:val="DED7263"/>
    <w:multiLevelType w:val="hybridMultilevel"/>
    <w:lvl w:ilvl="0">
      <w:lvlJc w:val="left"/>
      <w:lvlText w:val="%1."/>
      <w:numFmt w:val="upperLetter"/>
      <w:start w:val="2"/>
    </w:lvl>
  </w:abstractNum>
  <w:abstractNum w:abstractNumId="4">
    <w:nsid w:val="7FDCC233"/>
    <w:multiLevelType w:val="hybridMultilevel"/>
    <w:lvl w:ilvl="0">
      <w:lvlJc w:val="left"/>
      <w:lvlText w:val="%1."/>
      <w:numFmt w:val="upperLetter"/>
      <w:start w:val="4"/>
    </w:lvl>
    <w:lvl w:ilvl="1">
      <w:lvlJc w:val="left"/>
      <w:lvlText w:val="•"/>
      <w:numFmt w:val="bullet"/>
      <w:start w:val="1"/>
    </w:lvl>
  </w:abstractNum>
  <w:abstractNum w:abstractNumId="5">
    <w:nsid w:val="1BEFD79F"/>
    <w:multiLevelType w:val="hybridMultilevel"/>
    <w:lvl w:ilvl="0">
      <w:lvlJc w:val="left"/>
      <w:lvlText w:val="%1."/>
      <w:numFmt w:val="upperLetter"/>
      <w:start w:val="5"/>
    </w:lvl>
  </w:abstractNum>
  <w:abstractNum w:abstractNumId="6">
    <w:nsid w:val="41A7C4C9"/>
    <w:multiLevelType w:val="hybridMultilevel"/>
    <w:lvl w:ilvl="0">
      <w:lvlJc w:val="left"/>
      <w:lvlText w:val="%1."/>
      <w:numFmt w:val="upperLetter"/>
      <w:start w:val="7"/>
    </w:lvl>
  </w:abstractNum>
  <w:abstractNum w:abstractNumId="7">
    <w:nsid w:val="6B68079A"/>
    <w:multiLevelType w:val="hybridMultilevel"/>
    <w:lvl w:ilvl="0">
      <w:lvlJc w:val="left"/>
      <w:lvlText w:val="%1."/>
      <w:numFmt w:val="upperLetter"/>
      <w:start w:val="9"/>
    </w:lvl>
  </w:abstractNum>
  <w:abstractNum w:abstractNumId="8">
    <w:nsid w:val="4E6AFB66"/>
    <w:multiLevelType w:val="hybridMultilevel"/>
    <w:lvl w:ilvl="0">
      <w:lvlJc w:val="left"/>
      <w:lvlText w:val="%1."/>
      <w:numFmt w:val="upperLetter"/>
      <w:start w:val="10"/>
    </w:lvl>
  </w:abstractNum>
  <w:abstractNum w:abstractNumId="9">
    <w:nsid w:val="25E45D32"/>
    <w:multiLevelType w:val="hybridMultilevel"/>
    <w:lvl w:ilvl="0">
      <w:lvlJc w:val="left"/>
      <w:lvlText w:val="%1."/>
      <w:numFmt w:val="upperLetter"/>
      <w:start w:val="11"/>
    </w:lvl>
  </w:abstractNum>
  <w:abstractNum w:abstractNumId="10">
    <w:nsid w:val="519B500D"/>
    <w:multiLevelType w:val="hybridMultilevel"/>
    <w:lvl w:ilvl="0">
      <w:lvlJc w:val="left"/>
      <w:lvlText w:val="•"/>
      <w:numFmt w:val="bullet"/>
      <w:start w:val="1"/>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
      <w:numFmt w:val="bullet"/>
      <w:start w:val="1"/>
    </w:lvl>
  </w:abstractNum>
  <w:abstractNum w:abstractNumId="13">
    <w:nsid w:val="7C83E458"/>
    <w:multiLevelType w:val="hybridMultilevel"/>
    <w:lvl w:ilvl="0">
      <w:lvlJc w:val="left"/>
      <w:lvlText w:val="•"/>
      <w:numFmt w:val="bullet"/>
      <w:start w:val="1"/>
    </w:lvl>
  </w:abstractNum>
  <w:abstractNum w:abstractNumId="14">
    <w:nsid w:val="257130A3"/>
    <w:multiLevelType w:val="hybridMultilevel"/>
    <w:lvl w:ilvl="0">
      <w:lvlJc w:val="left"/>
      <w:lvlText w:val="•"/>
      <w:numFmt w:val="bullet"/>
      <w:start w:val="1"/>
    </w:lvl>
  </w:abstractNum>
  <w:abstractNum w:abstractNumId="15">
    <w:nsid w:val="62BBD95A"/>
    <w:multiLevelType w:val="hybridMultilevel"/>
    <w:lvl w:ilvl="0">
      <w:lvlJc w:val="left"/>
      <w:lvlText w:val="(%1)"/>
      <w:numFmt w:val="lowerLetter"/>
      <w:start w:val="1"/>
    </w:lvl>
  </w:abstractNum>
  <w:abstractNum w:abstractNumId="16">
    <w:nsid w:val="436C6125"/>
    <w:multiLevelType w:val="hybridMultilevel"/>
    <w:lvl w:ilvl="0">
      <w:lvlJc w:val="left"/>
      <w:lvlText w:val="(%1)"/>
      <w:numFmt w:val="lowerLetter"/>
      <w:start w:val="1"/>
    </w:lvl>
  </w:abstractNum>
  <w:abstractNum w:abstractNumId="17">
    <w:nsid w:val="628C895D"/>
    <w:multiLevelType w:val="hybridMultilevel"/>
    <w:lvl w:ilvl="0">
      <w:lvlJc w:val="left"/>
      <w:lvlText w:val="(%1)"/>
      <w:numFmt w:val="decimal"/>
      <w:start w:val="1"/>
    </w:lvl>
  </w:abstractNum>
  <w:abstractNum w:abstractNumId="18">
    <w:nsid w:val="333AB105"/>
    <w:multiLevelType w:val="hybridMultilevel"/>
    <w:lvl w:ilvl="0">
      <w:lvlJc w:val="left"/>
      <w:lvlText w:val="%1"/>
      <w:numFmt w:val="decimal"/>
      <w:start w:val="31"/>
    </w:lvl>
    <w:lvl w:ilvl="1">
      <w:lvlJc w:val="left"/>
      <w:lvlText w:val="(%2)"/>
      <w:numFmt w:val="lowerLetter"/>
      <w:start w:val="1"/>
    </w:lvl>
  </w:abstractNum>
  <w:abstractNum w:abstractNumId="19">
    <w:nsid w:val="721DA317"/>
    <w:multiLevelType w:val="hybridMultilevel"/>
    <w:lvl w:ilvl="0">
      <w:lvlJc w:val="left"/>
      <w:lvlText w:val="%1"/>
      <w:numFmt w:val="decimal"/>
      <w:start w:val="31"/>
    </w:lvl>
    <w:lvl w:ilvl="1">
      <w:lvlJc w:val="left"/>
      <w:lvlText w:val="(%2)"/>
      <w:numFmt w:val="lowerLetter"/>
      <w:start w:val="1"/>
    </w:lvl>
  </w:abstractNum>
  <w:abstractNum w:abstractNumId="20">
    <w:nsid w:val="2443A858"/>
    <w:multiLevelType w:val="hybridMultilevel"/>
    <w:lvl w:ilvl="0">
      <w:lvlJc w:val="left"/>
      <w:lvlText w:val="%1."/>
      <w:numFmt w:val="decimal"/>
      <w:start w:val="1"/>
    </w:lvl>
    <w:lvl w:ilvl="1">
      <w:lvlJc w:val="left"/>
      <w:lvlText w:val="%2."/>
      <w:numFmt w:val="lowerLetter"/>
      <w:start w:val="1"/>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2019-12-14T02:11:20Z</dcterms:created>
  <dcterms:modified xsi:type="dcterms:W3CDTF">2019-12-14T02:11:20Z</dcterms:modified>
</cp:coreProperties>
</file>