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42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42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ind w:left="412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460" w:right="3000"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June 28, 2008</w:t>
      </w:r>
    </w:p>
    <w:p>
      <w:pPr>
        <w:spacing w:after="0" w:line="185"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2980"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0-22684</w:t>
      </w:r>
    </w:p>
    <w:p>
      <w:pPr>
        <w:spacing w:after="0" w:line="160" w:lineRule="exact"/>
        <w:rPr>
          <w:sz w:val="20"/>
          <w:szCs w:val="20"/>
          <w:color w:val="auto"/>
        </w:rPr>
      </w:pPr>
    </w:p>
    <w:p>
      <w:pPr>
        <w:jc w:val="center"/>
        <w:ind w:right="1420"/>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7"/>
              </w:rPr>
              <w:t>Michigan</w:t>
            </w:r>
          </w:p>
        </w:tc>
        <w:tc>
          <w:tcPr>
            <w:tcW w:w="4900" w:type="dxa"/>
            <w:vAlign w:val="bottom"/>
            <w:gridSpan w:val="2"/>
          </w:tcPr>
          <w:p>
            <w:pPr>
              <w:jc w:val="right"/>
              <w:ind w:right="1690"/>
              <w:spacing w:after="0"/>
              <w:rPr>
                <w:sz w:val="20"/>
                <w:szCs w:val="20"/>
                <w:color w:val="auto"/>
              </w:rPr>
            </w:pPr>
            <w:r>
              <w:rPr>
                <w:rFonts w:ascii="Arial" w:cs="Arial" w:eastAsia="Arial" w:hAnsi="Arial"/>
                <w:sz w:val="18"/>
                <w:szCs w:val="18"/>
                <w:color w:val="auto"/>
              </w:rPr>
              <w:t>38-1465835</w:t>
            </w:r>
          </w:p>
        </w:tc>
      </w:tr>
      <w:tr>
        <w:trPr>
          <w:trHeight w:val="209"/>
        </w:trPr>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0" w:type="dxa"/>
            <w:vAlign w:val="bottom"/>
          </w:tcPr>
          <w:p>
            <w:pPr>
              <w:spacing w:after="0"/>
              <w:rPr>
                <w:sz w:val="18"/>
                <w:szCs w:val="18"/>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3"/>
              </w:rPr>
              <w:t>incorporation or organization)</w:t>
            </w:r>
          </w:p>
        </w:tc>
        <w:tc>
          <w:tcPr>
            <w:tcW w:w="46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32"/>
        </w:trPr>
        <w:tc>
          <w:tcPr>
            <w:tcW w:w="4420" w:type="dxa"/>
            <w:vAlign w:val="bottom"/>
          </w:tcPr>
          <w:p>
            <w:pPr>
              <w:jc w:val="center"/>
              <w:spacing w:after="0"/>
              <w:rPr>
                <w:sz w:val="20"/>
                <w:szCs w:val="20"/>
                <w:color w:val="auto"/>
              </w:rPr>
            </w:pPr>
            <w:r>
              <w:rPr>
                <w:rFonts w:ascii="Arial" w:cs="Arial" w:eastAsia="Arial" w:hAnsi="Arial"/>
                <w:sz w:val="18"/>
                <w:szCs w:val="18"/>
                <w:color w:val="auto"/>
                <w:w w:val="92"/>
              </w:rPr>
              <w:t>2801 East Beltline NE, Grand Rapids, Michigan</w:t>
            </w:r>
          </w:p>
        </w:tc>
        <w:tc>
          <w:tcPr>
            <w:tcW w:w="4900" w:type="dxa"/>
            <w:vAlign w:val="bottom"/>
            <w:gridSpan w:val="2"/>
          </w:tcPr>
          <w:p>
            <w:pPr>
              <w:jc w:val="right"/>
              <w:ind w:right="1910"/>
              <w:spacing w:after="0"/>
              <w:rPr>
                <w:sz w:val="20"/>
                <w:szCs w:val="20"/>
                <w:color w:val="auto"/>
              </w:rPr>
            </w:pPr>
            <w:r>
              <w:rPr>
                <w:rFonts w:ascii="Arial" w:cs="Arial" w:eastAsia="Arial" w:hAnsi="Arial"/>
                <w:sz w:val="18"/>
                <w:szCs w:val="18"/>
                <w:color w:val="auto"/>
              </w:rPr>
              <w:t>49525</w:t>
            </w:r>
          </w:p>
        </w:tc>
      </w:tr>
      <w:tr>
        <w:trPr>
          <w:trHeight w:val="224"/>
        </w:trPr>
        <w:tc>
          <w:tcPr>
            <w:tcW w:w="4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60"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(616) 364-6161</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-130810</wp:posOffset>
            </wp:positionV>
            <wp:extent cx="2838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4" w:lineRule="exact"/>
        <w:rPr>
          <w:sz w:val="20"/>
          <w:szCs w:val="20"/>
          <w:color w:val="auto"/>
        </w:rPr>
      </w:pPr>
    </w:p>
    <w:p>
      <w:pPr>
        <w:jc w:val="both"/>
        <w:ind w:left="340" w:right="176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2" w:lineRule="exact"/>
        <w:rPr>
          <w:sz w:val="20"/>
          <w:szCs w:val="20"/>
          <w:color w:val="auto"/>
        </w:rPr>
      </w:pPr>
    </w:p>
    <w:p>
      <w:pPr>
        <w:ind w:left="340"/>
        <w:spacing w:after="0" w:line="207" w:lineRule="exact"/>
        <w:tabs>
          <w:tab w:leader="none" w:pos="2760" w:val="left"/>
          <w:tab w:leader="none" w:pos="4680" w:val="left"/>
          <w:tab w:leader="none" w:pos="69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85"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by Rule 12b-2 of the Exchange Act). Yes o No </w:t>
      </w:r>
      <w:r>
        <w:rPr>
          <w:rFonts w:ascii="MS PGothic" w:cs="MS PGothic" w:eastAsia="MS PGothic" w:hAnsi="MS PGothic"/>
          <w:sz w:val="18"/>
          <w:szCs w:val="18"/>
          <w:color w:val="auto"/>
        </w:rPr>
        <w:t>☑</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Class</w:t>
            </w:r>
          </w:p>
        </w:tc>
        <w:tc>
          <w:tcPr>
            <w:tcW w:w="460" w:type="dxa"/>
            <w:vAlign w:val="bottom"/>
          </w:tcPr>
          <w:p>
            <w:pPr>
              <w:spacing w:after="0"/>
              <w:rPr>
                <w:sz w:val="20"/>
                <w:szCs w:val="20"/>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Outstanding as of June 28, 2008</w:t>
            </w:r>
          </w:p>
        </w:tc>
        <w:tc>
          <w:tcPr>
            <w:tcW w:w="1760" w:type="dxa"/>
            <w:vAlign w:val="bottom"/>
          </w:tcPr>
          <w:p>
            <w:pPr>
              <w:spacing w:after="0"/>
              <w:rPr>
                <w:sz w:val="20"/>
                <w:szCs w:val="20"/>
                <w:color w:val="auto"/>
              </w:rPr>
            </w:pPr>
          </w:p>
        </w:tc>
      </w:tr>
      <w:tr>
        <w:trPr>
          <w:trHeight w:val="224"/>
        </w:trPr>
        <w:tc>
          <w:tcPr>
            <w:tcW w:w="34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89"/>
              </w:rPr>
              <w:t>Common stock, no par value</w:t>
            </w:r>
          </w:p>
        </w:tc>
        <w:tc>
          <w:tcPr>
            <w:tcW w:w="460" w:type="dxa"/>
            <w:vAlign w:val="bottom"/>
          </w:tcPr>
          <w:p>
            <w:pPr>
              <w:spacing w:after="0"/>
              <w:rPr>
                <w:sz w:val="19"/>
                <w:szCs w:val="19"/>
                <w:color w:val="auto"/>
              </w:rPr>
            </w:pPr>
          </w:p>
        </w:tc>
        <w:tc>
          <w:tcPr>
            <w:tcW w:w="4440" w:type="dxa"/>
            <w:vAlign w:val="bottom"/>
          </w:tcPr>
          <w:p>
            <w:pPr>
              <w:jc w:val="right"/>
              <w:ind w:right="1730"/>
              <w:spacing w:after="0"/>
              <w:rPr>
                <w:sz w:val="20"/>
                <w:szCs w:val="20"/>
                <w:color w:val="auto"/>
              </w:rPr>
            </w:pPr>
            <w:r>
              <w:rPr>
                <w:rFonts w:ascii="Arial" w:cs="Arial" w:eastAsia="Arial" w:hAnsi="Arial"/>
                <w:sz w:val="18"/>
                <w:szCs w:val="18"/>
                <w:color w:val="auto"/>
              </w:rPr>
              <w:t>18,989,644</w:t>
            </w:r>
          </w:p>
        </w:tc>
        <w:tc>
          <w:tcPr>
            <w:tcW w:w="176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4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tcPr>
          <w:p>
            <w:pPr>
              <w:spacing w:after="0"/>
              <w:rPr>
                <w:sz w:val="17"/>
                <w:szCs w:val="17"/>
                <w:color w:val="auto"/>
              </w:rPr>
            </w:pPr>
          </w:p>
        </w:tc>
        <w:tc>
          <w:tcPr>
            <w:tcW w:w="1760" w:type="dxa"/>
            <w:vAlign w:val="bottom"/>
          </w:tcPr>
          <w:p>
            <w:pPr>
              <w:spacing w:after="0"/>
              <w:rPr>
                <w:sz w:val="17"/>
                <w:szCs w:val="17"/>
                <w:color w:val="auto"/>
              </w:rPr>
            </w:pPr>
          </w:p>
        </w:tc>
      </w:tr>
      <w:tr>
        <w:trPr>
          <w:trHeight w:val="28"/>
        </w:trPr>
        <w:tc>
          <w:tcPr>
            <w:tcW w:w="34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760" w:type="dxa"/>
            <w:vAlign w:val="bottom"/>
          </w:tcPr>
          <w:p>
            <w:pPr>
              <w:spacing w:after="0"/>
              <w:rPr>
                <w:sz w:val="2"/>
                <w:szCs w:val="2"/>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gridSpan w:val="9"/>
          </w:tcPr>
          <w:p>
            <w:pPr>
              <w:jc w:val="center"/>
              <w:ind w:right="166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2"/>
          </w:tcPr>
          <w:p>
            <w:pPr>
              <w:jc w:val="right"/>
              <w:ind w:right="2020"/>
              <w:spacing w:after="0"/>
              <w:rPr>
                <w:sz w:val="20"/>
                <w:szCs w:val="20"/>
                <w:color w:val="auto"/>
              </w:rPr>
            </w:pPr>
            <w:r>
              <w:rPr>
                <w:rFonts w:ascii="Arial" w:cs="Arial" w:eastAsia="Arial" w:hAnsi="Arial"/>
                <w:sz w:val="18"/>
                <w:szCs w:val="18"/>
                <w:b w:val="1"/>
                <w:bCs w:val="1"/>
                <w:color w:val="auto"/>
              </w:rPr>
              <w:t>Page No.</w:t>
            </w:r>
          </w:p>
        </w:tc>
      </w:tr>
      <w:tr>
        <w:trPr>
          <w:trHeight w:val="426"/>
        </w:trPr>
        <w:tc>
          <w:tcPr>
            <w:tcW w:w="8560" w:type="dxa"/>
            <w:vAlign w:val="bottom"/>
            <w:gridSpan w:val="22"/>
          </w:tcPr>
          <w:p>
            <w:pPr>
              <w:ind w:left="340"/>
              <w:spacing w:after="0"/>
              <w:rPr>
                <w:sz w:val="20"/>
                <w:szCs w:val="20"/>
                <w:color w:val="auto"/>
              </w:rPr>
            </w:pPr>
            <w:r>
              <w:rPr>
                <w:rFonts w:ascii="Arial" w:cs="Arial" w:eastAsia="Arial" w:hAnsi="Arial"/>
                <w:sz w:val="18"/>
                <w:szCs w:val="18"/>
                <w:b w:val="1"/>
                <w:bCs w:val="1"/>
                <w:color w:val="auto"/>
              </w:rPr>
              <w:t>PART I. FINANCIAL INFORMATION</w:t>
            </w:r>
          </w:p>
        </w:tc>
        <w:tc>
          <w:tcPr>
            <w:tcW w:w="100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9"/>
          </w:tcPr>
          <w:p>
            <w:pPr>
              <w:spacing w:after="0"/>
              <w:rPr>
                <w:sz w:val="20"/>
                <w:szCs w:val="20"/>
                <w:color w:val="auto"/>
              </w:rPr>
            </w:pPr>
            <w:r>
              <w:rPr>
                <w:rFonts w:ascii="Arial" w:cs="Arial" w:eastAsia="Arial" w:hAnsi="Arial"/>
                <w:sz w:val="18"/>
                <w:szCs w:val="18"/>
                <w:color w:val="auto"/>
              </w:rPr>
              <w:t>Item 1. Financial Statements</w:t>
            </w: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20" w:type="dxa"/>
            <w:vAlign w:val="bottom"/>
            <w:gridSpan w:val="18"/>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Consolidated Condensed Balance Sheets at June 28, 2008, December 29, 2007, and June 30, 2007</w:t>
              </w:r>
            </w:hyperlink>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3</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Condensed Statements of Earnings for the Three and Six Months Ended June 28, 2008</w:t>
              </w:r>
            </w:hyperlink>
          </w:p>
        </w:tc>
        <w:tc>
          <w:tcPr>
            <w:tcW w:w="58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and June 30, 2007</w:t>
              </w:r>
            </w:hyperlink>
          </w:p>
        </w:tc>
        <w:tc>
          <w:tcPr>
            <w:tcW w:w="6300" w:type="dxa"/>
            <w:vAlign w:val="bottom"/>
            <w:gridSpan w:val="12"/>
          </w:tcPr>
          <w:p>
            <w:pPr>
              <w:spacing w:after="0"/>
              <w:rPr>
                <w:sz w:val="17"/>
                <w:szCs w:val="17"/>
                <w:color w:val="auto"/>
              </w:rPr>
            </w:pPr>
          </w:p>
        </w:tc>
        <w:tc>
          <w:tcPr>
            <w:tcW w:w="2860" w:type="dxa"/>
            <w:vAlign w:val="bottom"/>
            <w:gridSpan w:val="2"/>
          </w:tcPr>
          <w:p>
            <w:pPr>
              <w:jc w:val="right"/>
              <w:ind w:right="1840"/>
              <w:spacing w:after="0" w:line="196" w:lineRule="exact"/>
              <w:rPr>
                <w:sz w:val="20"/>
                <w:szCs w:val="20"/>
                <w:color w:val="auto"/>
              </w:rPr>
            </w:pPr>
            <w:r>
              <w:rPr>
                <w:rFonts w:ascii="Arial" w:cs="Arial" w:eastAsia="Arial" w:hAnsi="Arial"/>
                <w:sz w:val="18"/>
                <w:szCs w:val="18"/>
                <w:color w:val="auto"/>
              </w:rPr>
              <w:t>4</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Shareholders’ Equity for the Six Months Ended June 28, 2008 and June 30,</w:t>
              </w:r>
            </w:hyperlink>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96"/>
        </w:trPr>
        <w:tc>
          <w:tcPr>
            <w:tcW w:w="940" w:type="dxa"/>
            <w:vAlign w:val="bottom"/>
            <w:gridSpan w:val="5"/>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2007</w:t>
              </w:r>
            </w:hyperlink>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60" w:type="dxa"/>
            <w:vAlign w:val="bottom"/>
            <w:gridSpan w:val="2"/>
          </w:tcPr>
          <w:p>
            <w:pPr>
              <w:jc w:val="right"/>
              <w:ind w:right="1840"/>
              <w:spacing w:after="0" w:line="196" w:lineRule="exact"/>
              <w:rPr>
                <w:sz w:val="20"/>
                <w:szCs w:val="20"/>
                <w:color w:val="auto"/>
              </w:rPr>
            </w:pPr>
            <w:r>
              <w:rPr>
                <w:rFonts w:ascii="Arial" w:cs="Arial" w:eastAsia="Arial" w:hAnsi="Arial"/>
                <w:sz w:val="18"/>
                <w:szCs w:val="18"/>
                <w:color w:val="auto"/>
              </w:rPr>
              <w:t>5</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Condensed Statements of Cash Flows for the Six Months Ended June 28, 2008 and</w:t>
              </w:r>
            </w:hyperlink>
          </w:p>
        </w:tc>
        <w:tc>
          <w:tcPr>
            <w:tcW w:w="840" w:type="dxa"/>
            <w:vAlign w:val="bottom"/>
            <w:gridSpan w:val="4"/>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June 30, 2007</w:t>
              </w:r>
            </w:hyperlink>
          </w:p>
        </w:tc>
        <w:tc>
          <w:tcPr>
            <w:tcW w:w="2860" w:type="dxa"/>
            <w:vAlign w:val="bottom"/>
            <w:gridSpan w:val="2"/>
          </w:tcPr>
          <w:p>
            <w:pPr>
              <w:jc w:val="right"/>
              <w:ind w:right="1840"/>
              <w:spacing w:after="0" w:line="196" w:lineRule="exact"/>
              <w:rPr>
                <w:sz w:val="20"/>
                <w:szCs w:val="20"/>
                <w:color w:val="auto"/>
              </w:rPr>
            </w:pPr>
            <w:r>
              <w:rPr>
                <w:rFonts w:ascii="Arial" w:cs="Arial" w:eastAsia="Arial" w:hAnsi="Arial"/>
                <w:sz w:val="18"/>
                <w:szCs w:val="18"/>
                <w:color w:val="auto"/>
              </w:rPr>
              <w:t>6-7</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Notes to Consolidated Condensed Financial Statements</w:t>
              </w:r>
            </w:hyperlink>
          </w:p>
        </w:tc>
        <w:tc>
          <w:tcPr>
            <w:tcW w:w="3820" w:type="dxa"/>
            <w:vAlign w:val="bottom"/>
            <w:gridSpan w:val="8"/>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8-16</w:t>
            </w:r>
          </w:p>
        </w:tc>
      </w:tr>
      <w:tr>
        <w:trPr>
          <w:trHeight w:val="453"/>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9"/>
          </w:tcPr>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17-29</w:t>
            </w:r>
          </w:p>
        </w:tc>
      </w:tr>
      <w:tr>
        <w:trPr>
          <w:trHeight w:val="39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Item 3. Quantitative and Qualitative Disclosures About Market Risk</w:t>
              </w:r>
            </w:hyperlink>
          </w:p>
        </w:tc>
        <w:tc>
          <w:tcPr>
            <w:tcW w:w="3100" w:type="dxa"/>
            <w:vAlign w:val="bottom"/>
            <w:gridSpan w:val="5"/>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30</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 Controls and Procedures</w:t>
              </w:r>
            </w:hyperlink>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31</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8560" w:type="dxa"/>
            <w:vAlign w:val="bottom"/>
            <w:gridSpan w:val="22"/>
          </w:tcPr>
          <w:p>
            <w:pPr>
              <w:ind w:left="340"/>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53"/>
        </w:trPr>
        <w:tc>
          <w:tcPr>
            <w:tcW w:w="3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56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w w:val="91"/>
              </w:rPr>
              <w:t>Item 1. Legal Proceedings - NONE</w:t>
            </w:r>
          </w:p>
        </w:tc>
        <w:tc>
          <w:tcPr>
            <w:tcW w:w="5460" w:type="dxa"/>
            <w:vAlign w:val="bottom"/>
            <w:gridSpan w:val="9"/>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9"/>
          </w:tcPr>
          <w:p>
            <w:pPr>
              <w:spacing w:after="0"/>
              <w:rPr>
                <w:sz w:val="20"/>
                <w:szCs w:val="20"/>
                <w:color w:val="auto"/>
              </w:rPr>
            </w:pPr>
            <w:r>
              <w:rPr>
                <w:rFonts w:ascii="Arial" w:cs="Arial" w:eastAsia="Arial" w:hAnsi="Arial"/>
                <w:sz w:val="18"/>
                <w:szCs w:val="18"/>
                <w:color w:val="auto"/>
              </w:rPr>
              <w:t>Item 1A. Risk Factors - NONE</w:t>
            </w: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Item 2. Unregistered Sales of Equity Securities and Use of Proceeds</w:t>
              </w:r>
            </w:hyperlink>
          </w:p>
        </w:tc>
        <w:tc>
          <w:tcPr>
            <w:tcW w:w="3120" w:type="dxa"/>
            <w:vAlign w:val="bottom"/>
            <w:gridSpan w:val="6"/>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32</w:t>
            </w:r>
          </w:p>
        </w:tc>
      </w:tr>
      <w:tr>
        <w:trPr>
          <w:trHeight w:val="453"/>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9"/>
          </w:tcPr>
          <w:p>
            <w:pPr>
              <w:spacing w:after="0"/>
              <w:rPr>
                <w:sz w:val="20"/>
                <w:szCs w:val="20"/>
                <w:color w:val="auto"/>
              </w:rPr>
            </w:pPr>
            <w:r>
              <w:rPr>
                <w:rFonts w:ascii="Arial" w:cs="Arial" w:eastAsia="Arial" w:hAnsi="Arial"/>
                <w:sz w:val="18"/>
                <w:szCs w:val="18"/>
                <w:color w:val="auto"/>
              </w:rPr>
              <w:t>Item 3. Defaults Upon Senior Securities - NONE</w:t>
            </w: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Item 4. Submission of Matters to a Vote of Security Holders</w:t>
              </w:r>
            </w:hyperlink>
          </w:p>
        </w:tc>
        <w:tc>
          <w:tcPr>
            <w:tcW w:w="3700" w:type="dxa"/>
            <w:vAlign w:val="bottom"/>
            <w:gridSpan w:val="7"/>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33</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gridSpan w:val="1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5. Other Information</w:t>
              </w:r>
            </w:hyperlink>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33</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3"/>
          </w:tcPr>
          <w:p>
            <w:pPr>
              <w:spacing w:after="0"/>
              <w:rPr>
                <w:sz w:val="24"/>
                <w:szCs w:val="24"/>
                <w:color w:val="auto"/>
              </w:rPr>
            </w:pPr>
          </w:p>
        </w:tc>
        <w:tc>
          <w:tcPr>
            <w:tcW w:w="6160" w:type="dxa"/>
            <w:vAlign w:val="bottom"/>
            <w:gridSpan w:val="11"/>
          </w:tcPr>
          <w:p>
            <w:pPr>
              <w:spacing w:after="0"/>
              <w:rPr>
                <w:sz w:val="24"/>
                <w:szCs w:val="24"/>
                <w:color w:val="auto"/>
              </w:rPr>
            </w:pPr>
          </w:p>
        </w:tc>
        <w:tc>
          <w:tcPr>
            <w:tcW w:w="2860" w:type="dxa"/>
            <w:vAlign w:val="bottom"/>
            <w:gridSpan w:val="2"/>
          </w:tcPr>
          <w:p>
            <w:pPr>
              <w:jc w:val="right"/>
              <w:ind w:right="1840"/>
              <w:spacing w:after="0"/>
              <w:rPr>
                <w:sz w:val="20"/>
                <w:szCs w:val="20"/>
                <w:color w:val="auto"/>
              </w:rPr>
            </w:pPr>
            <w:r>
              <w:rPr>
                <w:rFonts w:ascii="Arial" w:cs="Arial" w:eastAsia="Arial" w:hAnsi="Arial"/>
                <w:sz w:val="18"/>
                <w:szCs w:val="18"/>
                <w:color w:val="auto"/>
              </w:rPr>
              <w:t>34</w:t>
            </w:r>
          </w:p>
        </w:tc>
      </w:tr>
      <w:tr>
        <w:trPr>
          <w:trHeight w:val="412"/>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80" w:type="dxa"/>
            <w:vAlign w:val="bottom"/>
            <w:gridSpan w:val="20"/>
          </w:tcPr>
          <w:p>
            <w:pPr>
              <w:spacing w:after="0"/>
              <w:rPr>
                <w:sz w:val="20"/>
                <w:szCs w:val="20"/>
                <w:color w:val="auto"/>
              </w:rPr>
            </w:pPr>
            <w:r>
              <w:rPr>
                <w:rFonts w:ascii="Arial" w:cs="Arial" w:eastAsia="Arial" w:hAnsi="Arial"/>
                <w:sz w:val="18"/>
                <w:szCs w:val="18"/>
                <w:color w:val="0000EE"/>
              </w:rPr>
              <w:t>Exhibit 31(a)</w:t>
            </w: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40" w:type="dxa"/>
            <w:vAlign w:val="bottom"/>
            <w:gridSpan w:val="1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Exhibit 31(b)</w:t>
            </w:r>
          </w:p>
        </w:tc>
        <w:tc>
          <w:tcPr>
            <w:tcW w:w="7240" w:type="dxa"/>
            <w:vAlign w:val="bottom"/>
            <w:gridSpan w:val="15"/>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80" w:type="dxa"/>
            <w:vAlign w:val="bottom"/>
            <w:gridSpan w:val="20"/>
          </w:tcPr>
          <w:p>
            <w:pPr>
              <w:spacing w:after="0" w:line="196" w:lineRule="exact"/>
              <w:rPr>
                <w:sz w:val="20"/>
                <w:szCs w:val="20"/>
                <w:color w:val="auto"/>
              </w:rPr>
            </w:pPr>
            <w:r>
              <w:rPr>
                <w:rFonts w:ascii="Arial" w:cs="Arial" w:eastAsia="Arial" w:hAnsi="Arial"/>
                <w:sz w:val="18"/>
                <w:szCs w:val="18"/>
                <w:color w:val="0000EE"/>
              </w:rPr>
              <w:t>Exhibit 32(a)</w:t>
            </w: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7260" w:type="dxa"/>
            <w:vAlign w:val="bottom"/>
            <w:gridSpan w:val="1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1"/>
              </w:rPr>
              <w:t>Exhibit 32(b)</w:t>
            </w:r>
          </w:p>
        </w:tc>
        <w:tc>
          <w:tcPr>
            <w:tcW w:w="7240" w:type="dxa"/>
            <w:vAlign w:val="bottom"/>
            <w:gridSpan w:val="15"/>
          </w:tcPr>
          <w:p>
            <w:pPr>
              <w:spacing w:after="0"/>
              <w:rPr>
                <w:sz w:val="17"/>
                <w:szCs w:val="17"/>
                <w:color w:val="auto"/>
              </w:rPr>
            </w:pPr>
          </w:p>
        </w:tc>
        <w:tc>
          <w:tcPr>
            <w:tcW w:w="10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817"/>
        </w:trPr>
        <w:tc>
          <w:tcPr>
            <w:tcW w:w="5440" w:type="dxa"/>
            <w:vAlign w:val="bottom"/>
            <w:gridSpan w:val="16"/>
          </w:tcPr>
          <w:p>
            <w:pPr>
              <w:jc w:val="right"/>
              <w:ind w:right="4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(in thousands, except share data)</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5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June 28,</w:t>
            </w:r>
          </w:p>
        </w:tc>
        <w:tc>
          <w:tcPr>
            <w:tcW w:w="1360" w:type="dxa"/>
            <w:vAlign w:val="bottom"/>
            <w:gridSpan w:val="3"/>
          </w:tcPr>
          <w:p>
            <w:pPr>
              <w:spacing w:after="0"/>
              <w:rPr>
                <w:sz w:val="20"/>
                <w:szCs w:val="20"/>
                <w:color w:val="auto"/>
              </w:rPr>
            </w:pPr>
            <w:r>
              <w:rPr>
                <w:rFonts w:ascii="Arial" w:cs="Arial" w:eastAsia="Arial" w:hAnsi="Arial"/>
                <w:sz w:val="18"/>
                <w:szCs w:val="18"/>
                <w:color w:val="auto"/>
              </w:rPr>
              <w:t>December 29,</w:t>
            </w:r>
          </w:p>
        </w:tc>
        <w:tc>
          <w:tcPr>
            <w:tcW w:w="12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June 30,</w:t>
            </w:r>
          </w:p>
        </w:tc>
      </w:tr>
      <w:tr>
        <w:trPr>
          <w:trHeight w:val="230"/>
        </w:trPr>
        <w:tc>
          <w:tcPr>
            <w:tcW w:w="5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32,483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42,697</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227,963</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142,562</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233,067</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ind w:left="400"/>
              <w:spacing w:after="0"/>
              <w:rPr>
                <w:sz w:val="20"/>
                <w:szCs w:val="20"/>
                <w:color w:val="auto"/>
              </w:rPr>
            </w:pPr>
            <w:r>
              <w:rPr>
                <w:rFonts w:ascii="Arial" w:cs="Arial" w:eastAsia="Arial" w:hAnsi="Arial"/>
                <w:sz w:val="18"/>
                <w:szCs w:val="18"/>
                <w:color w:val="auto"/>
              </w:rPr>
              <w:t>Raw materials</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122,262</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120,805</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153,924</w:t>
            </w:r>
          </w:p>
        </w:tc>
      </w:tr>
      <w:tr>
        <w:trPr>
          <w:trHeight w:val="216"/>
        </w:trPr>
        <w:tc>
          <w:tcPr>
            <w:tcW w:w="5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100,675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115,063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120,471</w:t>
            </w:r>
          </w:p>
        </w:tc>
      </w:tr>
      <w:tr>
        <w:trPr>
          <w:trHeight w:val="223"/>
        </w:trPr>
        <w:tc>
          <w:tcPr>
            <w:tcW w:w="5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222,937</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235,868</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274,395</w:t>
            </w:r>
          </w:p>
        </w:tc>
        <w:tc>
          <w:tcPr>
            <w:tcW w:w="80" w:type="dxa"/>
            <w:vAlign w:val="bottom"/>
          </w:tcPr>
          <w:p>
            <w:pPr>
              <w:spacing w:after="0"/>
              <w:rPr>
                <w:sz w:val="19"/>
                <w:szCs w:val="19"/>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10,334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33,624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17,115</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Prepaid income taxes</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489</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15,077</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2,543</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34,339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29,789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19,796</w:t>
            </w:r>
          </w:p>
        </w:tc>
      </w:tr>
      <w:tr>
        <w:trPr>
          <w:trHeight w:val="224"/>
        </w:trPr>
        <w:tc>
          <w:tcPr>
            <w:tcW w:w="568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528,545</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500,525</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589,613</w:t>
            </w:r>
          </w:p>
        </w:tc>
        <w:tc>
          <w:tcPr>
            <w:tcW w:w="80" w:type="dxa"/>
            <w:vAlign w:val="bottom"/>
          </w:tcPr>
          <w:p>
            <w:pPr>
              <w:spacing w:after="0"/>
              <w:rPr>
                <w:sz w:val="19"/>
                <w:szCs w:val="19"/>
                <w:color w:val="auto"/>
              </w:rPr>
            </w:pPr>
          </w:p>
        </w:tc>
      </w:tr>
      <w:tr>
        <w:trPr>
          <w:trHeight w:val="215"/>
        </w:trPr>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7,657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8,094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7,691</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GOODWILL AND INDEFINITE-LIVED INTANGIBLE ASSETS</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158,287</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150,272</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152,170</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28,377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23,849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33,132</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514,347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513,003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518,407</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Accumulated depreciation and amortization</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(250,712)</w:t>
            </w: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(238,743)</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(231,969)</w:t>
            </w:r>
          </w:p>
        </w:tc>
      </w:tr>
      <w:tr>
        <w:trPr>
          <w:trHeight w:val="27"/>
        </w:trPr>
        <w:tc>
          <w:tcPr>
            <w:tcW w:w="5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263,635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274,260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286,438</w:t>
            </w: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986,501</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957,000</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1,069,044</w:t>
            </w:r>
          </w:p>
        </w:tc>
        <w:tc>
          <w:tcPr>
            <w:tcW w:w="8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122,345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83,505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147,614</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 and benefits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53,327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49,558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56,553</w:t>
            </w:r>
          </w:p>
        </w:tc>
      </w:tr>
      <w:tr>
        <w:trPr>
          <w:trHeight w:val="216"/>
        </w:trPr>
        <w:tc>
          <w:tcPr>
            <w:tcW w:w="5680" w:type="dxa"/>
            <w:vAlign w:val="bottom"/>
          </w:tcPr>
          <w:p>
            <w:pPr>
              <w:ind w:left="4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35,766</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28,717</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25,879</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 and capital lease obligations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3,611</w:t>
            </w:r>
          </w:p>
        </w:tc>
      </w:tr>
      <w:tr>
        <w:trPr>
          <w:trHeight w:val="224"/>
        </w:trPr>
        <w:tc>
          <w:tcPr>
            <w:tcW w:w="568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212,383</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162,725</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233,657</w:t>
            </w:r>
          </w:p>
        </w:tc>
        <w:tc>
          <w:tcPr>
            <w:tcW w:w="80" w:type="dxa"/>
            <w:vAlign w:val="bottom"/>
          </w:tcPr>
          <w:p>
            <w:pPr>
              <w:spacing w:after="0"/>
              <w:rPr>
                <w:sz w:val="19"/>
                <w:szCs w:val="19"/>
                <w:color w:val="auto"/>
              </w:rPr>
            </w:pPr>
          </w:p>
        </w:tc>
      </w:tr>
      <w:tr>
        <w:trPr>
          <w:trHeight w:val="215"/>
        </w:trPr>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5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LONG-TERM DEBT AND CAPITAL LEASE OBLIGATIONS, less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177,063</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205,126</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243,833</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24,491</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24,536</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24,196</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10,524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10,376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10,218</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17,746</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17,569</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15,795</w:t>
            </w:r>
          </w:p>
        </w:tc>
      </w:tr>
      <w:tr>
        <w:trPr>
          <w:trHeight w:val="27"/>
        </w:trPr>
        <w:tc>
          <w:tcPr>
            <w:tcW w:w="5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442,207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420,332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527,699</w:t>
            </w:r>
          </w:p>
        </w:tc>
      </w:tr>
      <w:tr>
        <w:trPr>
          <w:trHeight w:val="432"/>
        </w:trPr>
        <w:tc>
          <w:tcPr>
            <w:tcW w:w="568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5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Preferred stock, no par value; shares authorized 1,000,000; issued and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none</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5680" w:type="dxa"/>
            <w:vAlign w:val="bottom"/>
          </w:tcPr>
          <w:p>
            <w:pPr>
              <w:ind w:left="200"/>
              <w:spacing w:after="0" w:line="201" w:lineRule="exact"/>
              <w:rPr>
                <w:sz w:val="20"/>
                <w:szCs w:val="20"/>
                <w:color w:val="auto"/>
              </w:rPr>
            </w:pPr>
            <w:r>
              <w:rPr>
                <w:rFonts w:ascii="Arial" w:cs="Arial" w:eastAsia="Arial" w:hAnsi="Arial"/>
                <w:sz w:val="18"/>
                <w:szCs w:val="18"/>
                <w:color w:val="auto"/>
                <w:w w:val="95"/>
              </w:rPr>
              <w:t>Common stock, no par value; shares authorized 40,000,000; issued and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680" w:type="dxa"/>
            <w:vAlign w:val="bottom"/>
          </w:tcPr>
          <w:p>
            <w:pPr>
              <w:ind w:left="400"/>
              <w:spacing w:after="0"/>
              <w:rPr>
                <w:sz w:val="20"/>
                <w:szCs w:val="20"/>
                <w:color w:val="auto"/>
              </w:rPr>
            </w:pPr>
            <w:r>
              <w:rPr>
                <w:rFonts w:ascii="Arial" w:cs="Arial" w:eastAsia="Arial" w:hAnsi="Arial"/>
                <w:sz w:val="18"/>
                <w:szCs w:val="18"/>
                <w:color w:val="auto"/>
              </w:rPr>
              <w:t>outstanding, 18,989,644, 18,907,841 and 19,024,641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18,990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18,908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19,025</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125,225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123,368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121,785</w:t>
            </w:r>
          </w:p>
        </w:tc>
      </w:tr>
      <w:tr>
        <w:trPr>
          <w:trHeight w:val="216"/>
        </w:trPr>
        <w:tc>
          <w:tcPr>
            <w:tcW w:w="56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397,201</w:t>
            </w:r>
          </w:p>
        </w:tc>
        <w:tc>
          <w:tcPr>
            <w:tcW w:w="2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391,253</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398,509</w:t>
            </w: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earnings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4,653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4,704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3,654</w:t>
            </w:r>
          </w:p>
        </w:tc>
      </w:tr>
      <w:tr>
        <w:trPr>
          <w:trHeight w:val="223"/>
        </w:trPr>
        <w:tc>
          <w:tcPr>
            <w:tcW w:w="5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546,069</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538,233</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542,973</w:t>
            </w:r>
          </w:p>
        </w:tc>
        <w:tc>
          <w:tcPr>
            <w:tcW w:w="80" w:type="dxa"/>
            <w:vAlign w:val="bottom"/>
          </w:tcPr>
          <w:p>
            <w:pPr>
              <w:spacing w:after="0"/>
              <w:rPr>
                <w:sz w:val="19"/>
                <w:szCs w:val="19"/>
                <w:color w:val="auto"/>
              </w:rPr>
            </w:pPr>
          </w:p>
        </w:tc>
      </w:tr>
      <w:tr>
        <w:trPr>
          <w:trHeight w:val="216"/>
        </w:trPr>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stock notes receivable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(1,628)</w:t>
            </w:r>
          </w:p>
        </w:tc>
      </w:tr>
      <w:tr>
        <w:trPr>
          <w:trHeight w:val="230"/>
        </w:trPr>
        <w:tc>
          <w:tcPr>
            <w:tcW w:w="5680" w:type="dxa"/>
            <w:vAlign w:val="bottom"/>
          </w:tcPr>
          <w:p>
            <w:pPr>
              <w:ind w:left="6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544,294</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536,668</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541,345</w:t>
            </w:r>
          </w:p>
        </w:tc>
        <w:tc>
          <w:tcPr>
            <w:tcW w:w="80" w:type="dxa"/>
            <w:vAlign w:val="bottom"/>
          </w:tcPr>
          <w:p>
            <w:pPr>
              <w:spacing w:after="0"/>
              <w:rPr>
                <w:sz w:val="20"/>
                <w:szCs w:val="20"/>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986,501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957,000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1,069,044</w:t>
            </w:r>
          </w:p>
        </w:tc>
      </w:tr>
      <w:tr>
        <w:trPr>
          <w:trHeight w:val="20"/>
        </w:trPr>
        <w:tc>
          <w:tcPr>
            <w:tcW w:w="5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2080"/>
        <w:spacing w:after="0" w:line="275" w:lineRule="auto"/>
        <w:rPr>
          <w:sz w:val="20"/>
          <w:szCs w:val="20"/>
          <w:color w:val="auto"/>
        </w:rPr>
      </w:pPr>
      <w:r>
        <w:rPr>
          <w:rFonts w:ascii="Arial" w:cs="Arial" w:eastAsia="Arial" w:hAnsi="Arial"/>
          <w:sz w:val="18"/>
          <w:szCs w:val="18"/>
          <w:b w:val="1"/>
          <w:bCs w:val="1"/>
          <w:color w:val="auto"/>
        </w:rPr>
        <w:t xml:space="preserve">UNIVERSAL FOREST PRODUCTS, INC. CONSOLIDATED CONDENSED STATEMENTS OF EARNINGS </w:t>
      </w:r>
      <w:r>
        <w:rPr>
          <w:rFonts w:ascii="Arial" w:cs="Arial" w:eastAsia="Arial" w:hAnsi="Arial"/>
          <w:sz w:val="18"/>
          <w:szCs w:val="18"/>
          <w:color w:val="auto"/>
        </w:rPr>
        <w:t>(Unaudited)</w:t>
      </w:r>
    </w:p>
    <w:p>
      <w:pPr>
        <w:spacing w:after="0" w:line="36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(in thousands, except per share data)</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tcPr>
          <w:p>
            <w:pPr>
              <w:jc w:val="right"/>
              <w:ind w:right="72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4"/>
                <w:szCs w:val="24"/>
                <w:color w:val="auto"/>
              </w:rPr>
            </w:pPr>
          </w:p>
        </w:tc>
        <w:tc>
          <w:tcPr>
            <w:tcW w:w="2160" w:type="dxa"/>
            <w:vAlign w:val="bottom"/>
            <w:gridSpan w:val="5"/>
          </w:tcPr>
          <w:p>
            <w:pPr>
              <w:jc w:val="right"/>
              <w:ind w:right="520"/>
              <w:spacing w:after="0"/>
              <w:rPr>
                <w:sz w:val="20"/>
                <w:szCs w:val="20"/>
                <w:color w:val="auto"/>
              </w:rPr>
            </w:pPr>
            <w:r>
              <w:rPr>
                <w:rFonts w:ascii="Arial" w:cs="Arial" w:eastAsia="Arial" w:hAnsi="Arial"/>
                <w:sz w:val="18"/>
                <w:szCs w:val="18"/>
                <w:color w:val="auto"/>
              </w:rPr>
              <w:t>Six Months Ended</w:t>
            </w:r>
          </w:p>
        </w:tc>
      </w:tr>
      <w:tr>
        <w:trPr>
          <w:trHeight w:val="195"/>
        </w:trPr>
        <w:tc>
          <w:tcPr>
            <w:tcW w:w="44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560"/>
              <w:spacing w:after="0" w:line="195" w:lineRule="exact"/>
              <w:rPr>
                <w:sz w:val="20"/>
                <w:szCs w:val="20"/>
                <w:color w:val="auto"/>
              </w:rPr>
            </w:pPr>
            <w:r>
              <w:rPr>
                <w:rFonts w:ascii="Arial" w:cs="Arial" w:eastAsia="Arial" w:hAnsi="Arial"/>
                <w:sz w:val="18"/>
                <w:szCs w:val="18"/>
                <w:color w:val="auto"/>
                <w:w w:val="89"/>
              </w:rPr>
              <w:t>June 28,</w:t>
            </w: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w w:val="89"/>
              </w:rPr>
              <w:t>June 30,</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520"/>
              <w:spacing w:after="0" w:line="195" w:lineRule="exact"/>
              <w:rPr>
                <w:sz w:val="20"/>
                <w:szCs w:val="20"/>
                <w:color w:val="auto"/>
              </w:rPr>
            </w:pPr>
            <w:r>
              <w:rPr>
                <w:rFonts w:ascii="Arial" w:cs="Arial" w:eastAsia="Arial" w:hAnsi="Arial"/>
                <w:sz w:val="18"/>
                <w:szCs w:val="18"/>
                <w:color w:val="auto"/>
                <w:w w:val="89"/>
              </w:rPr>
              <w:t>June 28,</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w w:val="89"/>
              </w:rPr>
              <w:t>June 30,</w:t>
            </w:r>
          </w:p>
        </w:tc>
        <w:tc>
          <w:tcPr>
            <w:tcW w:w="80" w:type="dxa"/>
            <w:vAlign w:val="bottom"/>
          </w:tcPr>
          <w:p>
            <w:pPr>
              <w:spacing w:after="0"/>
              <w:rPr>
                <w:sz w:val="16"/>
                <w:szCs w:val="16"/>
                <w:color w:val="auto"/>
              </w:rPr>
            </w:pPr>
          </w:p>
        </w:tc>
      </w:tr>
      <w:tr>
        <w:trPr>
          <w:trHeight w:val="230"/>
        </w:trPr>
        <w:tc>
          <w:tcPr>
            <w:tcW w:w="4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708,485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773,105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1,197,997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1,322,143</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623,607</w:t>
            </w:r>
          </w:p>
        </w:tc>
        <w:tc>
          <w:tcPr>
            <w:tcW w:w="12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671,400</w:t>
            </w:r>
          </w:p>
        </w:tc>
        <w:tc>
          <w:tcPr>
            <w:tcW w:w="14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1,058,299</w:t>
            </w:r>
          </w:p>
        </w:tc>
        <w:tc>
          <w:tcPr>
            <w:tcW w:w="1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1,146,918</w:t>
            </w:r>
          </w:p>
        </w:tc>
      </w:tr>
      <w:tr>
        <w:trPr>
          <w:trHeight w:val="223"/>
        </w:trPr>
        <w:tc>
          <w:tcPr>
            <w:tcW w:w="4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84,878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101,705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139,698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175,225</w:t>
            </w:r>
          </w:p>
        </w:tc>
      </w:tr>
      <w:tr>
        <w:trPr>
          <w:trHeight w:val="418"/>
        </w:trPr>
        <w:tc>
          <w:tcPr>
            <w:tcW w:w="44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4400" w:type="dxa"/>
            <w:vAlign w:val="bottom"/>
          </w:tcPr>
          <w:p>
            <w:pPr>
              <w:ind w:left="20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62,120</w:t>
            </w:r>
          </w:p>
        </w:tc>
        <w:tc>
          <w:tcPr>
            <w:tcW w:w="12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70,049</w:t>
            </w:r>
          </w:p>
        </w:tc>
        <w:tc>
          <w:tcPr>
            <w:tcW w:w="14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121,471</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133,507</w:t>
            </w:r>
          </w:p>
        </w:tc>
      </w:tr>
      <w:tr>
        <w:trPr>
          <w:trHeight w:val="223"/>
        </w:trPr>
        <w:tc>
          <w:tcPr>
            <w:tcW w:w="4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22,758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31,656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18,227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41,718</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3,290</w:t>
            </w:r>
          </w:p>
        </w:tc>
        <w:tc>
          <w:tcPr>
            <w:tcW w:w="12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4,766</w:t>
            </w:r>
          </w:p>
        </w:tc>
        <w:tc>
          <w:tcPr>
            <w:tcW w:w="14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6,884</w:t>
            </w:r>
          </w:p>
        </w:tc>
        <w:tc>
          <w:tcPr>
            <w:tcW w:w="1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9,090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(1,140)</w:t>
            </w:r>
          </w:p>
        </w:tc>
      </w:tr>
      <w:tr>
        <w:trPr>
          <w:trHeight w:val="223"/>
        </w:trPr>
        <w:tc>
          <w:tcPr>
            <w:tcW w:w="4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4,208</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6,332</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7,950</w:t>
            </w:r>
          </w:p>
        </w:tc>
        <w:tc>
          <w:tcPr>
            <w:tcW w:w="80" w:type="dxa"/>
            <w:vAlign w:val="bottom"/>
          </w:tcPr>
          <w:p>
            <w:pPr>
              <w:spacing w:after="0"/>
              <w:rPr>
                <w:sz w:val="19"/>
                <w:szCs w:val="19"/>
                <w:color w:val="auto"/>
              </w:rPr>
            </w:pPr>
          </w:p>
        </w:tc>
      </w:tr>
      <w:tr>
        <w:trPr>
          <w:trHeight w:val="223"/>
        </w:trPr>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BEFORE INCOME TAXES AND</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19,647</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27,448</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11,895</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33,768</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7,470</w:t>
            </w:r>
          </w:p>
        </w:tc>
        <w:tc>
          <w:tcPr>
            <w:tcW w:w="12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10,182</w:t>
            </w:r>
          </w:p>
        </w:tc>
        <w:tc>
          <w:tcPr>
            <w:tcW w:w="14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4,120</w:t>
            </w:r>
          </w:p>
        </w:tc>
        <w:tc>
          <w:tcPr>
            <w:tcW w:w="1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12,250</w:t>
            </w:r>
          </w:p>
        </w:tc>
      </w:tr>
      <w:tr>
        <w:trPr>
          <w:trHeight w:val="223"/>
        </w:trPr>
        <w:tc>
          <w:tcPr>
            <w:tcW w:w="4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MINORITY INTEREST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12,177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17,266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7,775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21,518</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MINORITY INTEREST</w:t>
            </w:r>
          </w:p>
        </w:tc>
        <w:tc>
          <w:tcPr>
            <w:tcW w:w="1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(466)</w:t>
            </w:r>
          </w:p>
        </w:tc>
        <w:tc>
          <w:tcPr>
            <w:tcW w:w="140" w:type="dxa"/>
            <w:vAlign w:val="bottom"/>
          </w:tcPr>
          <w:p>
            <w:pPr>
              <w:spacing w:after="0"/>
              <w:rPr>
                <w:sz w:val="24"/>
                <w:szCs w:val="2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(832)</w:t>
            </w:r>
          </w:p>
        </w:tc>
      </w:tr>
      <w:tr>
        <w:trPr>
          <w:trHeight w:val="223"/>
        </w:trPr>
        <w:tc>
          <w:tcPr>
            <w:tcW w:w="4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20,686</w:t>
            </w:r>
          </w:p>
        </w:tc>
      </w:tr>
      <w:tr>
        <w:trPr>
          <w:trHeight w:val="20"/>
        </w:trPr>
        <w:tc>
          <w:tcPr>
            <w:tcW w:w="4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4400" w:type="dxa"/>
            <w:vAlign w:val="bottom"/>
          </w:tcPr>
          <w:p>
            <w:pPr>
              <w:spacing w:after="0"/>
              <w:rPr>
                <w:sz w:val="20"/>
                <w:szCs w:val="20"/>
                <w:color w:val="auto"/>
              </w:rPr>
            </w:pPr>
            <w:r>
              <w:rPr>
                <w:rFonts w:ascii="Arial" w:cs="Arial" w:eastAsia="Arial" w:hAnsi="Arial"/>
                <w:sz w:val="18"/>
                <w:szCs w:val="18"/>
                <w:color w:val="auto"/>
              </w:rPr>
              <w:t>EARNINGS PER SHARE - 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0.61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r>
      <w:tr>
        <w:trPr>
          <w:trHeight w:val="216"/>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19,048</w:t>
            </w:r>
          </w:p>
        </w:tc>
        <w:tc>
          <w:tcPr>
            <w:tcW w:w="12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19,127</w:t>
            </w:r>
          </w:p>
        </w:tc>
        <w:tc>
          <w:tcPr>
            <w:tcW w:w="14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19,022</w:t>
            </w:r>
          </w:p>
        </w:tc>
        <w:tc>
          <w:tcPr>
            <w:tcW w:w="1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19,056</w:t>
            </w:r>
          </w:p>
        </w:tc>
      </w:tr>
      <w:tr>
        <w:trPr>
          <w:trHeight w:val="216"/>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OUTSTANDING</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 COMMON STOCK EQUIVALENTS</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19,267</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19,487</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19,224</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19,448</w:t>
            </w: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line="4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1980"/>
        <w:spacing w:after="0" w:line="275" w:lineRule="auto"/>
        <w:rPr>
          <w:sz w:val="20"/>
          <w:szCs w:val="20"/>
          <w:color w:val="auto"/>
        </w:rPr>
      </w:pPr>
      <w:r>
        <w:rPr>
          <w:rFonts w:ascii="Arial" w:cs="Arial" w:eastAsia="Arial" w:hAnsi="Arial"/>
          <w:sz w:val="18"/>
          <w:szCs w:val="18"/>
          <w:b w:val="1"/>
          <w:bCs w:val="1"/>
          <w:color w:val="auto"/>
        </w:rPr>
        <w:t xml:space="preserve">UNIVERSAL FOREST PRODUCTS, INC. CONSOLIDATED STATEMENTS OF SHAREHOLDERS’ EQUITY </w:t>
      </w:r>
      <w:r>
        <w:rPr>
          <w:rFonts w:ascii="Arial" w:cs="Arial" w:eastAsia="Arial" w:hAnsi="Arial"/>
          <w:sz w:val="18"/>
          <w:szCs w:val="18"/>
          <w:color w:val="auto"/>
        </w:rPr>
        <w:t>(Unaudited)</w:t>
      </w:r>
    </w:p>
    <w:p>
      <w:pPr>
        <w:spacing w:after="0" w:line="3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thousands, except share and per share data)</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spacing w:after="0"/>
              <w:rPr>
                <w:sz w:val="20"/>
                <w:szCs w:val="20"/>
                <w:color w:val="auto"/>
              </w:rPr>
            </w:pPr>
            <w:r>
              <w:rPr>
                <w:rFonts w:ascii="Arial" w:cs="Arial" w:eastAsia="Arial" w:hAnsi="Arial"/>
                <w:sz w:val="16"/>
                <w:szCs w:val="16"/>
                <w:color w:val="auto"/>
              </w:rPr>
              <w:t>Accumulated Other</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auto"/>
              </w:rPr>
              <w:t>Additional Paid-In</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w w:val="91"/>
              </w:rPr>
              <w:t>Comprehensive</w:t>
            </w:r>
          </w:p>
        </w:tc>
        <w:tc>
          <w:tcPr>
            <w:tcW w:w="1260" w:type="dxa"/>
            <w:vAlign w:val="bottom"/>
            <w:gridSpan w:val="3"/>
          </w:tcPr>
          <w:p>
            <w:pPr>
              <w:spacing w:after="0"/>
              <w:rPr>
                <w:sz w:val="20"/>
                <w:szCs w:val="20"/>
                <w:color w:val="auto"/>
              </w:rPr>
            </w:pPr>
            <w:r>
              <w:rPr>
                <w:rFonts w:ascii="Arial" w:cs="Arial" w:eastAsia="Arial" w:hAnsi="Arial"/>
                <w:sz w:val="16"/>
                <w:szCs w:val="16"/>
                <w:color w:val="auto"/>
              </w:rPr>
              <w:t>Employees Stock</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6"/>
                <w:szCs w:val="16"/>
                <w:color w:val="auto"/>
              </w:rPr>
              <w:t>Capital</w:t>
            </w:r>
          </w:p>
        </w:tc>
        <w:tc>
          <w:tcPr>
            <w:tcW w:w="1320" w:type="dxa"/>
            <w:vAlign w:val="bottom"/>
            <w:gridSpan w:val="3"/>
          </w:tcPr>
          <w:p>
            <w:pPr>
              <w:spacing w:after="0"/>
              <w:rPr>
                <w:sz w:val="20"/>
                <w:szCs w:val="20"/>
                <w:color w:val="auto"/>
              </w:rPr>
            </w:pPr>
            <w:r>
              <w:rPr>
                <w:rFonts w:ascii="Arial" w:cs="Arial" w:eastAsia="Arial" w:hAnsi="Arial"/>
                <w:sz w:val="16"/>
                <w:szCs w:val="16"/>
                <w:color w:val="auto"/>
                <w:w w:val="98"/>
              </w:rPr>
              <w:t>Retained Earnings</w:t>
            </w:r>
          </w:p>
        </w:tc>
        <w:tc>
          <w:tcPr>
            <w:tcW w:w="1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6"/>
                <w:szCs w:val="16"/>
                <w:color w:val="auto"/>
              </w:rPr>
              <w:t>Earnings</w:t>
            </w:r>
          </w:p>
        </w:tc>
        <w:tc>
          <w:tcPr>
            <w:tcW w:w="1260" w:type="dxa"/>
            <w:vAlign w:val="bottom"/>
            <w:gridSpan w:val="3"/>
          </w:tcPr>
          <w:p>
            <w:pPr>
              <w:spacing w:after="0"/>
              <w:rPr>
                <w:sz w:val="20"/>
                <w:szCs w:val="20"/>
                <w:color w:val="auto"/>
              </w:rPr>
            </w:pPr>
            <w:r>
              <w:rPr>
                <w:rFonts w:ascii="Arial" w:cs="Arial" w:eastAsia="Arial" w:hAnsi="Arial"/>
                <w:sz w:val="16"/>
                <w:szCs w:val="16"/>
                <w:color w:val="auto"/>
                <w:w w:val="98"/>
              </w:rPr>
              <w:t>Notes Receivable</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85"/>
        </w:trPr>
        <w:tc>
          <w:tcPr>
            <w:tcW w:w="2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30,</w:t>
            </w:r>
          </w:p>
        </w:tc>
        <w:tc>
          <w:tcPr>
            <w:tcW w:w="3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2006</w:t>
            </w:r>
          </w:p>
        </w:tc>
        <w:tc>
          <w:tcPr>
            <w:tcW w:w="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18,859</w:t>
            </w:r>
          </w:p>
        </w:tc>
        <w:tc>
          <w:tcPr>
            <w:tcW w:w="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113,754</w:t>
            </w:r>
          </w:p>
        </w:tc>
        <w:tc>
          <w:tcPr>
            <w:tcW w:w="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380,931</w:t>
            </w:r>
          </w:p>
        </w:tc>
        <w:tc>
          <w:tcPr>
            <w:tcW w:w="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2,451</w:t>
            </w:r>
          </w:p>
        </w:tc>
        <w:tc>
          <w:tcPr>
            <w:tcW w:w="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(1,253)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92"/>
              </w:rPr>
              <w:t>$ 514,742</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20"/>
                <w:szCs w:val="20"/>
                <w:color w:val="auto"/>
              </w:rPr>
            </w:pPr>
            <w:r>
              <w:rPr>
                <w:rFonts w:ascii="Arial" w:cs="Arial" w:eastAsia="Arial" w:hAnsi="Arial"/>
                <w:sz w:val="16"/>
                <w:szCs w:val="16"/>
                <w:color w:val="auto"/>
              </w:rPr>
              <w:t>Comprehensive earnings:</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earnings</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20,686</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00" w:type="dxa"/>
            <w:vAlign w:val="bottom"/>
          </w:tcPr>
          <w:p>
            <w:pPr>
              <w:ind w:left="200"/>
              <w:spacing w:after="0"/>
              <w:rPr>
                <w:sz w:val="20"/>
                <w:szCs w:val="20"/>
                <w:color w:val="auto"/>
              </w:rPr>
            </w:pPr>
            <w:r>
              <w:rPr>
                <w:rFonts w:ascii="Arial" w:cs="Arial" w:eastAsia="Arial" w:hAnsi="Arial"/>
                <w:sz w:val="16"/>
                <w:szCs w:val="16"/>
                <w:color w:val="auto"/>
              </w:rPr>
              <w:t>Foreign currency</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400"/>
              <w:spacing w:after="0"/>
              <w:rPr>
                <w:sz w:val="20"/>
                <w:szCs w:val="20"/>
                <w:color w:val="auto"/>
              </w:rPr>
            </w:pPr>
            <w:r>
              <w:rPr>
                <w:rFonts w:ascii="Arial" w:cs="Arial" w:eastAsia="Arial" w:hAnsi="Arial"/>
                <w:sz w:val="16"/>
                <w:szCs w:val="16"/>
                <w:color w:val="auto"/>
              </w:rPr>
              <w:t>translation adjustment</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1,203</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comprehensive</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earnings</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21,889</w:t>
            </w:r>
          </w:p>
        </w:tc>
        <w:tc>
          <w:tcPr>
            <w:tcW w:w="0" w:type="dxa"/>
            <w:vAlign w:val="bottom"/>
          </w:tcPr>
          <w:p>
            <w:pPr>
              <w:spacing w:after="0"/>
              <w:rPr>
                <w:sz w:val="1"/>
                <w:szCs w:val="1"/>
                <w:color w:val="auto"/>
              </w:rPr>
            </w:pPr>
          </w:p>
        </w:tc>
      </w:tr>
      <w:tr>
        <w:trPr>
          <w:trHeight w:val="193"/>
        </w:trPr>
        <w:tc>
          <w:tcPr>
            <w:tcW w:w="2100" w:type="dxa"/>
            <w:vAlign w:val="bottom"/>
          </w:tcPr>
          <w:p>
            <w:pPr>
              <w:spacing w:after="0"/>
              <w:rPr>
                <w:sz w:val="20"/>
                <w:szCs w:val="20"/>
                <w:color w:val="auto"/>
              </w:rPr>
            </w:pPr>
            <w:r>
              <w:rPr>
                <w:rFonts w:ascii="Arial" w:cs="Arial" w:eastAsia="Arial" w:hAnsi="Arial"/>
                <w:sz w:val="16"/>
                <w:szCs w:val="16"/>
                <w:color w:val="auto"/>
              </w:rPr>
              <w:t>Cash dividends - $.055 per</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200"/>
              <w:spacing w:after="0"/>
              <w:rPr>
                <w:sz w:val="20"/>
                <w:szCs w:val="20"/>
                <w:color w:val="auto"/>
              </w:rPr>
            </w:pPr>
            <w:r>
              <w:rPr>
                <w:rFonts w:ascii="Arial" w:cs="Arial" w:eastAsia="Arial" w:hAnsi="Arial"/>
                <w:sz w:val="16"/>
                <w:szCs w:val="16"/>
                <w:color w:val="auto"/>
              </w:rPr>
              <w:t>share</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(1,047)</w:t>
            </w: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Issuance of 187,870 shares</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under employee stock</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plans</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3,038</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3,226</w:t>
            </w:r>
          </w:p>
        </w:tc>
        <w:tc>
          <w:tcPr>
            <w:tcW w:w="0" w:type="dxa"/>
            <w:vAlign w:val="bottom"/>
          </w:tcPr>
          <w:p>
            <w:pPr>
              <w:spacing w:after="0"/>
              <w:rPr>
                <w:sz w:val="1"/>
                <w:szCs w:val="1"/>
                <w:color w:val="auto"/>
              </w:rPr>
            </w:pPr>
          </w:p>
        </w:tc>
      </w:tr>
      <w:tr>
        <w:trPr>
          <w:trHeight w:val="193"/>
        </w:trPr>
        <w:tc>
          <w:tcPr>
            <w:tcW w:w="2100" w:type="dxa"/>
            <w:vAlign w:val="bottom"/>
          </w:tcPr>
          <w:p>
            <w:pPr>
              <w:spacing w:after="0"/>
              <w:rPr>
                <w:sz w:val="20"/>
                <w:szCs w:val="20"/>
                <w:color w:val="auto"/>
              </w:rPr>
            </w:pPr>
            <w:r>
              <w:rPr>
                <w:rFonts w:ascii="Arial" w:cs="Arial" w:eastAsia="Arial" w:hAnsi="Arial"/>
                <w:sz w:val="16"/>
                <w:szCs w:val="16"/>
                <w:color w:val="auto"/>
              </w:rPr>
              <w:t>Issuance of 3,130 shares</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0"/>
              <w:spacing w:after="0"/>
              <w:rPr>
                <w:sz w:val="20"/>
                <w:szCs w:val="20"/>
                <w:color w:val="auto"/>
              </w:rPr>
            </w:pPr>
            <w:r>
              <w:rPr>
                <w:rFonts w:ascii="Arial" w:cs="Arial" w:eastAsia="Arial" w:hAnsi="Arial"/>
                <w:sz w:val="16"/>
                <w:szCs w:val="16"/>
                <w:color w:val="auto"/>
              </w:rPr>
              <w:t>under stock grant</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200"/>
              <w:spacing w:after="0"/>
              <w:rPr>
                <w:sz w:val="20"/>
                <w:szCs w:val="20"/>
                <w:color w:val="auto"/>
              </w:rPr>
            </w:pPr>
            <w:r>
              <w:rPr>
                <w:rFonts w:ascii="Arial" w:cs="Arial" w:eastAsia="Arial" w:hAnsi="Arial"/>
                <w:sz w:val="16"/>
                <w:szCs w:val="16"/>
                <w:color w:val="auto"/>
              </w:rPr>
              <w:t>programs</w:t>
            </w:r>
          </w:p>
        </w:tc>
        <w:tc>
          <w:tcPr>
            <w:tcW w:w="3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143</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Issuance of 25,583 shares</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under deferred</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compensation plans</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100" w:type="dxa"/>
            <w:vAlign w:val="bottom"/>
          </w:tcPr>
          <w:p>
            <w:pPr>
              <w:spacing w:after="0"/>
              <w:rPr>
                <w:sz w:val="20"/>
                <w:szCs w:val="20"/>
                <w:color w:val="auto"/>
              </w:rPr>
            </w:pPr>
            <w:r>
              <w:rPr>
                <w:rFonts w:ascii="Arial" w:cs="Arial" w:eastAsia="Arial" w:hAnsi="Arial"/>
                <w:sz w:val="16"/>
                <w:szCs w:val="16"/>
                <w:color w:val="auto"/>
                <w:w w:val="99"/>
              </w:rPr>
              <w:t>Repurchase of 45,100 shares</w:t>
            </w:r>
          </w:p>
        </w:tc>
        <w:tc>
          <w:tcPr>
            <w:tcW w:w="32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(2,061)</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(2,106)</w:t>
            </w:r>
          </w:p>
        </w:tc>
        <w:tc>
          <w:tcPr>
            <w:tcW w:w="0" w:type="dxa"/>
            <w:vAlign w:val="bottom"/>
          </w:tcPr>
          <w:p>
            <w:pPr>
              <w:spacing w:after="0"/>
              <w:rPr>
                <w:sz w:val="1"/>
                <w:szCs w:val="1"/>
                <w:color w:val="auto"/>
              </w:rPr>
            </w:pPr>
          </w:p>
        </w:tc>
      </w:tr>
      <w:tr>
        <w:trPr>
          <w:trHeight w:val="193"/>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Received 15,866 shares for</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the exercise of stock</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options</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(766)</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r>
        <w:trPr>
          <w:trHeight w:val="193"/>
        </w:trPr>
        <w:tc>
          <w:tcPr>
            <w:tcW w:w="2100" w:type="dxa"/>
            <w:vAlign w:val="bottom"/>
          </w:tcPr>
          <w:p>
            <w:pPr>
              <w:spacing w:after="0"/>
              <w:rPr>
                <w:sz w:val="20"/>
                <w:szCs w:val="20"/>
                <w:color w:val="auto"/>
              </w:rPr>
            </w:pPr>
            <w:r>
              <w:rPr>
                <w:rFonts w:ascii="Arial" w:cs="Arial" w:eastAsia="Arial" w:hAnsi="Arial"/>
                <w:sz w:val="16"/>
                <w:szCs w:val="16"/>
                <w:color w:val="auto"/>
              </w:rPr>
              <w:t>Tax benefits from non-</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0"/>
              <w:spacing w:after="0"/>
              <w:rPr>
                <w:sz w:val="20"/>
                <w:szCs w:val="20"/>
                <w:color w:val="auto"/>
              </w:rPr>
            </w:pPr>
            <w:r>
              <w:rPr>
                <w:rFonts w:ascii="Arial" w:cs="Arial" w:eastAsia="Arial" w:hAnsi="Arial"/>
                <w:sz w:val="16"/>
                <w:szCs w:val="16"/>
                <w:color w:val="auto"/>
              </w:rPr>
              <w:t>qualified stock options</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200"/>
              <w:spacing w:after="0"/>
              <w:rPr>
                <w:sz w:val="20"/>
                <w:szCs w:val="20"/>
                <w:color w:val="auto"/>
              </w:rPr>
            </w:pPr>
            <w:r>
              <w:rPr>
                <w:rFonts w:ascii="Arial" w:cs="Arial" w:eastAsia="Arial" w:hAnsi="Arial"/>
                <w:sz w:val="16"/>
                <w:szCs w:val="16"/>
                <w:color w:val="auto"/>
              </w:rPr>
              <w:t>exercised</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1,453</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1,453</w:t>
            </w: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Expense associated with</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share-based compensation</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arrangements</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258</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193"/>
        </w:trPr>
        <w:tc>
          <w:tcPr>
            <w:tcW w:w="2100" w:type="dxa"/>
            <w:vAlign w:val="bottom"/>
          </w:tcPr>
          <w:p>
            <w:pPr>
              <w:spacing w:after="0"/>
              <w:rPr>
                <w:sz w:val="20"/>
                <w:szCs w:val="20"/>
                <w:color w:val="auto"/>
              </w:rPr>
            </w:pPr>
            <w:r>
              <w:rPr>
                <w:rFonts w:ascii="Arial" w:cs="Arial" w:eastAsia="Arial" w:hAnsi="Arial"/>
                <w:sz w:val="16"/>
                <w:szCs w:val="16"/>
                <w:color w:val="auto"/>
              </w:rPr>
              <w:t>Accrued expense under</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0"/>
              <w:spacing w:after="0"/>
              <w:rPr>
                <w:sz w:val="20"/>
                <w:szCs w:val="20"/>
                <w:color w:val="auto"/>
              </w:rPr>
            </w:pPr>
            <w:r>
              <w:rPr>
                <w:rFonts w:ascii="Arial" w:cs="Arial" w:eastAsia="Arial" w:hAnsi="Arial"/>
                <w:sz w:val="16"/>
                <w:szCs w:val="16"/>
                <w:color w:val="auto"/>
              </w:rPr>
              <w:t>deferred compensation</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200"/>
              <w:spacing w:after="0"/>
              <w:rPr>
                <w:sz w:val="20"/>
                <w:szCs w:val="20"/>
                <w:color w:val="auto"/>
              </w:rPr>
            </w:pPr>
            <w:r>
              <w:rPr>
                <w:rFonts w:ascii="Arial" w:cs="Arial" w:eastAsia="Arial" w:hAnsi="Arial"/>
                <w:sz w:val="16"/>
                <w:szCs w:val="16"/>
                <w:color w:val="auto"/>
              </w:rPr>
              <w:t>plans</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3,439</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3,439</w:t>
            </w: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Issuance of 10,132 shares in</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exchange for employee</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notes receivable</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492</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100" w:type="dxa"/>
            <w:vAlign w:val="bottom"/>
          </w:tcPr>
          <w:p>
            <w:pPr>
              <w:spacing w:after="0"/>
              <w:rPr>
                <w:sz w:val="20"/>
                <w:szCs w:val="20"/>
                <w:color w:val="auto"/>
              </w:rPr>
            </w:pPr>
            <w:r>
              <w:rPr>
                <w:rFonts w:ascii="Arial" w:cs="Arial" w:eastAsia="Arial" w:hAnsi="Arial"/>
                <w:sz w:val="16"/>
                <w:szCs w:val="16"/>
                <w:color w:val="auto"/>
              </w:rPr>
              <w:t>Payments received on</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0"/>
              <w:spacing w:after="0"/>
              <w:rPr>
                <w:sz w:val="20"/>
                <w:szCs w:val="20"/>
                <w:color w:val="auto"/>
              </w:rPr>
            </w:pPr>
            <w:r>
              <w:rPr>
                <w:rFonts w:ascii="Arial" w:cs="Arial" w:eastAsia="Arial" w:hAnsi="Arial"/>
                <w:sz w:val="16"/>
                <w:szCs w:val="16"/>
                <w:color w:val="auto"/>
              </w:rPr>
              <w:t>employee stock notes</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200"/>
              <w:spacing w:after="0"/>
              <w:rPr>
                <w:sz w:val="20"/>
                <w:szCs w:val="20"/>
                <w:color w:val="auto"/>
              </w:rPr>
            </w:pPr>
            <w:r>
              <w:rPr>
                <w:rFonts w:ascii="Arial" w:cs="Arial" w:eastAsia="Arial" w:hAnsi="Arial"/>
                <w:sz w:val="16"/>
                <w:szCs w:val="16"/>
                <w:color w:val="auto"/>
              </w:rPr>
              <w:t>receivable</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127</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0"/>
        </w:trPr>
        <w:tc>
          <w:tcPr>
            <w:tcW w:w="2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June 30, 2007</w:t>
            </w:r>
          </w:p>
        </w:tc>
        <w:tc>
          <w:tcPr>
            <w:tcW w:w="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19,025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121,785</w:t>
            </w:r>
          </w:p>
        </w:tc>
        <w:tc>
          <w:tcPr>
            <w:tcW w:w="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398,509</w:t>
            </w:r>
          </w:p>
        </w:tc>
        <w:tc>
          <w:tcPr>
            <w:tcW w:w="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3,654</w:t>
            </w:r>
          </w:p>
        </w:tc>
        <w:tc>
          <w:tcPr>
            <w:tcW w:w="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(1,628)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92"/>
              </w:rPr>
              <w:t>$ 541,345</w:t>
            </w: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29,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200"/>
              <w:spacing w:after="0"/>
              <w:rPr>
                <w:sz w:val="20"/>
                <w:szCs w:val="20"/>
                <w:color w:val="auto"/>
              </w:rPr>
            </w:pPr>
            <w:r>
              <w:rPr>
                <w:rFonts w:ascii="Arial" w:cs="Arial" w:eastAsia="Arial" w:hAnsi="Arial"/>
                <w:sz w:val="16"/>
                <w:szCs w:val="16"/>
                <w:b w:val="1"/>
                <w:bCs w:val="1"/>
                <w:color w:val="auto"/>
              </w:rPr>
              <w:t>2007</w:t>
            </w:r>
          </w:p>
        </w:tc>
        <w:tc>
          <w:tcPr>
            <w:tcW w:w="320" w:type="dxa"/>
            <w:vAlign w:val="bottom"/>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18,908</w:t>
            </w:r>
          </w:p>
        </w:tc>
        <w:tc>
          <w:tcPr>
            <w:tcW w:w="240" w:type="dxa"/>
            <w:vAlign w:val="bottom"/>
          </w:tcPr>
          <w:p>
            <w:pPr>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123,368</w:t>
            </w:r>
          </w:p>
        </w:tc>
        <w:tc>
          <w:tcPr>
            <w:tcW w:w="380" w:type="dxa"/>
            <w:vAlign w:val="bottom"/>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391,253</w:t>
            </w:r>
          </w:p>
        </w:tc>
        <w:tc>
          <w:tcPr>
            <w:tcW w:w="120" w:type="dxa"/>
            <w:vAlign w:val="bottom"/>
          </w:tcPr>
          <w:p>
            <w:pPr>
              <w:spacing w:after="0"/>
              <w:rPr>
                <w:sz w:val="20"/>
                <w:szCs w:val="20"/>
                <w:color w:val="auto"/>
              </w:rPr>
            </w:pPr>
            <w:r>
              <w:rPr>
                <w:rFonts w:ascii="Arial" w:cs="Arial" w:eastAsia="Arial" w:hAnsi="Arial"/>
                <w:sz w:val="16"/>
                <w:szCs w:val="16"/>
                <w:b w:val="1"/>
                <w:bCs w:val="1"/>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4,704</w:t>
            </w:r>
          </w:p>
        </w:tc>
        <w:tc>
          <w:tcPr>
            <w:tcW w:w="400" w:type="dxa"/>
            <w:vAlign w:val="bottom"/>
          </w:tcPr>
          <w:p>
            <w:pPr>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(1,565)</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2"/>
              </w:rPr>
              <w:t>$ 536,668</w:t>
            </w:r>
          </w:p>
        </w:tc>
        <w:tc>
          <w:tcPr>
            <w:tcW w:w="0" w:type="dxa"/>
            <w:vAlign w:val="bottom"/>
          </w:tcPr>
          <w:p>
            <w:pPr>
              <w:spacing w:after="0"/>
              <w:rPr>
                <w:sz w:val="1"/>
                <w:szCs w:val="1"/>
                <w:color w:val="auto"/>
              </w:rPr>
            </w:pPr>
          </w:p>
        </w:tc>
      </w:tr>
      <w:tr>
        <w:trPr>
          <w:trHeight w:val="206"/>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Comprehensive earnings:</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0"/>
              <w:spacing w:after="0"/>
              <w:rPr>
                <w:sz w:val="20"/>
                <w:szCs w:val="20"/>
                <w:color w:val="auto"/>
              </w:rPr>
            </w:pPr>
            <w:r>
              <w:rPr>
                <w:rFonts w:ascii="Arial" w:cs="Arial" w:eastAsia="Arial" w:hAnsi="Arial"/>
                <w:sz w:val="16"/>
                <w:szCs w:val="16"/>
                <w:color w:val="auto"/>
              </w:rPr>
              <w:t>Net earnings</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7,087</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currency</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translation adjustment</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0"/>
              <w:spacing w:after="0"/>
              <w:rPr>
                <w:sz w:val="20"/>
                <w:szCs w:val="20"/>
                <w:color w:val="auto"/>
              </w:rPr>
            </w:pPr>
            <w:r>
              <w:rPr>
                <w:rFonts w:ascii="Arial" w:cs="Arial" w:eastAsia="Arial" w:hAnsi="Arial"/>
                <w:sz w:val="16"/>
                <w:szCs w:val="16"/>
                <w:color w:val="auto"/>
              </w:rPr>
              <w:t>Total comprehensive loss</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7,036</w:t>
            </w:r>
          </w:p>
        </w:tc>
        <w:tc>
          <w:tcPr>
            <w:tcW w:w="0" w:type="dxa"/>
            <w:vAlign w:val="bottom"/>
          </w:tcPr>
          <w:p>
            <w:pPr>
              <w:spacing w:after="0"/>
              <w:rPr>
                <w:sz w:val="1"/>
                <w:szCs w:val="1"/>
                <w:color w:val="auto"/>
              </w:rPr>
            </w:pPr>
          </w:p>
        </w:tc>
      </w:tr>
      <w:tr>
        <w:trPr>
          <w:trHeight w:val="193"/>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Cash dividends - $.060 per</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(1,139)</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193"/>
        </w:trPr>
        <w:tc>
          <w:tcPr>
            <w:tcW w:w="2100" w:type="dxa"/>
            <w:vAlign w:val="bottom"/>
          </w:tcPr>
          <w:p>
            <w:pPr>
              <w:spacing w:after="0"/>
              <w:rPr>
                <w:sz w:val="20"/>
                <w:szCs w:val="20"/>
                <w:color w:val="auto"/>
              </w:rPr>
            </w:pPr>
            <w:r>
              <w:rPr>
                <w:rFonts w:ascii="Arial" w:cs="Arial" w:eastAsia="Arial" w:hAnsi="Arial"/>
                <w:sz w:val="16"/>
                <w:szCs w:val="16"/>
                <w:color w:val="auto"/>
              </w:rPr>
              <w:t>Issuance of 77,325 shares</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0"/>
              <w:spacing w:after="0"/>
              <w:rPr>
                <w:sz w:val="20"/>
                <w:szCs w:val="20"/>
                <w:color w:val="auto"/>
              </w:rPr>
            </w:pPr>
            <w:r>
              <w:rPr>
                <w:rFonts w:ascii="Arial" w:cs="Arial" w:eastAsia="Arial" w:hAnsi="Arial"/>
                <w:sz w:val="16"/>
                <w:szCs w:val="16"/>
                <w:color w:val="auto"/>
              </w:rPr>
              <w:t>under employee stock</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200"/>
              <w:spacing w:after="0"/>
              <w:rPr>
                <w:sz w:val="20"/>
                <w:szCs w:val="20"/>
                <w:color w:val="auto"/>
              </w:rPr>
            </w:pPr>
            <w:r>
              <w:rPr>
                <w:rFonts w:ascii="Arial" w:cs="Arial" w:eastAsia="Arial" w:hAnsi="Arial"/>
                <w:sz w:val="16"/>
                <w:szCs w:val="16"/>
                <w:color w:val="auto"/>
              </w:rPr>
              <w:t>plans</w:t>
            </w:r>
          </w:p>
        </w:tc>
        <w:tc>
          <w:tcPr>
            <w:tcW w:w="3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77</w:t>
            </w: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956</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1,033</w:t>
            </w: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Issuance of 2,965 shares</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under stock grant</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programs</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93"/>
        </w:trPr>
        <w:tc>
          <w:tcPr>
            <w:tcW w:w="2100" w:type="dxa"/>
            <w:vAlign w:val="bottom"/>
          </w:tcPr>
          <w:p>
            <w:pPr>
              <w:spacing w:after="0"/>
              <w:rPr>
                <w:sz w:val="20"/>
                <w:szCs w:val="20"/>
                <w:color w:val="auto"/>
              </w:rPr>
            </w:pPr>
            <w:r>
              <w:rPr>
                <w:rFonts w:ascii="Arial" w:cs="Arial" w:eastAsia="Arial" w:hAnsi="Arial"/>
                <w:sz w:val="16"/>
                <w:szCs w:val="16"/>
                <w:color w:val="auto"/>
              </w:rPr>
              <w:t>Issuance of 11,535 shares</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0"/>
              <w:spacing w:after="0"/>
              <w:rPr>
                <w:sz w:val="20"/>
                <w:szCs w:val="20"/>
                <w:color w:val="auto"/>
              </w:rPr>
            </w:pPr>
            <w:r>
              <w:rPr>
                <w:rFonts w:ascii="Arial" w:cs="Arial" w:eastAsia="Arial" w:hAnsi="Arial"/>
                <w:sz w:val="16"/>
                <w:szCs w:val="16"/>
                <w:color w:val="auto"/>
              </w:rPr>
              <w:t>under deferred</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200"/>
              <w:spacing w:after="0"/>
              <w:rPr>
                <w:sz w:val="20"/>
                <w:szCs w:val="20"/>
                <w:color w:val="auto"/>
              </w:rPr>
            </w:pPr>
            <w:r>
              <w:rPr>
                <w:rFonts w:ascii="Arial" w:cs="Arial" w:eastAsia="Arial" w:hAnsi="Arial"/>
                <w:sz w:val="16"/>
                <w:szCs w:val="16"/>
                <w:color w:val="auto"/>
              </w:rPr>
              <w:t>compensation plans</w:t>
            </w:r>
          </w:p>
        </w:tc>
        <w:tc>
          <w:tcPr>
            <w:tcW w:w="3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Received 17,396 shares for</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the exercise of stock</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options</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(563)</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3"/>
        </w:trPr>
        <w:tc>
          <w:tcPr>
            <w:tcW w:w="2100" w:type="dxa"/>
            <w:vAlign w:val="bottom"/>
          </w:tcPr>
          <w:p>
            <w:pPr>
              <w:spacing w:after="0"/>
              <w:rPr>
                <w:sz w:val="20"/>
                <w:szCs w:val="20"/>
                <w:color w:val="auto"/>
              </w:rPr>
            </w:pPr>
            <w:r>
              <w:rPr>
                <w:rFonts w:ascii="Arial" w:cs="Arial" w:eastAsia="Arial" w:hAnsi="Arial"/>
                <w:sz w:val="16"/>
                <w:szCs w:val="16"/>
                <w:color w:val="auto"/>
              </w:rPr>
              <w:t>Tax benefits from non-</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00" w:type="dxa"/>
            <w:vAlign w:val="bottom"/>
          </w:tcPr>
          <w:p>
            <w:pPr>
              <w:ind w:left="200"/>
              <w:spacing w:after="0"/>
              <w:rPr>
                <w:sz w:val="20"/>
                <w:szCs w:val="20"/>
                <w:color w:val="auto"/>
              </w:rPr>
            </w:pPr>
            <w:r>
              <w:rPr>
                <w:rFonts w:ascii="Arial" w:cs="Arial" w:eastAsia="Arial" w:hAnsi="Arial"/>
                <w:sz w:val="16"/>
                <w:szCs w:val="16"/>
                <w:color w:val="auto"/>
              </w:rPr>
              <w:t>qualified stock options</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00" w:type="dxa"/>
            <w:vAlign w:val="bottom"/>
          </w:tcPr>
          <w:p>
            <w:pPr>
              <w:ind w:left="200"/>
              <w:spacing w:after="0"/>
              <w:rPr>
                <w:sz w:val="20"/>
                <w:szCs w:val="20"/>
                <w:color w:val="auto"/>
              </w:rPr>
            </w:pPr>
            <w:r>
              <w:rPr>
                <w:rFonts w:ascii="Arial" w:cs="Arial" w:eastAsia="Arial" w:hAnsi="Arial"/>
                <w:sz w:val="16"/>
                <w:szCs w:val="16"/>
                <w:color w:val="auto"/>
              </w:rPr>
              <w:t>exercised</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106</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96"/>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Expense associated with</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share-based compensation</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arrangements</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564</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20"/>
                <w:szCs w:val="20"/>
                <w:color w:val="auto"/>
              </w:rPr>
            </w:pPr>
            <w:r>
              <w:rPr>
                <w:rFonts w:ascii="Arial" w:cs="Arial" w:eastAsia="Arial" w:hAnsi="Arial"/>
                <w:sz w:val="16"/>
                <w:szCs w:val="16"/>
                <w:color w:val="auto"/>
              </w:rPr>
              <w:t>Accrued expense under</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494</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bl>
    <w:p>
      <w:pPr>
        <w:sectPr>
          <w:pgSz w:w="11900" w:h="16888" w:orient="portrait"/>
          <w:cols w:equalWidth="0" w:num="1">
            <w:col w:w="10219"/>
          </w:cols>
          <w:pgMar w:left="240" w:top="419"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00" w:type="dxa"/>
            <w:vAlign w:val="bottom"/>
          </w:tcPr>
          <w:p>
            <w:pPr>
              <w:ind w:left="200"/>
              <w:spacing w:after="0"/>
              <w:rPr>
                <w:sz w:val="20"/>
                <w:szCs w:val="20"/>
                <w:color w:val="auto"/>
              </w:rPr>
            </w:pPr>
            <w:r>
              <w:rPr>
                <w:rFonts w:ascii="Arial" w:cs="Arial" w:eastAsia="Arial" w:hAnsi="Arial"/>
                <w:sz w:val="16"/>
                <w:szCs w:val="16"/>
                <w:color w:val="auto"/>
              </w:rPr>
              <w:t>deferred compensation</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100" w:type="dxa"/>
            <w:vAlign w:val="bottom"/>
          </w:tcPr>
          <w:p>
            <w:pPr>
              <w:ind w:left="200"/>
              <w:spacing w:after="0"/>
              <w:rPr>
                <w:sz w:val="20"/>
                <w:szCs w:val="20"/>
                <w:color w:val="auto"/>
              </w:rPr>
            </w:pPr>
            <w:r>
              <w:rPr>
                <w:rFonts w:ascii="Arial" w:cs="Arial" w:eastAsia="Arial" w:hAnsi="Arial"/>
                <w:sz w:val="16"/>
                <w:szCs w:val="16"/>
                <w:color w:val="auto"/>
              </w:rPr>
              <w:t>plans</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2100" w:type="dxa"/>
            <w:vAlign w:val="bottom"/>
            <w:shd w:val="clear" w:color="auto" w:fill="CCEEFF"/>
          </w:tcPr>
          <w:p>
            <w:pPr>
              <w:spacing w:after="0"/>
              <w:rPr>
                <w:sz w:val="20"/>
                <w:szCs w:val="20"/>
                <w:color w:val="auto"/>
              </w:rPr>
            </w:pPr>
            <w:r>
              <w:rPr>
                <w:rFonts w:ascii="Arial" w:cs="Arial" w:eastAsia="Arial" w:hAnsi="Arial"/>
                <w:sz w:val="16"/>
                <w:szCs w:val="16"/>
                <w:color w:val="auto"/>
              </w:rPr>
              <w:t>Issuance of 7,374 shares in</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exchange for employee</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2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stock notes receivable</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230</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93"/>
        </w:trPr>
        <w:tc>
          <w:tcPr>
            <w:tcW w:w="2100" w:type="dxa"/>
            <w:vAlign w:val="bottom"/>
          </w:tcPr>
          <w:p>
            <w:pPr>
              <w:spacing w:after="0"/>
              <w:rPr>
                <w:sz w:val="20"/>
                <w:szCs w:val="20"/>
                <w:color w:val="auto"/>
              </w:rPr>
            </w:pPr>
            <w:r>
              <w:rPr>
                <w:rFonts w:ascii="Arial" w:cs="Arial" w:eastAsia="Arial" w:hAnsi="Arial"/>
                <w:sz w:val="16"/>
                <w:szCs w:val="16"/>
                <w:color w:val="auto"/>
              </w:rPr>
              <w:t>Payments received on</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2100" w:type="dxa"/>
            <w:vAlign w:val="bottom"/>
          </w:tcPr>
          <w:p>
            <w:pPr>
              <w:ind w:left="200"/>
              <w:spacing w:after="0"/>
              <w:rPr>
                <w:sz w:val="20"/>
                <w:szCs w:val="20"/>
                <w:color w:val="auto"/>
              </w:rPr>
            </w:pPr>
            <w:r>
              <w:rPr>
                <w:rFonts w:ascii="Arial" w:cs="Arial" w:eastAsia="Arial" w:hAnsi="Arial"/>
                <w:sz w:val="16"/>
                <w:szCs w:val="16"/>
                <w:color w:val="auto"/>
              </w:rPr>
              <w:t>employee stock notes</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100" w:type="dxa"/>
            <w:vAlign w:val="bottom"/>
          </w:tcPr>
          <w:p>
            <w:pPr>
              <w:ind w:left="200"/>
              <w:spacing w:after="0"/>
              <w:rPr>
                <w:sz w:val="20"/>
                <w:szCs w:val="20"/>
                <w:color w:val="auto"/>
              </w:rPr>
            </w:pPr>
            <w:r>
              <w:rPr>
                <w:rFonts w:ascii="Arial" w:cs="Arial" w:eastAsia="Arial" w:hAnsi="Arial"/>
                <w:sz w:val="16"/>
                <w:szCs w:val="16"/>
                <w:color w:val="auto"/>
              </w:rPr>
              <w:t>receivable</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27</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r>
      <w:tr>
        <w:trPr>
          <w:trHeight w:val="30"/>
        </w:trPr>
        <w:tc>
          <w:tcPr>
            <w:tcW w:w="2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June 28, 2008</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18,990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125,225</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397,201</w:t>
            </w: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4,653</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(1,775)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92"/>
              </w:rPr>
              <w:t>$ 544,294</w:t>
            </w:r>
          </w:p>
        </w:tc>
      </w:tr>
      <w:tr>
        <w:trPr>
          <w:trHeight w:val="20"/>
        </w:trPr>
        <w:tc>
          <w:tcPr>
            <w:tcW w:w="2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notes to unaudited consolidated condensed financial statements.</w:t>
      </w:r>
    </w:p>
    <w:p>
      <w:pPr>
        <w:spacing w:after="0" w:line="200" w:lineRule="exact"/>
        <w:rPr>
          <w:sz w:val="20"/>
          <w:szCs w:val="20"/>
          <w:color w:val="auto"/>
        </w:rPr>
      </w:pPr>
    </w:p>
    <w:p>
      <w:pPr>
        <w:spacing w:after="0" w:line="3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30"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80" w:right="1960"/>
        <w:spacing w:after="0" w:line="275" w:lineRule="auto"/>
        <w:rPr>
          <w:sz w:val="20"/>
          <w:szCs w:val="20"/>
          <w:color w:val="auto"/>
        </w:rPr>
      </w:pPr>
      <w:r>
        <w:rPr>
          <w:rFonts w:ascii="Arial" w:cs="Arial" w:eastAsia="Arial" w:hAnsi="Arial"/>
          <w:sz w:val="18"/>
          <w:szCs w:val="18"/>
          <w:b w:val="1"/>
          <w:bCs w:val="1"/>
          <w:color w:val="auto"/>
        </w:rPr>
        <w:t xml:space="preserve">UNIVERSAL FOREST PRODUCTS, INC. CONSOLIDATED CONDENSED STATEMENTS OF CASH FLOWS </w:t>
      </w:r>
      <w:r>
        <w:rPr>
          <w:rFonts w:ascii="Arial" w:cs="Arial" w:eastAsia="Arial" w:hAnsi="Arial"/>
          <w:sz w:val="18"/>
          <w:szCs w:val="18"/>
          <w:color w:val="auto"/>
        </w:rPr>
        <w:t>(Unaudited)</w:t>
      </w:r>
    </w:p>
    <w:p>
      <w:pPr>
        <w:spacing w:after="0" w:line="36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95"/>
        </w:trPr>
        <w:tc>
          <w:tcPr>
            <w:tcW w:w="68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560"/>
              <w:spacing w:after="0" w:line="195" w:lineRule="exact"/>
              <w:rPr>
                <w:sz w:val="20"/>
                <w:szCs w:val="20"/>
                <w:color w:val="auto"/>
              </w:rPr>
            </w:pPr>
            <w:r>
              <w:rPr>
                <w:rFonts w:ascii="Arial" w:cs="Arial" w:eastAsia="Arial" w:hAnsi="Arial"/>
                <w:sz w:val="18"/>
                <w:szCs w:val="18"/>
                <w:color w:val="auto"/>
                <w:w w:val="89"/>
              </w:rPr>
              <w:t>June 28,</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92"/>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earnings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7,087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20,686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from operating activities: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19,331</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19,013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4,778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Expense associated with share-based compensation arrangements</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associated with stock grant plans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Gain on sale of interest in subsidiary</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(gain) on sale or impairment of property, plant and equipment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Changes in:</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(83,169)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(72,549)</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16,043</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(11,354)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37,659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54,581</w:t>
            </w: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Accrued liabilities and other</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22,171</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4"/>
        </w:trPr>
        <w:tc>
          <w:tcPr>
            <w:tcW w:w="6860" w:type="dxa"/>
            <w:vAlign w:val="bottom"/>
          </w:tcPr>
          <w:p>
            <w:pPr>
              <w:ind w:left="200"/>
              <w:spacing w:after="0"/>
              <w:rPr>
                <w:sz w:val="20"/>
                <w:szCs w:val="20"/>
                <w:color w:val="auto"/>
              </w:rPr>
            </w:pPr>
            <w:r>
              <w:rPr>
                <w:rFonts w:ascii="Arial" w:cs="Arial" w:eastAsia="Arial" w:hAnsi="Arial"/>
                <w:sz w:val="18"/>
                <w:szCs w:val="18"/>
                <w:color w:val="auto"/>
              </w:rPr>
              <w:t>NET CASH FROM OPERATING ACTIVITIES</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25,555</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(10,469)</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(18,653)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Acquisitions, net of cash received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(23,338)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(56,209)</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Proceeds from sale of interest in subsidiary</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26,827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Advances on notes receivable</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(997)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Collections of notes receivable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FROM INVESTING ACTIVITIES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(7,626)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(71,655)</w:t>
            </w:r>
          </w:p>
        </w:tc>
        <w:tc>
          <w:tcPr>
            <w:tcW w:w="0" w:type="dxa"/>
            <w:vAlign w:val="bottom"/>
          </w:tcPr>
          <w:p>
            <w:pPr>
              <w:spacing w:after="0"/>
              <w:rPr>
                <w:sz w:val="1"/>
                <w:szCs w:val="1"/>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(repayments) under revolving credit facilities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(28,295)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74,318</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(25,417)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Distributions to minority shareholder</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(378)</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Investment received from minority shareholder</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(1,139)</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6860" w:type="dxa"/>
            <w:vAlign w:val="bottom"/>
          </w:tcPr>
          <w:p>
            <w:pPr>
              <w:ind w:left="200"/>
              <w:spacing w:after="0"/>
              <w:rPr>
                <w:sz w:val="20"/>
                <w:szCs w:val="20"/>
                <w:color w:val="auto"/>
              </w:rPr>
            </w:pPr>
            <w:r>
              <w:rPr>
                <w:rFonts w:ascii="Arial" w:cs="Arial" w:eastAsia="Arial" w:hAnsi="Arial"/>
                <w:sz w:val="18"/>
                <w:szCs w:val="18"/>
                <w:color w:val="auto"/>
              </w:rPr>
              <w:t>NET CASH FROM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(29,051)</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(11,122)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(8,411)</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43,605</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51,108</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32,483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42,697</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SUPPLEMENTAL SCHEDULE OF CASH FLOW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paid (refunded) during the period for:</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Interest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6,977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9,014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(10,330)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2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84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UNIVERSAL FOREST PRODUCTS, INC.</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18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8"/>
              </w:rPr>
              <w:t>CONSOLIDATED CONDENSED STATEMENTS OF CASH FLOWS -</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tcPr>
          <w:p>
            <w:pPr>
              <w:jc w:val="center"/>
              <w:ind w:left="1330"/>
              <w:spacing w:after="0"/>
              <w:rPr>
                <w:sz w:val="20"/>
                <w:szCs w:val="20"/>
                <w:color w:val="auto"/>
              </w:rPr>
            </w:pPr>
            <w:r>
              <w:rPr>
                <w:rFonts w:ascii="Arial" w:cs="Arial" w:eastAsia="Arial" w:hAnsi="Arial"/>
                <w:sz w:val="18"/>
                <w:szCs w:val="18"/>
                <w:b w:val="1"/>
                <w:bCs w:val="1"/>
                <w:color w:val="auto"/>
              </w:rPr>
              <w:t>(CONTINUED)</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5"/>
          </w:tcPr>
          <w:p>
            <w:pPr>
              <w:jc w:val="right"/>
              <w:ind w:right="600"/>
              <w:spacing w:after="0"/>
              <w:rPr>
                <w:sz w:val="20"/>
                <w:szCs w:val="20"/>
                <w:color w:val="auto"/>
              </w:rPr>
            </w:pPr>
            <w:r>
              <w:rPr>
                <w:rFonts w:ascii="Arial" w:cs="Arial" w:eastAsia="Arial" w:hAnsi="Arial"/>
                <w:sz w:val="18"/>
                <w:szCs w:val="18"/>
                <w:color w:val="auto"/>
              </w:rPr>
              <w:t>Six Months Ended</w:t>
            </w: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560"/>
              <w:spacing w:after="0" w:line="195" w:lineRule="exact"/>
              <w:rPr>
                <w:sz w:val="20"/>
                <w:szCs w:val="20"/>
                <w:color w:val="auto"/>
              </w:rPr>
            </w:pPr>
            <w:r>
              <w:rPr>
                <w:rFonts w:ascii="Arial" w:cs="Arial" w:eastAsia="Arial" w:hAnsi="Arial"/>
                <w:sz w:val="18"/>
                <w:szCs w:val="18"/>
                <w:color w:val="auto"/>
                <w:w w:val="89"/>
              </w:rPr>
              <w:t>June 28,</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color w:val="auto"/>
                <w:w w:val="92"/>
              </w:rPr>
              <w:t>June 30,</w:t>
            </w:r>
          </w:p>
        </w:tc>
        <w:tc>
          <w:tcPr>
            <w:tcW w:w="1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Stock acquired through employees’ stock notes receivable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502</w:t>
            </w: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Common stock issued under deferred compensation plans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3,439</w:t>
            </w: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received for the exercise of stock options,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unaudited consolidated condensed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UNAUDITED CONSOLIDATED CONDENSED</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FINANCIAL STATEMENTS</w:t>
      </w:r>
    </w:p>
    <w:p>
      <w:pPr>
        <w:spacing w:after="0" w:line="180" w:lineRule="exact"/>
        <w:rPr>
          <w:sz w:val="20"/>
          <w:szCs w:val="20"/>
          <w:color w:val="auto"/>
        </w:rPr>
      </w:pPr>
    </w:p>
    <w:p>
      <w:pPr>
        <w:ind w:left="680" w:hanging="348"/>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61" w:lineRule="exact"/>
        <w:rPr>
          <w:rFonts w:ascii="Arial" w:cs="Arial" w:eastAsia="Arial" w:hAnsi="Arial"/>
          <w:sz w:val="18"/>
          <w:szCs w:val="18"/>
          <w:b w:val="1"/>
          <w:bCs w:val="1"/>
          <w:color w:val="auto"/>
        </w:rPr>
      </w:pPr>
    </w:p>
    <w:p>
      <w:pPr>
        <w:jc w:val="both"/>
        <w:ind w:left="680" w:right="17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significant intercompany transactions and balances have been eliminated.</w:t>
      </w:r>
    </w:p>
    <w:p>
      <w:pPr>
        <w:spacing w:after="0" w:line="110" w:lineRule="exact"/>
        <w:rPr>
          <w:rFonts w:ascii="Arial" w:cs="Arial" w:eastAsia="Arial" w:hAnsi="Arial"/>
          <w:sz w:val="18"/>
          <w:szCs w:val="18"/>
          <w:b w:val="1"/>
          <w:bCs w:val="1"/>
          <w:color w:val="auto"/>
        </w:rPr>
      </w:pPr>
    </w:p>
    <w:p>
      <w:pPr>
        <w:jc w:val="both"/>
        <w:ind w:left="680" w:right="17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29, 2007.</w:t>
      </w:r>
    </w:p>
    <w:p>
      <w:pPr>
        <w:spacing w:after="0" w:line="120" w:lineRule="exact"/>
        <w:rPr>
          <w:rFonts w:ascii="Arial" w:cs="Arial" w:eastAsia="Arial" w:hAnsi="Arial"/>
          <w:sz w:val="18"/>
          <w:szCs w:val="18"/>
          <w:b w:val="1"/>
          <w:bCs w:val="1"/>
          <w:color w:val="auto"/>
        </w:rPr>
      </w:pPr>
    </w:p>
    <w:p>
      <w:pPr>
        <w:jc w:val="both"/>
        <w:ind w:left="680" w:right="17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 xml:space="preserve">Effective at the beginning of the fiscal year ending December 27, 2008, we adopted SFAS No.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w:t>
      </w:r>
      <w:r>
        <w:rPr>
          <w:rFonts w:ascii="Arial" w:cs="Arial" w:eastAsia="Arial" w:hAnsi="Arial"/>
          <w:sz w:val="16"/>
          <w:szCs w:val="16"/>
          <w:color w:val="auto"/>
        </w:rPr>
        <w:t>(“SFAS No. 157”). This new standard establishes a framework for measuring the fair value of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This framework is intended to provide increased consistency in how fair value determinations are made under various existing accounting standards which permit, or in some cases require, estimates of fair market value. SFAS No. 157 also expands financial statement disclosure requirements about a company’s use of fair value measurements, including the effect of such measures on earnings. The adoption has not had a material impact on our consolidated financial statements. SFAS No. 157 requires fair value measurements be classified and disclosed in one of three categories.</w:t>
      </w:r>
    </w:p>
    <w:p>
      <w:pPr>
        <w:spacing w:after="0" w:line="99" w:lineRule="exact"/>
        <w:rPr>
          <w:rFonts w:ascii="Arial" w:cs="Arial" w:eastAsia="Arial" w:hAnsi="Arial"/>
          <w:sz w:val="18"/>
          <w:szCs w:val="18"/>
          <w:b w:val="1"/>
          <w:bCs w:val="1"/>
          <w:color w:val="auto"/>
        </w:rPr>
      </w:pPr>
    </w:p>
    <w:p>
      <w:pPr>
        <w:ind w:left="680" w:right="17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following table summarizes the valuation of our financial instruments as of June 28, 2008. These instruments are classified as Level 1 which are financial instruments with unadjusted, quoted prices listed on active market exchanges.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w w:val="96"/>
              </w:rPr>
              <w:t>Quoted Prices in</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Arial" w:cs="Arial" w:eastAsia="Arial" w:hAnsi="Arial"/>
                <w:sz w:val="18"/>
                <w:szCs w:val="18"/>
                <w:color w:val="auto"/>
              </w:rPr>
              <w:t>Active Markets</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 millions)</w:t>
            </w:r>
          </w:p>
        </w:tc>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(Level 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1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Trading marketable securities</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90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Deferred compensation arrangements</w:t>
            </w:r>
          </w:p>
        </w:tc>
        <w:tc>
          <w:tcPr>
            <w:tcW w:w="2900" w:type="dxa"/>
            <w:vAlign w:val="bottom"/>
            <w:gridSpan w:val="2"/>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40" w:type="dxa"/>
            <w:vAlign w:val="bottom"/>
            <w:vMerge w:val="restart"/>
          </w:tcPr>
          <w:p>
            <w:pPr>
              <w:jc w:val="right"/>
              <w:ind w:right="161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UNAUDITED CONSOLIDATED CONDENSED</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FINANCIAL STATEMENTS</w:t>
      </w:r>
    </w:p>
    <w:p>
      <w:pPr>
        <w:spacing w:after="0" w:line="184" w:lineRule="exact"/>
        <w:rPr>
          <w:sz w:val="20"/>
          <w:szCs w:val="20"/>
          <w:color w:val="auto"/>
        </w:rPr>
      </w:pPr>
    </w:p>
    <w:p>
      <w:pPr>
        <w:jc w:val="both"/>
        <w:ind w:left="680" w:right="1760"/>
        <w:spacing w:after="0" w:line="255" w:lineRule="auto"/>
        <w:rPr>
          <w:sz w:val="20"/>
          <w:szCs w:val="20"/>
          <w:color w:val="auto"/>
        </w:rPr>
      </w:pPr>
      <w:r>
        <w:rPr>
          <w:rFonts w:ascii="Arial" w:cs="Arial" w:eastAsia="Arial" w:hAnsi="Arial"/>
          <w:sz w:val="18"/>
          <w:szCs w:val="18"/>
          <w:color w:val="auto"/>
        </w:rPr>
        <w:t xml:space="preserve">Effective at the beginning of the fiscal year ending December 27, 2008, we adopted SFAS No. 159, </w:t>
      </w:r>
      <w:r>
        <w:rPr>
          <w:rFonts w:ascii="Arial" w:cs="Arial" w:eastAsia="Arial" w:hAnsi="Arial"/>
          <w:sz w:val="18"/>
          <w:szCs w:val="18"/>
          <w:i w:val="1"/>
          <w:iCs w:val="1"/>
          <w:color w:val="auto"/>
        </w:rPr>
        <w:t>The Fair Value Option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Financial Assets and Financial Liabilities </w:t>
      </w:r>
      <w:r>
        <w:rPr>
          <w:rFonts w:ascii="Arial" w:cs="Arial" w:eastAsia="Arial" w:hAnsi="Arial"/>
          <w:sz w:val="18"/>
          <w:szCs w:val="18"/>
          <w:color w:val="auto"/>
        </w:rPr>
        <w:t>(“SFAS No. 159”). SFAS No. 159 allows companies to choose to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financial instruments and certain other items at fair value. The statement requires that unrealized gains and losses are reported in earnings for items measured using the fair value option and establishes presentation and disclosure requirements. We have elected not to apply the fair value option to any of our financial instruments except for those expressly required by U.S. GAAP.</w:t>
      </w:r>
    </w:p>
    <w:p>
      <w:pPr>
        <w:spacing w:after="0" w:line="122" w:lineRule="exact"/>
        <w:rPr>
          <w:sz w:val="20"/>
          <w:szCs w:val="20"/>
          <w:color w:val="auto"/>
        </w:rPr>
      </w:pPr>
    </w:p>
    <w:p>
      <w:pPr>
        <w:ind w:left="680" w:hanging="348"/>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61" w:lineRule="exact"/>
        <w:rPr>
          <w:rFonts w:ascii="Arial" w:cs="Arial" w:eastAsia="Arial" w:hAnsi="Arial"/>
          <w:sz w:val="18"/>
          <w:szCs w:val="18"/>
          <w:b w:val="1"/>
          <w:bCs w:val="1"/>
          <w:color w:val="auto"/>
        </w:rPr>
      </w:pPr>
    </w:p>
    <w:p>
      <w:pPr>
        <w:jc w:val="both"/>
        <w:ind w:left="680" w:right="17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Earnings on construction contracts are reflected in operations using either percentage-of-completion accounting, which includes the cost to cost and units of delivery methods, or completed contract accounting,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Under the completed contract method, revenues and related earnings are recorded when the contracted work is complete and losses are charged to operations in their entirety when such losses becomes apparent.</w:t>
      </w:r>
    </w:p>
    <w:p>
      <w:pPr>
        <w:spacing w:after="0" w:line="101" w:lineRule="exact"/>
        <w:rPr>
          <w:rFonts w:ascii="Arial" w:cs="Arial" w:eastAsia="Arial" w:hAnsi="Arial"/>
          <w:sz w:val="18"/>
          <w:szCs w:val="18"/>
          <w:b w:val="1"/>
          <w:bCs w:val="1"/>
          <w:color w:val="auto"/>
        </w:rPr>
      </w:pPr>
    </w:p>
    <w:p>
      <w:pPr>
        <w:ind w:left="680" w:right="17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presents the balances of percentage-of-completion accounts which are included in other current assets and accrued liabilities: other, respectively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8"/>
                <w:szCs w:val="18"/>
                <w:color w:val="auto"/>
                <w:w w:val="86"/>
              </w:rPr>
              <w:t>June 28,</w:t>
            </w: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June 30,</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3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4,249</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13,124</w:t>
            </w: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3,857</w:t>
            </w:r>
          </w:p>
        </w:tc>
        <w:tc>
          <w:tcPr>
            <w:tcW w:w="1760" w:type="dxa"/>
            <w:vAlign w:val="bottom"/>
          </w:tcPr>
          <w:p>
            <w:pPr>
              <w:spacing w:after="0"/>
              <w:rPr>
                <w:sz w:val="20"/>
                <w:szCs w:val="20"/>
                <w:color w:val="auto"/>
              </w:rPr>
            </w:pPr>
          </w:p>
        </w:tc>
      </w:tr>
      <w:tr>
        <w:trPr>
          <w:trHeight w:val="769"/>
        </w:trPr>
        <w:tc>
          <w:tcPr>
            <w:tcW w:w="3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120" w:type="dxa"/>
            <w:vAlign w:val="bottom"/>
          </w:tcPr>
          <w:p>
            <w:pPr>
              <w:jc w:val="right"/>
              <w:ind w:right="207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UNAUDITED CONSOLIDATED CONDENSED</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FINANCIAL STATEMENTS</w:t>
      </w:r>
    </w:p>
    <w:p>
      <w:pPr>
        <w:spacing w:after="0" w:line="180" w:lineRule="exact"/>
        <w:rPr>
          <w:sz w:val="20"/>
          <w:szCs w:val="20"/>
          <w:color w:val="auto"/>
        </w:rPr>
      </w:pPr>
    </w:p>
    <w:p>
      <w:pPr>
        <w:ind w:left="680" w:hanging="348"/>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61" w:lineRule="exact"/>
        <w:rPr>
          <w:rFonts w:ascii="Arial" w:cs="Arial" w:eastAsia="Arial" w:hAnsi="Arial"/>
          <w:sz w:val="18"/>
          <w:szCs w:val="18"/>
          <w:b w:val="1"/>
          <w:bCs w:val="1"/>
          <w:color w:val="auto"/>
        </w:rPr>
      </w:pPr>
    </w:p>
    <w:p>
      <w:pPr>
        <w:ind w:left="680" w:right="17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reconciliation of the changes in the numerator and the denominator from the calculation of basic EPS to the calculation of diluted EPS follows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gridSpan w:val="7"/>
          </w:tcPr>
          <w:p>
            <w:pPr>
              <w:jc w:val="right"/>
              <w:ind w:right="840"/>
              <w:spacing w:after="0"/>
              <w:rPr>
                <w:sz w:val="20"/>
                <w:szCs w:val="20"/>
                <w:color w:val="auto"/>
              </w:rPr>
            </w:pPr>
            <w:r>
              <w:rPr>
                <w:rFonts w:ascii="Arial" w:cs="Arial" w:eastAsia="Arial" w:hAnsi="Arial"/>
                <w:sz w:val="18"/>
                <w:szCs w:val="18"/>
                <w:color w:val="auto"/>
              </w:rPr>
              <w:t>Three Months Ended 06/28/08</w:t>
            </w:r>
          </w:p>
        </w:tc>
        <w:tc>
          <w:tcPr>
            <w:tcW w:w="140" w:type="dxa"/>
            <w:vAlign w:val="bottom"/>
          </w:tcPr>
          <w:p>
            <w:pPr>
              <w:spacing w:after="0"/>
              <w:rPr>
                <w:sz w:val="20"/>
                <w:szCs w:val="20"/>
                <w:color w:val="auto"/>
              </w:rPr>
            </w:pPr>
          </w:p>
        </w:tc>
        <w:tc>
          <w:tcPr>
            <w:tcW w:w="3220" w:type="dxa"/>
            <w:vAlign w:val="bottom"/>
            <w:gridSpan w:val="7"/>
          </w:tcPr>
          <w:p>
            <w:pPr>
              <w:jc w:val="right"/>
              <w:ind w:right="620"/>
              <w:spacing w:after="0"/>
              <w:rPr>
                <w:sz w:val="20"/>
                <w:szCs w:val="20"/>
                <w:color w:val="auto"/>
              </w:rPr>
            </w:pPr>
            <w:r>
              <w:rPr>
                <w:rFonts w:ascii="Arial" w:cs="Arial" w:eastAsia="Arial" w:hAnsi="Arial"/>
                <w:sz w:val="18"/>
                <w:szCs w:val="18"/>
                <w:color w:val="auto"/>
              </w:rPr>
              <w:t>Three Months Ended 06/30/07</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85"/>
              </w:rPr>
              <w:t>Per</w:t>
            </w: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85"/>
              </w:rPr>
              <w:t>Per</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Income</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8"/>
                <w:szCs w:val="18"/>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Share</w:t>
            </w: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Income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8"/>
                <w:szCs w:val="18"/>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Share</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rPr>
              <w:t>(Numerator)</w:t>
            </w: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(Denominator)</w:t>
            </w:r>
          </w:p>
        </w:tc>
        <w:tc>
          <w:tcPr>
            <w:tcW w:w="102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Amount</w:t>
            </w:r>
          </w:p>
        </w:tc>
        <w:tc>
          <w:tcPr>
            <w:tcW w:w="1180" w:type="dxa"/>
            <w:vAlign w:val="bottom"/>
            <w:gridSpan w:val="3"/>
          </w:tcPr>
          <w:p>
            <w:pPr>
              <w:spacing w:after="0"/>
              <w:rPr>
                <w:sz w:val="20"/>
                <w:szCs w:val="20"/>
                <w:color w:val="auto"/>
              </w:rPr>
            </w:pPr>
            <w:r>
              <w:rPr>
                <w:rFonts w:ascii="Arial" w:cs="Arial" w:eastAsia="Arial" w:hAnsi="Arial"/>
                <w:sz w:val="18"/>
                <w:szCs w:val="18"/>
                <w:color w:val="auto"/>
              </w:rPr>
              <w:t>(Numerator)</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(Denominator)</w:t>
            </w:r>
          </w:p>
        </w:tc>
        <w:tc>
          <w:tcPr>
            <w:tcW w:w="800" w:type="dxa"/>
            <w:vAlign w:val="bottom"/>
            <w:gridSpan w:val="3"/>
          </w:tcPr>
          <w:p>
            <w:pPr>
              <w:jc w:val="center"/>
              <w:ind w:right="60"/>
              <w:spacing w:after="0"/>
              <w:rPr>
                <w:sz w:val="20"/>
                <w:szCs w:val="20"/>
                <w:color w:val="auto"/>
              </w:rPr>
            </w:pPr>
            <w:r>
              <w:rPr>
                <w:rFonts w:ascii="Arial" w:cs="Arial" w:eastAsia="Arial" w:hAnsi="Arial"/>
                <w:sz w:val="18"/>
                <w:szCs w:val="18"/>
                <w:color w:val="auto"/>
                <w:w w:val="93"/>
              </w:rPr>
              <w:t>Amount</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11,663</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16,800</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rPr>
              <w:t>EPS - Basic</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available to common</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11,663</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0.61</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16,800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0.88</w:t>
            </w:r>
          </w:p>
        </w:tc>
        <w:tc>
          <w:tcPr>
            <w:tcW w:w="17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rPr>
              <w:t>Effect of dilutive securities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439"/>
        </w:trPr>
        <w:tc>
          <w:tcPr>
            <w:tcW w:w="34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rPr>
              <w:t>EPS - Diluted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available to common</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and assumed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11,663</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19,267</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16,800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0.86</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Six Months Ended 06/28/08</w:t>
            </w:r>
          </w:p>
        </w:tc>
        <w:tc>
          <w:tcPr>
            <w:tcW w:w="5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Six Months Ended 06/30/07</w:t>
            </w: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95"/>
        </w:trPr>
        <w:tc>
          <w:tcPr>
            <w:tcW w:w="3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5"/>
              </w:rPr>
              <w:t>Per</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85"/>
              </w:rPr>
              <w:t>Per</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Income</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8"/>
                <w:szCs w:val="18"/>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Share</w:t>
            </w: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Income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8"/>
                <w:szCs w:val="18"/>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Share</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rPr>
              <w:t>(Numerator)</w:t>
            </w: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(Denominator)</w:t>
            </w:r>
          </w:p>
        </w:tc>
        <w:tc>
          <w:tcPr>
            <w:tcW w:w="102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Amount</w:t>
            </w:r>
          </w:p>
        </w:tc>
        <w:tc>
          <w:tcPr>
            <w:tcW w:w="1180" w:type="dxa"/>
            <w:vAlign w:val="bottom"/>
            <w:gridSpan w:val="3"/>
          </w:tcPr>
          <w:p>
            <w:pPr>
              <w:spacing w:after="0"/>
              <w:rPr>
                <w:sz w:val="20"/>
                <w:szCs w:val="20"/>
                <w:color w:val="auto"/>
              </w:rPr>
            </w:pPr>
            <w:r>
              <w:rPr>
                <w:rFonts w:ascii="Arial" w:cs="Arial" w:eastAsia="Arial" w:hAnsi="Arial"/>
                <w:sz w:val="18"/>
                <w:szCs w:val="18"/>
                <w:color w:val="auto"/>
              </w:rPr>
              <w:t>(Numerator)</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(Denominator)</w:t>
            </w:r>
          </w:p>
        </w:tc>
        <w:tc>
          <w:tcPr>
            <w:tcW w:w="800" w:type="dxa"/>
            <w:vAlign w:val="bottom"/>
            <w:gridSpan w:val="3"/>
          </w:tcPr>
          <w:p>
            <w:pPr>
              <w:jc w:val="center"/>
              <w:ind w:right="60"/>
              <w:spacing w:after="0"/>
              <w:rPr>
                <w:sz w:val="20"/>
                <w:szCs w:val="20"/>
                <w:color w:val="auto"/>
              </w:rPr>
            </w:pPr>
            <w:r>
              <w:rPr>
                <w:rFonts w:ascii="Arial" w:cs="Arial" w:eastAsia="Arial" w:hAnsi="Arial"/>
                <w:sz w:val="18"/>
                <w:szCs w:val="18"/>
                <w:color w:val="auto"/>
                <w:w w:val="93"/>
              </w:rPr>
              <w:t>Amount</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7,087</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20,686</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rPr>
              <w:t>EPS - Basic</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available to common</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7,087</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0.37</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20,686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17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rPr>
              <w:t>Effect of dilutive securities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439"/>
        </w:trPr>
        <w:tc>
          <w:tcPr>
            <w:tcW w:w="34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rPr>
              <w:t>EPS - Diluted</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available to common</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and assumed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19,224</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20,686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17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UNAUDITED CONSOLIDATED CONDENSED</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FINANCIAL STATEMENTS</w:t>
      </w:r>
    </w:p>
    <w:p>
      <w:pPr>
        <w:spacing w:after="0" w:line="184" w:lineRule="exact"/>
        <w:rPr>
          <w:sz w:val="20"/>
          <w:szCs w:val="20"/>
          <w:color w:val="auto"/>
        </w:rPr>
      </w:pPr>
    </w:p>
    <w:p>
      <w:pPr>
        <w:jc w:val="both"/>
        <w:ind w:left="680" w:right="1760"/>
        <w:spacing w:after="0" w:line="259" w:lineRule="auto"/>
        <w:rPr>
          <w:sz w:val="20"/>
          <w:szCs w:val="20"/>
          <w:color w:val="auto"/>
        </w:rPr>
      </w:pPr>
      <w:r>
        <w:rPr>
          <w:rFonts w:ascii="Arial" w:cs="Arial" w:eastAsia="Arial" w:hAnsi="Arial"/>
          <w:sz w:val="18"/>
          <w:szCs w:val="18"/>
          <w:color w:val="auto"/>
        </w:rPr>
        <w:t>Options to purchase 10,000 shares of common stock at an exercise price of $36.01 were outstanding as of June 28, 2008, but were not included in the computation of diluted EPS for the quarter and six months ended June 28, 2008 because the options’ exercise price was greater than the average market price of the common stock during the period and, therefore would be antidilutive.</w:t>
      </w:r>
    </w:p>
    <w:p>
      <w:pPr>
        <w:spacing w:after="0" w:line="119" w:lineRule="exact"/>
        <w:rPr>
          <w:sz w:val="20"/>
          <w:szCs w:val="20"/>
          <w:color w:val="auto"/>
        </w:rPr>
      </w:pPr>
    </w:p>
    <w:p>
      <w:pPr>
        <w:jc w:val="both"/>
        <w:ind w:left="680" w:right="1760"/>
        <w:spacing w:after="0" w:line="277" w:lineRule="auto"/>
        <w:rPr>
          <w:sz w:val="20"/>
          <w:szCs w:val="20"/>
          <w:color w:val="auto"/>
        </w:rPr>
      </w:pPr>
      <w:r>
        <w:rPr>
          <w:rFonts w:ascii="Arial" w:cs="Arial" w:eastAsia="Arial" w:hAnsi="Arial"/>
          <w:sz w:val="18"/>
          <w:szCs w:val="18"/>
          <w:color w:val="auto"/>
        </w:rPr>
        <w:t>No outstanding options were excluded from the computation of diluted EPS for the quarter and six months ended June 30, 2007.</w:t>
      </w:r>
    </w:p>
    <w:p>
      <w:pPr>
        <w:spacing w:after="0" w:line="99"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SALE OF ACCOUNTS RECEIVABLE</w:t>
      </w:r>
    </w:p>
    <w:p>
      <w:pPr>
        <w:spacing w:after="0" w:line="161" w:lineRule="exact"/>
        <w:rPr>
          <w:rFonts w:ascii="Arial" w:cs="Arial" w:eastAsia="Arial" w:hAnsi="Arial"/>
          <w:sz w:val="18"/>
          <w:szCs w:val="18"/>
          <w:b w:val="1"/>
          <w:bCs w:val="1"/>
          <w:color w:val="auto"/>
        </w:rPr>
      </w:pPr>
    </w:p>
    <w:p>
      <w:pPr>
        <w:ind w:left="680" w:right="17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March 8, 2006 we entered into an accounts receivable sale arrangement with a bank. Under the terms of this arrangement:</w:t>
      </w:r>
    </w:p>
    <w:p>
      <w:pPr>
        <w:spacing w:after="0" w:line="129" w:lineRule="exact"/>
        <w:rPr>
          <w:rFonts w:ascii="Arial" w:cs="Arial" w:eastAsia="Arial" w:hAnsi="Arial"/>
          <w:sz w:val="18"/>
          <w:szCs w:val="18"/>
          <w:b w:val="1"/>
          <w:bCs w:val="1"/>
          <w:color w:val="auto"/>
        </w:rPr>
      </w:pPr>
    </w:p>
    <w:p>
      <w:pPr>
        <w:ind w:left="1040" w:hanging="343"/>
        <w:spacing w:after="0"/>
        <w:tabs>
          <w:tab w:leader="none" w:pos="104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We sell specific receivables to the bank at an agreed-upon price at terms ranging from one month to one year.</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We service the receivables sold and outstanding on behalf of the bank at a rate of 0.50% per annum.</w:t>
      </w:r>
    </w:p>
    <w:p>
      <w:pPr>
        <w:spacing w:after="0" w:line="157" w:lineRule="exact"/>
        <w:rPr>
          <w:rFonts w:ascii="Arial" w:cs="Arial" w:eastAsia="Arial" w:hAnsi="Arial"/>
          <w:sz w:val="18"/>
          <w:szCs w:val="18"/>
          <w:b w:val="1"/>
          <w:bCs w:val="1"/>
          <w:color w:val="auto"/>
        </w:rPr>
      </w:pPr>
    </w:p>
    <w:p>
      <w:pPr>
        <w:jc w:val="both"/>
        <w:ind w:left="1040" w:right="1760" w:hanging="343"/>
        <w:spacing w:after="0" w:line="286" w:lineRule="auto"/>
        <w:tabs>
          <w:tab w:leader="none" w:pos="1040" w:val="left"/>
        </w:tabs>
        <w:numPr>
          <w:ilvl w:val="1"/>
          <w:numId w:val="6"/>
        </w:numPr>
        <w:rPr>
          <w:rFonts w:ascii="Arial" w:cs="Arial" w:eastAsia="Arial" w:hAnsi="Arial"/>
          <w:sz w:val="17"/>
          <w:szCs w:val="17"/>
          <w:b w:val="1"/>
          <w:bCs w:val="1"/>
          <w:color w:val="auto"/>
        </w:rPr>
      </w:pPr>
      <w:r>
        <w:rPr>
          <w:rFonts w:ascii="Arial" w:cs="Arial" w:eastAsia="Arial" w:hAnsi="Arial"/>
          <w:sz w:val="17"/>
          <w:szCs w:val="17"/>
          <w:color w:val="auto"/>
        </w:rPr>
        <w:t>We receive an incentive servicing fee, which we account for as a retained interest in the receivables sold. Our retained interest is determined based on the fair market value of anticipated collections in excess of the Agreed Base Value of the receivables sold. Appropriate valuation allowances are recorded against the retained interest.</w:t>
      </w:r>
    </w:p>
    <w:p>
      <w:pPr>
        <w:spacing w:after="0" w:line="97" w:lineRule="exact"/>
        <w:rPr>
          <w:rFonts w:ascii="Arial" w:cs="Arial" w:eastAsia="Arial" w:hAnsi="Arial"/>
          <w:sz w:val="17"/>
          <w:szCs w:val="17"/>
          <w:b w:val="1"/>
          <w:bCs w:val="1"/>
          <w:color w:val="auto"/>
        </w:rPr>
      </w:pPr>
    </w:p>
    <w:p>
      <w:pPr>
        <w:ind w:left="1040" w:right="1760" w:hanging="343"/>
        <w:spacing w:after="0" w:line="277" w:lineRule="auto"/>
        <w:tabs>
          <w:tab w:leader="none" w:pos="104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The maximum amount of receivables, net of retained interest, which may be sold and outstanding at any point in time under this arrangement is $50 million.</w:t>
      </w:r>
    </w:p>
    <w:p>
      <w:pPr>
        <w:spacing w:after="0" w:line="130" w:lineRule="exact"/>
        <w:rPr>
          <w:sz w:val="20"/>
          <w:szCs w:val="20"/>
          <w:color w:val="auto"/>
        </w:rPr>
      </w:pPr>
    </w:p>
    <w:p>
      <w:pPr>
        <w:jc w:val="both"/>
        <w:ind w:left="700" w:right="1760"/>
        <w:spacing w:after="0" w:line="259" w:lineRule="auto"/>
        <w:rPr>
          <w:sz w:val="20"/>
          <w:szCs w:val="20"/>
          <w:color w:val="auto"/>
        </w:rPr>
      </w:pPr>
      <w:r>
        <w:rPr>
          <w:rFonts w:ascii="Arial" w:cs="Arial" w:eastAsia="Arial" w:hAnsi="Arial"/>
          <w:sz w:val="18"/>
          <w:szCs w:val="18"/>
          <w:color w:val="auto"/>
        </w:rPr>
        <w:t>On June 28, 2008, $54.1 million of receivables were sold and outstanding, and we recorded $4.1 million of retained interest in other current assets. On June 30, 2007, $54.1 million of receivables were sold and outstanding, and we recorded $4.1 million of retained interest in other current assets. A summary of the transactions we completed for the first six months of 2008 and 2007 are presented below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8"/>
                <w:szCs w:val="18"/>
                <w:color w:val="auto"/>
              </w:rPr>
              <w:t>Six Months Ended</w:t>
            </w:r>
          </w:p>
        </w:tc>
        <w:tc>
          <w:tcPr>
            <w:tcW w:w="1420" w:type="dxa"/>
            <w:vAlign w:val="bottom"/>
            <w:gridSpan w:val="3"/>
          </w:tcPr>
          <w:p>
            <w:pPr>
              <w:spacing w:after="0"/>
              <w:rPr>
                <w:sz w:val="20"/>
                <w:szCs w:val="20"/>
                <w:color w:val="auto"/>
              </w:rPr>
            </w:pPr>
            <w:r>
              <w:rPr>
                <w:rFonts w:ascii="Arial" w:cs="Arial" w:eastAsia="Arial" w:hAnsi="Arial"/>
                <w:sz w:val="18"/>
                <w:szCs w:val="18"/>
                <w:color w:val="auto"/>
                <w:w w:val="95"/>
              </w:rPr>
              <w:t>Six Months Ended</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June 28, 2008</w:t>
            </w:r>
          </w:p>
        </w:tc>
        <w:tc>
          <w:tcPr>
            <w:tcW w:w="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June 30, 2007</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sold</w:t>
            </w:r>
          </w:p>
        </w:tc>
        <w:tc>
          <w:tcPr>
            <w:tcW w:w="2640" w:type="dxa"/>
            <w:vAlign w:val="bottom"/>
            <w:gridSpan w:val="2"/>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295,800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306,738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Retained interest in receivables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560"/>
              <w:spacing w:after="0"/>
              <w:rPr>
                <w:sz w:val="20"/>
                <w:szCs w:val="20"/>
                <w:color w:val="auto"/>
              </w:rPr>
            </w:pPr>
            <w:r>
              <w:rPr>
                <w:rFonts w:ascii="Arial" w:cs="Arial" w:eastAsia="Arial" w:hAnsi="Arial"/>
                <w:sz w:val="18"/>
                <w:szCs w:val="18"/>
                <w:color w:val="auto"/>
              </w:rPr>
              <w:t>(2,432)</w:t>
            </w: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(1,982)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Expense from sale</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Servicing fee received</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sale</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292,661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303,478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00" w:type="dxa"/>
            <w:vAlign w:val="bottom"/>
            <w:vMerge w:val="restart"/>
          </w:tcPr>
          <w:p>
            <w:pPr>
              <w:jc w:val="right"/>
              <w:ind w:right="1090"/>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UNAUDITED CONSOLIDATED CONDENSED</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FINANCIAL STATEMENTS</w:t>
      </w:r>
    </w:p>
    <w:p>
      <w:pPr>
        <w:spacing w:after="0" w:line="180" w:lineRule="exact"/>
        <w:rPr>
          <w:sz w:val="20"/>
          <w:szCs w:val="20"/>
          <w:color w:val="auto"/>
        </w:rPr>
      </w:pPr>
    </w:p>
    <w:p>
      <w:pPr>
        <w:ind w:left="580" w:hanging="248"/>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ASSETS HELD FOR SALE</w:t>
      </w:r>
    </w:p>
    <w:p>
      <w:pPr>
        <w:spacing w:after="0" w:line="161" w:lineRule="exact"/>
        <w:rPr>
          <w:rFonts w:ascii="Arial" w:cs="Arial" w:eastAsia="Arial" w:hAnsi="Arial"/>
          <w:sz w:val="18"/>
          <w:szCs w:val="18"/>
          <w:b w:val="1"/>
          <w:bCs w:val="1"/>
          <w:color w:val="auto"/>
        </w:rPr>
      </w:pPr>
    </w:p>
    <w:p>
      <w:pPr>
        <w:jc w:val="both"/>
        <w:ind w:left="580" w:right="17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Included in assets held for sale is certain property, plant and equipment totaling $10.3 million at June 28, 2008 and $17.1 million at June 30, 2007. These assets were evaluated based on the requirements of SFAS No. 144. The held for sale assets consist of certain vacant land and several facilities we closed to better align manufacturing capacity with the current business environment. The fair values were determined based on appraisals or recent offers to acquire the assets and are included in our Eastern and Western operating segments. On January 24, 2008 we sold the vacant land we acquired as part of our acquisition of Aljoma. The net sales price was approximately $24.2 million. On March 18, 2008 we sold certain real estate in Thorndale, Ontario. The net sales price was approximately $2.6 million.</w:t>
      </w:r>
    </w:p>
    <w:p>
      <w:pPr>
        <w:spacing w:after="0" w:line="106" w:lineRule="exact"/>
        <w:rPr>
          <w:rFonts w:ascii="Arial" w:cs="Arial" w:eastAsia="Arial" w:hAnsi="Arial"/>
          <w:sz w:val="18"/>
          <w:szCs w:val="18"/>
          <w:b w:val="1"/>
          <w:bCs w:val="1"/>
          <w:color w:val="auto"/>
        </w:rPr>
      </w:pPr>
    </w:p>
    <w:p>
      <w:pPr>
        <w:ind w:left="580" w:hanging="248"/>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6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following amounts were included in other intangible assets, net (in thousands):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color w:val="auto"/>
                <w:w w:val="89"/>
              </w:rPr>
              <w:t>June 28, 2008</w:t>
            </w:r>
          </w:p>
        </w:tc>
        <w:tc>
          <w:tcPr>
            <w:tcW w:w="6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color w:val="auto"/>
                <w:w w:val="89"/>
              </w:rPr>
              <w:t>June 30, 2007</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tcPr>
          <w:p>
            <w:pPr>
              <w:spacing w:after="0" w:line="195" w:lineRule="exact"/>
              <w:rPr>
                <w:sz w:val="20"/>
                <w:szCs w:val="20"/>
                <w:color w:val="auto"/>
              </w:rPr>
            </w:pPr>
            <w:r>
              <w:rPr>
                <w:rFonts w:ascii="Arial" w:cs="Arial" w:eastAsia="Arial" w:hAnsi="Arial"/>
                <w:sz w:val="18"/>
                <w:szCs w:val="18"/>
                <w:color w:val="auto"/>
                <w:w w:val="90"/>
              </w:rPr>
              <w:t>Accumulated</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tcPr>
          <w:p>
            <w:pPr>
              <w:spacing w:after="0" w:line="195" w:lineRule="exact"/>
              <w:rPr>
                <w:sz w:val="20"/>
                <w:szCs w:val="20"/>
                <w:color w:val="auto"/>
              </w:rPr>
            </w:pPr>
            <w:r>
              <w:rPr>
                <w:rFonts w:ascii="Arial" w:cs="Arial" w:eastAsia="Arial" w:hAnsi="Arial"/>
                <w:sz w:val="18"/>
                <w:szCs w:val="18"/>
                <w:color w:val="auto"/>
                <w:w w:val="90"/>
              </w:rPr>
              <w:t>Accumulated</w:t>
            </w:r>
          </w:p>
        </w:tc>
        <w:tc>
          <w:tcPr>
            <w:tcW w:w="80" w:type="dxa"/>
            <w:vAlign w:val="bottom"/>
          </w:tcPr>
          <w:p>
            <w:pPr>
              <w:spacing w:after="0"/>
              <w:rPr>
                <w:sz w:val="16"/>
                <w:szCs w:val="16"/>
                <w:color w:val="auto"/>
              </w:rPr>
            </w:pPr>
          </w:p>
        </w:tc>
      </w:tr>
      <w:tr>
        <w:trPr>
          <w:trHeight w:val="230"/>
        </w:trPr>
        <w:tc>
          <w:tcPr>
            <w:tcW w:w="4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96"/>
              </w:rPr>
              <w:t>Assets</w:t>
            </w:r>
          </w:p>
        </w:tc>
        <w:tc>
          <w:tcPr>
            <w:tcW w:w="360" w:type="dxa"/>
            <w:vAlign w:val="bottom"/>
            <w:gridSpan w:val="2"/>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8"/>
                <w:szCs w:val="18"/>
                <w:color w:val="auto"/>
                <w:w w:val="93"/>
              </w:rPr>
              <w:t>Amortization</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96"/>
              </w:rPr>
              <w:t>Assets</w:t>
            </w:r>
          </w:p>
        </w:tc>
        <w:tc>
          <w:tcPr>
            <w:tcW w:w="340" w:type="dxa"/>
            <w:vAlign w:val="bottom"/>
          </w:tcPr>
          <w:p>
            <w:pPr>
              <w:spacing w:after="0"/>
              <w:rPr>
                <w:sz w:val="20"/>
                <w:szCs w:val="20"/>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Amortization</w:t>
            </w:r>
          </w:p>
        </w:tc>
      </w:tr>
      <w:tr>
        <w:trPr>
          <w:trHeight w:val="20"/>
        </w:trPr>
        <w:tc>
          <w:tcPr>
            <w:tcW w:w="4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(11,132)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36,648</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(10,863)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14,191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(7,165)</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10,950</w:t>
            </w:r>
          </w:p>
        </w:tc>
        <w:tc>
          <w:tcPr>
            <w:tcW w:w="3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(3,603)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Patents</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2,980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(843)</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48,794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(20,417</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47,647</w:t>
            </w:r>
          </w:p>
        </w:tc>
        <w:tc>
          <w:tcPr>
            <w:tcW w:w="3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(14,515</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700" w:right="1760"/>
        <w:spacing w:after="0" w:line="277" w:lineRule="auto"/>
        <w:rPr>
          <w:sz w:val="20"/>
          <w:szCs w:val="20"/>
          <w:color w:val="auto"/>
        </w:rPr>
      </w:pPr>
      <w:r>
        <w:rPr>
          <w:rFonts w:ascii="Arial" w:cs="Arial" w:eastAsia="Arial" w:hAnsi="Arial"/>
          <w:sz w:val="18"/>
          <w:szCs w:val="18"/>
          <w:color w:val="auto"/>
        </w:rPr>
        <w:t>The estimated amortization expense for intangible assets as of June 28, 2008 for each of the five succeeding fiscal years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9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2009</w:t>
            </w:r>
          </w:p>
        </w:tc>
        <w:tc>
          <w:tcPr>
            <w:tcW w:w="59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8,328</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9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2011</w:t>
            </w:r>
          </w:p>
        </w:tc>
        <w:tc>
          <w:tcPr>
            <w:tcW w:w="59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4,815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9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Thereafter</w:t>
            </w:r>
          </w:p>
        </w:tc>
        <w:tc>
          <w:tcPr>
            <w:tcW w:w="59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948</w:t>
            </w:r>
          </w:p>
        </w:tc>
        <w:tc>
          <w:tcPr>
            <w:tcW w:w="17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900" w:type="dxa"/>
            <w:vAlign w:val="bottom"/>
          </w:tcPr>
          <w:p>
            <w:pPr>
              <w:jc w:val="right"/>
              <w:ind w:right="3730"/>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59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CONDENSED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STATEMENTS</w:t>
      </w:r>
    </w:p>
    <w:p>
      <w:pPr>
        <w:spacing w:after="0" w:line="184" w:lineRule="exact"/>
        <w:rPr>
          <w:sz w:val="20"/>
          <w:szCs w:val="20"/>
          <w:color w:val="auto"/>
        </w:rPr>
      </w:pPr>
    </w:p>
    <w:p>
      <w:pPr>
        <w:ind w:left="700" w:right="559"/>
        <w:spacing w:after="0" w:line="277" w:lineRule="auto"/>
        <w:rPr>
          <w:sz w:val="20"/>
          <w:szCs w:val="20"/>
          <w:color w:val="auto"/>
        </w:rPr>
      </w:pPr>
      <w:r>
        <w:rPr>
          <w:rFonts w:ascii="Arial" w:cs="Arial" w:eastAsia="Arial" w:hAnsi="Arial"/>
          <w:sz w:val="18"/>
          <w:szCs w:val="18"/>
          <w:color w:val="auto"/>
        </w:rPr>
        <w:t>The changes in the net carrying amount of goodwill and indefinite-lived intangible assets for the six months ended June 28, 2008 and June 30, 2007 are as follows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Indefinite-</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Lived</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Intangible</w:t>
            </w:r>
          </w:p>
        </w:tc>
      </w:tr>
      <w:tr>
        <w:trPr>
          <w:trHeight w:val="230"/>
        </w:trPr>
        <w:tc>
          <w:tcPr>
            <w:tcW w:w="6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Goodwill</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Assets</w:t>
            </w:r>
          </w:p>
        </w:tc>
        <w:tc>
          <w:tcPr>
            <w:tcW w:w="100" w:type="dxa"/>
            <w:vAlign w:val="bottom"/>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29, 2007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147,932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2,340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8,263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Balance as of June 28, 2008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155,947</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84"/>
              </w:rPr>
              <w:t>2,340</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30, 2006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152,837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2,340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allocations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149,830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2,340</w:t>
            </w:r>
          </w:p>
        </w:tc>
      </w:tr>
      <w:tr>
        <w:trPr>
          <w:trHeight w:val="20"/>
        </w:trPr>
        <w:tc>
          <w:tcPr>
            <w:tcW w:w="6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680" w:hanging="348"/>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61" w:lineRule="exact"/>
        <w:rPr>
          <w:rFonts w:ascii="Arial" w:cs="Arial" w:eastAsia="Arial" w:hAnsi="Arial"/>
          <w:sz w:val="18"/>
          <w:szCs w:val="18"/>
          <w:b w:val="1"/>
          <w:bCs w:val="1"/>
          <w:color w:val="auto"/>
        </w:rPr>
      </w:pPr>
    </w:p>
    <w:p>
      <w:pPr>
        <w:jc w:val="both"/>
        <w:ind w:left="680" w:right="5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provide compensation benefits to employees and non-employee directors under several share-based payment arrangements including various employee stock option plans, the Employee Stock Purchase Plan, the Directors’ Retainer Stock Plan, the Directors’ Stock Grant Plan, and the 1999 Long Term Stock Incentive Plan.</w:t>
      </w:r>
    </w:p>
    <w:p>
      <w:pPr>
        <w:spacing w:after="0" w:line="113" w:lineRule="exact"/>
        <w:rPr>
          <w:rFonts w:ascii="Arial" w:cs="Arial" w:eastAsia="Arial" w:hAnsi="Arial"/>
          <w:sz w:val="18"/>
          <w:szCs w:val="18"/>
          <w:b w:val="1"/>
          <w:bCs w:val="1"/>
          <w:color w:val="auto"/>
        </w:rPr>
      </w:pPr>
    </w:p>
    <w:p>
      <w:pPr>
        <w:jc w:val="both"/>
        <w:ind w:left="680" w:right="5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We account for share-based compensation using the fair value recognition provisions of FASB Statement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(“SFAS 123(R)”), which we adopted using the modified-prospective-transition method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2006.</w:t>
      </w:r>
    </w:p>
    <w:p>
      <w:pPr>
        <w:spacing w:after="0" w:line="109" w:lineRule="exact"/>
        <w:rPr>
          <w:rFonts w:ascii="Arial" w:cs="Arial" w:eastAsia="Arial" w:hAnsi="Arial"/>
          <w:sz w:val="18"/>
          <w:szCs w:val="18"/>
          <w:b w:val="1"/>
          <w:bCs w:val="1"/>
          <w:color w:val="auto"/>
        </w:rPr>
      </w:pPr>
    </w:p>
    <w:p>
      <w:pPr>
        <w:ind w:left="680" w:hanging="348"/>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161" w:lineRule="exact"/>
        <w:rPr>
          <w:rFonts w:ascii="Arial" w:cs="Arial" w:eastAsia="Arial" w:hAnsi="Arial"/>
          <w:sz w:val="18"/>
          <w:szCs w:val="18"/>
          <w:b w:val="1"/>
          <w:bCs w:val="1"/>
          <w:color w:val="auto"/>
        </w:rPr>
      </w:pPr>
    </w:p>
    <w:p>
      <w:pPr>
        <w:jc w:val="both"/>
        <w:ind w:left="680" w:right="559"/>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We are self-insured for environmental impairment liability, including certain liabilities which are insured through a wholly owned subsidiary, UFP Insurance Ltd., a licensed captive insurance company. 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our affiliates’ wood preservation facilities in Stockertown, PA; Elizabeth City, NC; Auburndale, FL; Gordon, Pa; Janesville, WI; Medley, FL; and Ponce, PR. In addition, a reserve was established for our affiliate’s facility in Thornton, CA to remove certain lead containing materials which existed on the property at the time of purchase.</w:t>
      </w:r>
    </w:p>
    <w:p>
      <w:pPr>
        <w:spacing w:after="0" w:line="127" w:lineRule="exact"/>
        <w:rPr>
          <w:rFonts w:ascii="Arial" w:cs="Arial" w:eastAsia="Arial" w:hAnsi="Arial"/>
          <w:sz w:val="18"/>
          <w:szCs w:val="18"/>
          <w:b w:val="1"/>
          <w:bCs w:val="1"/>
          <w:color w:val="auto"/>
        </w:rPr>
      </w:pPr>
    </w:p>
    <w:p>
      <w:pPr>
        <w:jc w:val="both"/>
        <w:ind w:left="680" w:right="5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 consolidated basis, we have reserved approximately $4.4 million on June 28, 2008 and $4.1 million on June 30, 2007, representing the estimated costs to complete future remediation efforts. These amounts have not been reduced by an insurance receivable.</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CONDENSED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STATEMENTS</w:t>
      </w:r>
    </w:p>
    <w:p>
      <w:pPr>
        <w:spacing w:after="0" w:line="170" w:lineRule="exact"/>
        <w:rPr>
          <w:sz w:val="20"/>
          <w:szCs w:val="20"/>
          <w:color w:val="auto"/>
        </w:rPr>
      </w:pPr>
    </w:p>
    <w:p>
      <w:pPr>
        <w:jc w:val="both"/>
        <w:ind w:left="700" w:right="559"/>
        <w:spacing w:after="0" w:line="271" w:lineRule="auto"/>
        <w:rPr>
          <w:sz w:val="20"/>
          <w:szCs w:val="20"/>
          <w:color w:val="auto"/>
        </w:rPr>
      </w:pPr>
      <w:r>
        <w:rPr>
          <w:rFonts w:ascii="Arial" w:cs="Arial" w:eastAsia="Arial" w:hAnsi="Arial"/>
          <w:sz w:val="18"/>
          <w:szCs w:val="18"/>
          <w:color w:val="auto"/>
        </w:rPr>
        <w:t>The manufacturers of CCA preservative voluntarily discontinued the registration of CCA for certain residential applications as of December 31, 2003. Our wood preservation facilities have been converted to alternate preservatives, either ACQ, borates or ProWood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Micro.</w:t>
      </w:r>
    </w:p>
    <w:p>
      <w:pPr>
        <w:spacing w:after="0" w:line="19" w:lineRule="exact"/>
        <w:rPr>
          <w:sz w:val="20"/>
          <w:szCs w:val="20"/>
          <w:color w:val="auto"/>
        </w:rPr>
      </w:pPr>
    </w:p>
    <w:p>
      <w:pPr>
        <w:jc w:val="both"/>
        <w:ind w:left="700" w:right="559"/>
        <w:spacing w:after="0" w:line="290" w:lineRule="auto"/>
        <w:rPr>
          <w:sz w:val="20"/>
          <w:szCs w:val="20"/>
          <w:color w:val="auto"/>
        </w:rPr>
      </w:pPr>
      <w:r>
        <w:rPr>
          <w:rFonts w:ascii="Arial" w:cs="Arial" w:eastAsia="Arial" w:hAnsi="Arial"/>
          <w:sz w:val="16"/>
          <w:szCs w:val="16"/>
          <w:color w:val="auto"/>
        </w:rPr>
        <w:t>In November 2003, the EPA published its report on the risks associated with the use of CCA in children’s playsets. While the study observed that the range of potential exposure to CCA increased by the continuous use of playsets, the EPA concluded that the risks were not sufficient to require removal or replacement of any CCA treated structures. The results of the EPA study are consistent with a prior Consumer Products Safety Commission (CPSC) study which reached a similar conclusion. The EPA did refer a question on the use of sealants to a scientific advisory panel. The panel issued a report which provides guidance to the EPA on the use of various sealants but does not mandate their use. In its final report issued on April 30, 2008, the EPA does not require removal or replacement of CCA-treated structures, including decks and playground equipment, and is not recommending that surrounding soils be removed or replaced.</w:t>
      </w:r>
    </w:p>
    <w:p>
      <w:pPr>
        <w:spacing w:after="0" w:line="139" w:lineRule="exact"/>
        <w:rPr>
          <w:sz w:val="20"/>
          <w:szCs w:val="20"/>
          <w:color w:val="auto"/>
        </w:rPr>
      </w:pPr>
    </w:p>
    <w:p>
      <w:pPr>
        <w:jc w:val="both"/>
        <w:ind w:left="700" w:right="559"/>
        <w:spacing w:after="0" w:line="259" w:lineRule="auto"/>
        <w:rPr>
          <w:sz w:val="20"/>
          <w:szCs w:val="20"/>
          <w:color w:val="auto"/>
        </w:rPr>
      </w:pPr>
      <w:r>
        <w:rPr>
          <w:rFonts w:ascii="Arial" w:cs="Arial" w:eastAsia="Arial" w:hAnsi="Arial"/>
          <w:sz w:val="18"/>
          <w:szCs w:val="18"/>
          <w:color w:val="auto"/>
        </w:rPr>
        <w:t>From time to time, various special interest environmental groups have petitioned certain states requesting restrictions on the use or disposal of CCA treated products. The wood preservation industry trade groups are working with the individual states and their regulatory agencies to provide an accurate, factual background which demonstrates that the present method of uses and disposal is scientifically supported.</w:t>
      </w:r>
    </w:p>
    <w:p>
      <w:pPr>
        <w:spacing w:after="0" w:line="146" w:lineRule="exact"/>
        <w:rPr>
          <w:sz w:val="20"/>
          <w:szCs w:val="20"/>
          <w:color w:val="auto"/>
        </w:rPr>
      </w:pPr>
    </w:p>
    <w:p>
      <w:pPr>
        <w:jc w:val="both"/>
        <w:ind w:left="700" w:right="559"/>
        <w:spacing w:after="0" w:line="277" w:lineRule="auto"/>
        <w:rPr>
          <w:sz w:val="20"/>
          <w:szCs w:val="20"/>
          <w:color w:val="auto"/>
        </w:rPr>
      </w:pPr>
      <w:r>
        <w:rPr>
          <w:rFonts w:ascii="Arial" w:cs="Arial" w:eastAsia="Arial" w:hAnsi="Arial"/>
          <w:sz w:val="18"/>
          <w:szCs w:val="18"/>
          <w:color w:val="auto"/>
        </w:rPr>
        <w:t>We have not accrued for any potential loss related to the contingencies above. However, potential liabilities of this nature are not conducive to precise estimates and are subject to change.</w:t>
      </w:r>
    </w:p>
    <w:p>
      <w:pPr>
        <w:spacing w:after="0" w:line="130" w:lineRule="exact"/>
        <w:rPr>
          <w:sz w:val="20"/>
          <w:szCs w:val="20"/>
          <w:color w:val="auto"/>
        </w:rPr>
      </w:pPr>
    </w:p>
    <w:p>
      <w:pPr>
        <w:jc w:val="both"/>
        <w:ind w:left="700" w:right="559"/>
        <w:spacing w:after="0" w:line="264" w:lineRule="auto"/>
        <w:rPr>
          <w:sz w:val="20"/>
          <w:szCs w:val="20"/>
          <w:color w:val="auto"/>
        </w:rPr>
      </w:pPr>
      <w:r>
        <w:rPr>
          <w:rFonts w:ascii="Arial" w:cs="Arial" w:eastAsia="Arial" w:hAnsi="Arial"/>
          <w:sz w:val="18"/>
          <w:szCs w:val="18"/>
          <w:color w:val="auto"/>
        </w:rPr>
        <w:t>In addition, on June 28, 2008, we were parties either as plaintiff or a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June 28, 2008, we had outstanding purchase commitments on capital projects of approximately $3.1 million.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provide a variety of warranties for products we manufacture. Historically, warranty claims have not been material.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CONDENSED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STATEMENTS</w:t>
      </w:r>
    </w:p>
    <w:p>
      <w:pPr>
        <w:spacing w:after="0" w:line="184" w:lineRule="exact"/>
        <w:rPr>
          <w:sz w:val="20"/>
          <w:szCs w:val="20"/>
          <w:color w:val="auto"/>
        </w:rPr>
      </w:pPr>
    </w:p>
    <w:p>
      <w:pPr>
        <w:jc w:val="both"/>
        <w:ind w:left="700" w:right="559"/>
        <w:spacing w:after="0" w:line="272" w:lineRule="auto"/>
        <w:rPr>
          <w:sz w:val="20"/>
          <w:szCs w:val="20"/>
          <w:color w:val="auto"/>
        </w:rPr>
      </w:pPr>
      <w:r>
        <w:rPr>
          <w:rFonts w:ascii="Arial" w:cs="Arial" w:eastAsia="Arial" w:hAnsi="Arial"/>
          <w:sz w:val="17"/>
          <w:szCs w:val="17"/>
          <w:color w:val="auto"/>
        </w:rPr>
        <w:t>In certain cases we jointly bid on contracts with framing companies to supply building materials to site-built construction projects. In some of these instances we are required to post payment and performance bonds to insure the owner that the products and installation services are completed in accordance with our contractual obligations. We have agreed to indemnify the surety for claims made against the bonds. Historically, we have not had any claims for indemnity from our sureties. As of June 28, 2008, we had approximately $32 million in outstanding payment and performance bonds, which expire during the next two years. In addition, approximately $15 million in payment and performance bonds are outstanding for completed projects which are still under warranty.</w:t>
      </w:r>
    </w:p>
    <w:p>
      <w:pPr>
        <w:spacing w:after="0" w:line="137" w:lineRule="exact"/>
        <w:rPr>
          <w:sz w:val="20"/>
          <w:szCs w:val="20"/>
          <w:color w:val="auto"/>
        </w:rPr>
      </w:pPr>
    </w:p>
    <w:p>
      <w:pPr>
        <w:jc w:val="both"/>
        <w:ind w:left="700" w:right="559"/>
        <w:spacing w:after="0" w:line="257" w:lineRule="auto"/>
        <w:rPr>
          <w:sz w:val="20"/>
          <w:szCs w:val="20"/>
          <w:color w:val="auto"/>
        </w:rPr>
      </w:pPr>
      <w:r>
        <w:rPr>
          <w:rFonts w:ascii="Arial" w:cs="Arial" w:eastAsia="Arial" w:hAnsi="Arial"/>
          <w:sz w:val="18"/>
          <w:szCs w:val="18"/>
          <w:color w:val="auto"/>
        </w:rPr>
        <w:t>We have entered into operating leases for certain assets that include a guarantee of a portion of the residual value of the leased assets. If at the expiration of the initial lease term we do not exercise our option to purchase the leased assets and these assets are sold by the lessor for a price below a predetermined amount, we will reimburse the lessor for a certain portion of the shortfall. These operating leases will expire periodically over the next five years. The estimated maximum aggregate exposure of these guarantees is approximately $2.1 million.</w:t>
      </w:r>
    </w:p>
    <w:p>
      <w:pPr>
        <w:spacing w:after="0" w:line="148" w:lineRule="exact"/>
        <w:rPr>
          <w:sz w:val="20"/>
          <w:szCs w:val="20"/>
          <w:color w:val="auto"/>
        </w:rPr>
      </w:pPr>
    </w:p>
    <w:p>
      <w:pPr>
        <w:jc w:val="both"/>
        <w:ind w:left="700" w:right="559"/>
        <w:spacing w:after="0" w:line="277" w:lineRule="auto"/>
        <w:rPr>
          <w:sz w:val="20"/>
          <w:szCs w:val="20"/>
          <w:color w:val="auto"/>
        </w:rPr>
      </w:pPr>
      <w:r>
        <w:rPr>
          <w:rFonts w:ascii="Arial" w:cs="Arial" w:eastAsia="Arial" w:hAnsi="Arial"/>
          <w:sz w:val="18"/>
          <w:szCs w:val="18"/>
          <w:color w:val="auto"/>
        </w:rPr>
        <w:t>Under our sale of accounts receivable agreement, we guarantee that a subsidiary, as accounts servicer, will remit collections on receivables sold to the bank. (See Note D, “Sale of Accounts Receivable.”)</w:t>
      </w:r>
    </w:p>
    <w:p>
      <w:pPr>
        <w:spacing w:after="0" w:line="143" w:lineRule="exact"/>
        <w:rPr>
          <w:sz w:val="20"/>
          <w:szCs w:val="20"/>
          <w:color w:val="auto"/>
        </w:rPr>
      </w:pPr>
    </w:p>
    <w:p>
      <w:pPr>
        <w:jc w:val="both"/>
        <w:ind w:left="700" w:right="559"/>
        <w:spacing w:after="0" w:line="277" w:lineRule="auto"/>
        <w:rPr>
          <w:sz w:val="20"/>
          <w:szCs w:val="20"/>
          <w:color w:val="auto"/>
        </w:rPr>
      </w:pPr>
      <w:r>
        <w:rPr>
          <w:rFonts w:ascii="Arial" w:cs="Arial" w:eastAsia="Arial" w:hAnsi="Arial"/>
          <w:sz w:val="18"/>
          <w:szCs w:val="18"/>
          <w:color w:val="auto"/>
        </w:rPr>
        <w:t>On June 28, 2008, we had outstanding letters of credit totaling $33.7 million, primarily related to certain insurance contracts and industrial development revenue bonds as further described below.</w:t>
      </w:r>
    </w:p>
    <w:p>
      <w:pPr>
        <w:spacing w:after="0" w:line="130" w:lineRule="exact"/>
        <w:rPr>
          <w:sz w:val="20"/>
          <w:szCs w:val="20"/>
          <w:color w:val="auto"/>
        </w:rPr>
      </w:pPr>
    </w:p>
    <w:p>
      <w:pPr>
        <w:jc w:val="both"/>
        <w:ind w:left="700" w:right="559"/>
        <w:spacing w:after="0" w:line="279" w:lineRule="auto"/>
        <w:rPr>
          <w:sz w:val="20"/>
          <w:szCs w:val="20"/>
          <w:color w:val="auto"/>
        </w:rPr>
      </w:pPr>
      <w:r>
        <w:rPr>
          <w:rFonts w:ascii="Arial" w:cs="Arial" w:eastAsia="Arial" w:hAnsi="Arial"/>
          <w:sz w:val="17"/>
          <w:szCs w:val="17"/>
          <w:color w:val="auto"/>
        </w:rPr>
        <w:t>In lieu of cash deposits, we provide irrevocable letters of credit in favor of our insurers to guarantee our performance under certain insurance contracts. We currently have irrevocable letters of credit outstanding totaling approximately $17.4 million for these types of insurance arrangements. We have reserves recorded on our balance sheet, in accrued liabilities, that reflect our expected future liabilities under these insurance arrangements.</w:t>
      </w:r>
    </w:p>
    <w:p>
      <w:pPr>
        <w:spacing w:after="0" w:line="131" w:lineRule="exact"/>
        <w:rPr>
          <w:sz w:val="20"/>
          <w:szCs w:val="20"/>
          <w:color w:val="auto"/>
        </w:rPr>
      </w:pPr>
    </w:p>
    <w:p>
      <w:pPr>
        <w:jc w:val="both"/>
        <w:ind w:left="700" w:right="559"/>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of the industrial development revenue bonds that we have issued. These letters of credit guarantee principal and interest payments to the bondholders. We currently have irrevocable letters of credit outstanding totaling approximately $16.1 million related to our outstanding industrial development revenue bonds. These letters of credit have varying terms but may be renewed at the option of the issuing banks.</w:t>
      </w:r>
    </w:p>
    <w:p>
      <w:pPr>
        <w:spacing w:after="0" w:line="161" w:lineRule="exact"/>
        <w:rPr>
          <w:sz w:val="20"/>
          <w:szCs w:val="20"/>
          <w:color w:val="auto"/>
        </w:rPr>
      </w:pPr>
    </w:p>
    <w:p>
      <w:pPr>
        <w:jc w:val="both"/>
        <w:ind w:left="700" w:right="559"/>
        <w:spacing w:after="0" w:line="279" w:lineRule="auto"/>
        <w:rPr>
          <w:sz w:val="20"/>
          <w:szCs w:val="20"/>
          <w:color w:val="auto"/>
        </w:rPr>
      </w:pPr>
      <w:r>
        <w:rPr>
          <w:rFonts w:ascii="Arial" w:cs="Arial" w:eastAsia="Arial" w:hAnsi="Arial"/>
          <w:sz w:val="17"/>
          <w:szCs w:val="17"/>
          <w:color w:val="auto"/>
        </w:rPr>
        <w:t>Certain wholly owned domestic subsidiaries have guaranteed the indebtedness of Universal Forest Products, Inc. in certain debt agreements, including the Series 1998-A Senior Notes, Series 2002-A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31" w:lineRule="exact"/>
        <w:rPr>
          <w:sz w:val="20"/>
          <w:szCs w:val="20"/>
          <w:color w:val="auto"/>
        </w:rPr>
      </w:pPr>
    </w:p>
    <w:p>
      <w:pPr>
        <w:jc w:val="both"/>
        <w:ind w:left="700" w:right="559"/>
        <w:spacing w:after="0" w:line="291" w:lineRule="auto"/>
        <w:rPr>
          <w:sz w:val="20"/>
          <w:szCs w:val="20"/>
          <w:color w:val="auto"/>
        </w:rPr>
      </w:pPr>
      <w:r>
        <w:rPr>
          <w:rFonts w:ascii="Arial" w:cs="Arial" w:eastAsia="Arial" w:hAnsi="Arial"/>
          <w:sz w:val="16"/>
          <w:szCs w:val="16"/>
          <w:color w:val="auto"/>
        </w:rPr>
        <w:t>Our treating operations utilize “Subpart W” drip pads, defined as hazardous waste management units by the EPA. The rules regulating drip pads require that the pad be “closed” at the point that it is no longer used to manage hazardous waste. Closure involves identification and disposal of contamination which requires removal from the wood treating operations. The ultimate cost of closure is dependent upon a number of factors including, but not limited to, identification and removal of contamination, cleanup standards that vary from state to state, and the time period over which the cleanup would be completed. Based on our present knowledge of existing circumstances, it is considered probable that these costs will approximate $0.4 million. As a result, this amount is recorded in other long-term liabilities on June 28, 2008.</w:t>
      </w:r>
    </w:p>
    <w:p>
      <w:pPr>
        <w:spacing w:after="0" w:line="127" w:lineRule="exact"/>
        <w:rPr>
          <w:sz w:val="20"/>
          <w:szCs w:val="20"/>
          <w:color w:val="auto"/>
        </w:rPr>
      </w:pPr>
    </w:p>
    <w:p>
      <w:pPr>
        <w:jc w:val="both"/>
        <w:ind w:left="700" w:right="559"/>
        <w:spacing w:after="0" w:line="277" w:lineRule="auto"/>
        <w:rPr>
          <w:sz w:val="20"/>
          <w:szCs w:val="20"/>
          <w:color w:val="auto"/>
        </w:rPr>
      </w:pPr>
      <w:r>
        <w:rPr>
          <w:rFonts w:ascii="Arial" w:cs="Arial" w:eastAsia="Arial" w:hAnsi="Arial"/>
          <w:sz w:val="18"/>
          <w:szCs w:val="18"/>
          <w:color w:val="auto"/>
        </w:rPr>
        <w:t>We did not enter into any new guarantee arrangements during the second quarter of 2008 which would require us to recognize a liability on our balance sheet.</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NOTES TO UNAUDITED CONSOLIDATED CONDENSED</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FINANCIAL STATEMENTS</w:t>
      </w:r>
    </w:p>
    <w:p>
      <w:pPr>
        <w:spacing w:after="0" w:line="180" w:lineRule="exact"/>
        <w:rPr>
          <w:sz w:val="20"/>
          <w:szCs w:val="20"/>
          <w:color w:val="auto"/>
        </w:rPr>
      </w:pPr>
    </w:p>
    <w:p>
      <w:pPr>
        <w:ind w:left="680" w:hanging="34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61" w:lineRule="exact"/>
        <w:rPr>
          <w:rFonts w:ascii="Arial" w:cs="Arial" w:eastAsia="Arial" w:hAnsi="Arial"/>
          <w:sz w:val="18"/>
          <w:szCs w:val="18"/>
          <w:b w:val="1"/>
          <w:bCs w:val="1"/>
          <w:color w:val="auto"/>
        </w:rPr>
      </w:pPr>
    </w:p>
    <w:p>
      <w:pPr>
        <w:jc w:val="both"/>
        <w:ind w:left="680" w:right="17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 xml:space="preserve">SFAS No. 131,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xml:space="preserve"> (“SFAS 131”)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97" w:lineRule="exact"/>
        <w:rPr>
          <w:rFonts w:ascii="Arial" w:cs="Arial" w:eastAsia="Arial" w:hAnsi="Arial"/>
          <w:sz w:val="18"/>
          <w:szCs w:val="18"/>
          <w:b w:val="1"/>
          <w:bCs w:val="1"/>
          <w:color w:val="auto"/>
        </w:rPr>
      </w:pPr>
    </w:p>
    <w:p>
      <w:pPr>
        <w:jc w:val="both"/>
        <w:ind w:left="680" w:right="17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Under the definition of a segment, our Eastern, Western and Consumer Products Divisions may be considered an operating segment of our business. Under SFAS 131, segments may be aggregated if the segments have similar economic characteristics and if the nature of the products, distribution methods, customers and regulatory environments are similar. Based on this criteria, we have aggregated our Eastern and Western Divisions into one reporting segment. Our Consumer Products Division is included in the “All Other” column in the table below. Our divisions operate manufacturing and treating facilities throughout North America. A summary of results for the first six months of 2008 and 2007 are presented below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420" w:type="dxa"/>
            <w:vAlign w:val="bottom"/>
            <w:gridSpan w:val="6"/>
          </w:tcPr>
          <w:p>
            <w:pPr>
              <w:ind w:left="520"/>
              <w:spacing w:after="0"/>
              <w:rPr>
                <w:sz w:val="20"/>
                <w:szCs w:val="20"/>
                <w:color w:val="auto"/>
              </w:rPr>
            </w:pPr>
            <w:r>
              <w:rPr>
                <w:rFonts w:ascii="Arial" w:cs="Arial" w:eastAsia="Arial" w:hAnsi="Arial"/>
                <w:sz w:val="18"/>
                <w:szCs w:val="18"/>
                <w:color w:val="auto"/>
              </w:rPr>
              <w:t>Six Months Ended 06/28/08</w:t>
            </w:r>
          </w:p>
        </w:tc>
        <w:tc>
          <w:tcPr>
            <w:tcW w:w="3160" w:type="dxa"/>
            <w:vAlign w:val="bottom"/>
            <w:gridSpan w:val="6"/>
          </w:tcPr>
          <w:p>
            <w:pPr>
              <w:jc w:val="center"/>
              <w:ind w:right="80"/>
              <w:spacing w:after="0"/>
              <w:rPr>
                <w:sz w:val="20"/>
                <w:szCs w:val="20"/>
                <w:color w:val="auto"/>
              </w:rPr>
            </w:pPr>
            <w:r>
              <w:rPr>
                <w:rFonts w:ascii="Arial" w:cs="Arial" w:eastAsia="Arial" w:hAnsi="Arial"/>
                <w:sz w:val="18"/>
                <w:szCs w:val="18"/>
                <w:color w:val="auto"/>
                <w:w w:val="92"/>
              </w:rPr>
              <w:t>Six Months Ended 06/30/07</w:t>
            </w:r>
          </w:p>
        </w:tc>
        <w:tc>
          <w:tcPr>
            <w:tcW w:w="17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95" w:lineRule="exact"/>
              <w:rPr>
                <w:sz w:val="20"/>
                <w:szCs w:val="20"/>
                <w:color w:val="auto"/>
              </w:rPr>
            </w:pPr>
            <w:r>
              <w:rPr>
                <w:rFonts w:ascii="Arial" w:cs="Arial" w:eastAsia="Arial" w:hAnsi="Arial"/>
                <w:sz w:val="18"/>
                <w:szCs w:val="18"/>
                <w:color w:val="auto"/>
                <w:w w:val="86"/>
              </w:rPr>
              <w:t>Eastern</w:t>
            </w:r>
          </w:p>
        </w:tc>
        <w:tc>
          <w:tcPr>
            <w:tcW w:w="7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Borders>
              <w:top w:val="single" w:sz="8" w:color="auto"/>
            </w:tcBorders>
            <w:gridSpan w:val="2"/>
          </w:tcPr>
          <w:p>
            <w:pPr>
              <w:jc w:val="center"/>
              <w:ind w:right="340"/>
              <w:spacing w:after="0" w:line="195" w:lineRule="exact"/>
              <w:rPr>
                <w:sz w:val="20"/>
                <w:szCs w:val="20"/>
                <w:color w:val="auto"/>
              </w:rPr>
            </w:pPr>
            <w:r>
              <w:rPr>
                <w:rFonts w:ascii="Arial" w:cs="Arial" w:eastAsia="Arial" w:hAnsi="Arial"/>
                <w:sz w:val="18"/>
                <w:szCs w:val="18"/>
                <w:color w:val="auto"/>
                <w:w w:val="86"/>
              </w:rPr>
              <w:t>Eastern</w:t>
            </w:r>
          </w:p>
        </w:tc>
        <w:tc>
          <w:tcPr>
            <w:tcW w:w="7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and</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Western</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Western</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Divisions</w:t>
            </w:r>
          </w:p>
        </w:tc>
        <w:tc>
          <w:tcPr>
            <w:tcW w:w="3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All Other</w:t>
            </w:r>
          </w:p>
        </w:tc>
        <w:tc>
          <w:tcPr>
            <w:tcW w:w="320" w:type="dxa"/>
            <w:vAlign w:val="bottom"/>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Divisions</w:t>
            </w:r>
          </w:p>
        </w:tc>
        <w:tc>
          <w:tcPr>
            <w:tcW w:w="34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All Other</w:t>
            </w:r>
          </w:p>
        </w:tc>
        <w:tc>
          <w:tcPr>
            <w:tcW w:w="360" w:type="dxa"/>
            <w:vAlign w:val="bottom"/>
          </w:tcPr>
          <w:p>
            <w:pPr>
              <w:spacing w:after="0"/>
              <w:rPr>
                <w:sz w:val="20"/>
                <w:szCs w:val="20"/>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$1,152,132</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  45,865</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$1,197,997</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$1,253,147</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  68,996</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$1,322,143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16,015</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16,015</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15,169</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15,169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16,238</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1,989</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18,227</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35,906</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5,812</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41,718</w:t>
            </w:r>
          </w:p>
        </w:tc>
        <w:tc>
          <w:tcPr>
            <w:tcW w:w="1760" w:type="dxa"/>
            <w:vAlign w:val="bottom"/>
          </w:tcPr>
          <w:p>
            <w:pPr>
              <w:spacing w:after="0"/>
              <w:rPr>
                <w:sz w:val="18"/>
                <w:szCs w:val="18"/>
                <w:color w:val="auto"/>
              </w:rPr>
            </w:pPr>
          </w:p>
        </w:tc>
      </w:tr>
      <w:tr>
        <w:trPr>
          <w:trHeight w:val="783"/>
        </w:trPr>
        <w:tc>
          <w:tcPr>
            <w:tcW w:w="3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Included in this report are certain forward-looking statements within the meaning of Section 27A of the Securities Act of 1933, as amended, and Section 21E of the Securities Exchange Act of 1934, as amended. The forward-looking statements are based on the beliefs and assumptions of management, together with information available to us when the statements were made. Future results could differ materially from those included in such forward-looking statements as a result of, among other things, the factors set forth below and certain economic and business factors which may be beyond our control. Investors are cautioned that all forward-looking statements involve risks and uncertainty.</w:t>
      </w:r>
    </w:p>
    <w:p>
      <w:pPr>
        <w:spacing w:after="0" w:line="13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results for the second quarter of 2008 were impacted by the following:</w:t>
      </w:r>
    </w:p>
    <w:p>
      <w:pPr>
        <w:spacing w:after="0" w:line="198" w:lineRule="exact"/>
        <w:rPr>
          <w:sz w:val="20"/>
          <w:szCs w:val="20"/>
          <w:color w:val="auto"/>
        </w:rPr>
      </w:pPr>
    </w:p>
    <w:p>
      <w:pPr>
        <w:ind w:left="680" w:right="559" w:hanging="348"/>
        <w:spacing w:after="0" w:line="277" w:lineRule="auto"/>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overall unit sales decreased 6%, as sales out of existing facilities and operations we closed decreased by 8% this quarter and we experienced a 2% increase in unit sales as a result of acquisitions.</w:t>
      </w:r>
    </w:p>
    <w:p>
      <w:pPr>
        <w:spacing w:after="0" w:line="102" w:lineRule="exact"/>
        <w:rPr>
          <w:rFonts w:ascii="Arial" w:cs="Arial" w:eastAsia="Arial" w:hAnsi="Arial"/>
          <w:sz w:val="18"/>
          <w:szCs w:val="18"/>
          <w:b w:val="1"/>
          <w:bCs w:val="1"/>
          <w:color w:val="auto"/>
        </w:rPr>
      </w:pPr>
    </w:p>
    <w:p>
      <w:pPr>
        <w:jc w:val="both"/>
        <w:ind w:left="680" w:right="559" w:hanging="348"/>
        <w:spacing w:after="0" w:line="286" w:lineRule="auto"/>
        <w:tabs>
          <w:tab w:leader="none" w:pos="68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We experienced sales decreases in our site-built, manufactured housing, and DIY/retail markets, while we continued to grow sales to the industrial market. We believe we have gained additional share in each of the markets we serve except manufactured housing. We currently have a commanding share of the manufactured housing market.</w:t>
      </w:r>
    </w:p>
    <w:p>
      <w:pPr>
        <w:spacing w:after="0" w:line="97" w:lineRule="exact"/>
        <w:rPr>
          <w:rFonts w:ascii="Arial" w:cs="Arial" w:eastAsia="Arial" w:hAnsi="Arial"/>
          <w:sz w:val="17"/>
          <w:szCs w:val="17"/>
          <w:b w:val="1"/>
          <w:bCs w:val="1"/>
          <w:color w:val="auto"/>
        </w:rPr>
      </w:pPr>
    </w:p>
    <w:p>
      <w:pPr>
        <w:ind w:left="680" w:right="559" w:hanging="348"/>
        <w:spacing w:after="0" w:line="277" w:lineRule="auto"/>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Single-family housing starts fell approximately 43% in the second quarter of 2008 compared to 2007 as a result of an excess supply of homes, tighter credit conditions, and an increase in foreclosures.</w:t>
      </w:r>
    </w:p>
    <w:p>
      <w:pPr>
        <w:spacing w:after="0" w:line="102" w:lineRule="exact"/>
        <w:rPr>
          <w:rFonts w:ascii="Arial" w:cs="Arial" w:eastAsia="Arial" w:hAnsi="Arial"/>
          <w:sz w:val="18"/>
          <w:szCs w:val="18"/>
          <w:b w:val="1"/>
          <w:bCs w:val="1"/>
          <w:color w:val="auto"/>
        </w:rPr>
      </w:pPr>
    </w:p>
    <w:p>
      <w:pPr>
        <w:jc w:val="both"/>
        <w:ind w:left="680" w:right="559" w:hanging="348"/>
        <w:spacing w:after="0" w:line="264" w:lineRule="auto"/>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Consumer spending for large repair/remodel projects has decreased as many homeowners have lost equity in devalued homes and have less disposable income as a result of higher costs for necessities such as food, fuel and utilities. Consumer Confidence Index has fallen from 87.3 at the beginning of the year to 50.4 currently.</w:t>
      </w:r>
    </w:p>
    <w:p>
      <w:pPr>
        <w:spacing w:after="0" w:line="113" w:lineRule="exact"/>
        <w:rPr>
          <w:rFonts w:ascii="Arial" w:cs="Arial" w:eastAsia="Arial" w:hAnsi="Arial"/>
          <w:sz w:val="18"/>
          <w:szCs w:val="18"/>
          <w:b w:val="1"/>
          <w:bCs w:val="1"/>
          <w:color w:val="auto"/>
        </w:rPr>
      </w:pPr>
    </w:p>
    <w:p>
      <w:pPr>
        <w:ind w:left="680" w:right="559" w:hanging="348"/>
        <w:spacing w:after="0" w:line="277" w:lineRule="auto"/>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Shipments of HUD code manufactured homes were down 8% in April and May and sales of modular homes have also continued to decline due, in part, to an excess supply of site-built homes and tight credit conditions.</w:t>
      </w:r>
    </w:p>
    <w:p>
      <w:pPr>
        <w:spacing w:after="0" w:line="102" w:lineRule="exact"/>
        <w:rPr>
          <w:rFonts w:ascii="Arial" w:cs="Arial" w:eastAsia="Arial" w:hAnsi="Arial"/>
          <w:sz w:val="18"/>
          <w:szCs w:val="18"/>
          <w:b w:val="1"/>
          <w:bCs w:val="1"/>
          <w:color w:val="auto"/>
        </w:rPr>
      </w:pPr>
    </w:p>
    <w:p>
      <w:pPr>
        <w:ind w:left="680" w:right="559" w:hanging="348"/>
        <w:spacing w:after="0" w:line="277" w:lineRule="auto"/>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industrial market is declining due to the general weakening of the U.S. economy. We gained additional share and increased sales to this market due to acquisitions and adding new concrete forming business.</w:t>
      </w:r>
    </w:p>
    <w:p>
      <w:pPr>
        <w:spacing w:after="0" w:line="102" w:lineRule="exact"/>
        <w:rPr>
          <w:rFonts w:ascii="Arial" w:cs="Arial" w:eastAsia="Arial" w:hAnsi="Arial"/>
          <w:sz w:val="18"/>
          <w:szCs w:val="18"/>
          <w:b w:val="1"/>
          <w:bCs w:val="1"/>
          <w:color w:val="auto"/>
        </w:rPr>
      </w:pPr>
    </w:p>
    <w:p>
      <w:pPr>
        <w:jc w:val="both"/>
        <w:ind w:left="680" w:right="559" w:hanging="348"/>
        <w:spacing w:after="0" w:line="312" w:lineRule="auto"/>
        <w:tabs>
          <w:tab w:leader="none" w:pos="68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Our gross profits decreased almost 17% compared to the same period of 2007 due to a combination of lower unit sales out of existing facilities and fixed manufacturing costs; intense pricing pressure, particularly in the site-built market; and higher transportation costs primarily due to the rapid increase in diesel fuel prices and a decline in the number of available carriers.</w:t>
      </w:r>
    </w:p>
    <w:p>
      <w:pPr>
        <w:spacing w:after="0" w:line="200" w:lineRule="exact"/>
        <w:rPr>
          <w:sz w:val="20"/>
          <w:szCs w:val="20"/>
          <w:color w:val="auto"/>
        </w:rPr>
      </w:pP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Outlook</w:t>
      </w:r>
    </w:p>
    <w:p>
      <w:pPr>
        <w:spacing w:after="0" w:line="185"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 February, we announced 2008 targets based on assumptions about markets, economic conditions and other relevant factors; however, some of those assumptions have not held: Diminished consumer spending impacted DIY/retail more than anticipated; the over-supply of affordable site-built homes and the lack of conventional financing options have both hampered manufactured housing; and the industrial market slowed with the weakening economy and will be negatively impacted by any ongoing economic downturn. In addition, rising fuel prices are significantly impacting transportation costs in all of our markets.</w:t>
      </w:r>
    </w:p>
    <w:p>
      <w:pPr>
        <w:spacing w:after="0" w:line="118"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Based on these factors, we have adjusted our annual targets for 2008 as follows: net sales of between $2.3 billion and $2.35 billion (from the previous target of $2.45 billion to $2.55 billion), and net earnings of between $12 million and $15 million (from $22 million to $27 million). These targets are based on the following additional key assumptions:</w:t>
      </w:r>
    </w:p>
    <w:p>
      <w:pPr>
        <w:spacing w:after="0" w:line="139" w:lineRule="exact"/>
        <w:rPr>
          <w:sz w:val="20"/>
          <w:szCs w:val="20"/>
          <w:color w:val="auto"/>
        </w:rPr>
      </w:pPr>
    </w:p>
    <w:p>
      <w:pPr>
        <w:ind w:left="1040" w:right="559" w:hanging="343"/>
        <w:spacing w:after="0" w:line="277" w:lineRule="auto"/>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We will maintain strong market share in each of our markets, and will grow market share in DIY/retail, industrial and site-built construction.</w:t>
      </w:r>
    </w:p>
    <w:p>
      <w:pPr>
        <w:spacing w:after="0" w:line="102" w:lineRule="exact"/>
        <w:rPr>
          <w:rFonts w:ascii="Arial" w:cs="Arial" w:eastAsia="Arial" w:hAnsi="Arial"/>
          <w:sz w:val="18"/>
          <w:szCs w:val="18"/>
          <w:b w:val="1"/>
          <w:bCs w:val="1"/>
          <w:color w:val="auto"/>
        </w:rPr>
      </w:pPr>
    </w:p>
    <w:p>
      <w:pPr>
        <w:ind w:left="1040" w:hanging="343"/>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Margins will continue to be negatively impacted by price pressure and by rising fuel costs.</w:t>
      </w:r>
    </w:p>
    <w:p>
      <w:pPr>
        <w:spacing w:after="0" w:line="157"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Lumber mill closures may better align supply and demand, but weak demand overall will keep the lumber market depressed for the balance of the year, affecting our selling prices.</w:t>
      </w:r>
    </w:p>
    <w:p>
      <w:pPr>
        <w:spacing w:after="0" w:line="102" w:lineRule="exact"/>
        <w:rPr>
          <w:rFonts w:ascii="Arial" w:cs="Arial" w:eastAsia="Arial" w:hAnsi="Arial"/>
          <w:sz w:val="18"/>
          <w:szCs w:val="18"/>
          <w:b w:val="1"/>
          <w:bCs w:val="1"/>
          <w:color w:val="auto"/>
        </w:rPr>
      </w:pPr>
    </w:p>
    <w:p>
      <w:pPr>
        <w:jc w:val="both"/>
        <w:ind w:left="1040" w:right="559" w:hanging="343"/>
        <w:spacing w:after="0" w:line="264" w:lineRule="auto"/>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Any asset impairment, severance or other charges incurred as a result of plant closures, consolidations or the downsizing of a Company operation are not reflected in our sales or earnings targets. If we take such actions, our ability to meet the stated targets will be diminished.</w:t>
      </w:r>
    </w:p>
    <w:p>
      <w:pPr>
        <w:spacing w:after="0" w:line="14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addition, please refer to the “Risk Factors” section of our annual report on form 10-K, filed with the United States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and Exchange Commission.</w:t>
      </w:r>
      <w:r>
        <w:rPr>
          <w:rFonts w:ascii="Arial" w:cs="Arial" w:eastAsia="Arial" w:hAnsi="Arial"/>
          <w:sz w:val="18"/>
          <w:szCs w:val="18"/>
          <w:color w:val="auto"/>
        </w:rPr>
        <w: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Growth &amp; Opportunity 2010 Goals</w:t>
      </w:r>
    </w:p>
    <w:p>
      <w:pPr>
        <w:spacing w:after="0" w:line="198"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Since we announced our Growth &amp; Opportunity 2010 Goals in our annual report on form 10-K for the period ended December 30, 2006, industry and general economic conditions have significantly deteriorated. We experience significant fluctuations in the cost of commodity lumber products from primary producers (“Lumber Market”). The Lumber Market has declined from an average of $388/mbf in 2005 to an average of $256/mbf in 2008, a 34% decline from when we first announced these goals, which has adversely impacted our sales. We are currently reviewing these long-term goals and expect to modify them when market conditions stabilize so new targets can be set using more current data and assumptions.</w:t>
      </w:r>
    </w:p>
    <w:p>
      <w:pPr>
        <w:spacing w:after="0" w:line="200" w:lineRule="exact"/>
        <w:rPr>
          <w:sz w:val="20"/>
          <w:szCs w:val="20"/>
          <w:color w:val="auto"/>
        </w:rPr>
      </w:pPr>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HISTORICAL LUMBER PRICES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Random Lengths framing lumber composite price for the six months ended June 28, 2008 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30, 2007:</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5"/>
          </w:tcPr>
          <w:p>
            <w:pPr>
              <w:jc w:val="right"/>
              <w:ind w:right="300"/>
              <w:spacing w:after="0"/>
              <w:rPr>
                <w:sz w:val="20"/>
                <w:szCs w:val="20"/>
                <w:color w:val="auto"/>
              </w:rPr>
            </w:pPr>
            <w:r>
              <w:rPr>
                <w:rFonts w:ascii="Arial" w:cs="Arial" w:eastAsia="Arial" w:hAnsi="Arial"/>
                <w:sz w:val="18"/>
                <w:szCs w:val="18"/>
                <w:color w:val="auto"/>
                <w:w w:val="92"/>
              </w:rPr>
              <w:t>Random Lengths Composite</w:t>
            </w:r>
          </w:p>
        </w:tc>
      </w:tr>
      <w:tr>
        <w:trPr>
          <w:trHeight w:val="230"/>
        </w:trPr>
        <w:tc>
          <w:tcPr>
            <w:tcW w:w="6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right"/>
              <w:ind w:right="740"/>
              <w:spacing w:after="0"/>
              <w:rPr>
                <w:sz w:val="20"/>
                <w:szCs w:val="20"/>
                <w:color w:val="auto"/>
              </w:rPr>
            </w:pPr>
            <w:r>
              <w:rPr>
                <w:rFonts w:ascii="Arial" w:cs="Arial" w:eastAsia="Arial" w:hAnsi="Arial"/>
                <w:sz w:val="18"/>
                <w:szCs w:val="18"/>
                <w:color w:val="auto"/>
              </w:rPr>
              <w:t>Average $/MBF</w:t>
            </w:r>
          </w:p>
        </w:tc>
      </w:tr>
      <w:tr>
        <w:trPr>
          <w:trHeight w:val="210"/>
        </w:trPr>
        <w:tc>
          <w:tcPr>
            <w:tcW w:w="67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2008</w:t>
            </w:r>
          </w:p>
        </w:tc>
        <w:tc>
          <w:tcPr>
            <w:tcW w:w="5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February</w:t>
            </w:r>
          </w:p>
        </w:tc>
        <w:tc>
          <w:tcPr>
            <w:tcW w:w="1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289</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April</w:t>
            </w:r>
          </w:p>
        </w:tc>
        <w:tc>
          <w:tcPr>
            <w:tcW w:w="1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286</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June</w:t>
            </w:r>
          </w:p>
        </w:tc>
        <w:tc>
          <w:tcPr>
            <w:tcW w:w="14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306</w:t>
            </w:r>
          </w:p>
        </w:tc>
      </w:tr>
      <w:tr>
        <w:trPr>
          <w:trHeight w:val="202"/>
        </w:trPr>
        <w:tc>
          <w:tcPr>
            <w:tcW w:w="6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average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Year-to-date average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256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290</w:t>
            </w:r>
          </w:p>
        </w:tc>
      </w:tr>
      <w:tr>
        <w:trPr>
          <w:trHeight w:val="202"/>
        </w:trPr>
        <w:tc>
          <w:tcPr>
            <w:tcW w:w="6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percentage change from 2007</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Year-to-date percentage change from 2007</w:t>
            </w:r>
          </w:p>
        </w:tc>
        <w:tc>
          <w:tcPr>
            <w:tcW w:w="14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47"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Sales of products produced using this species, which primarily consists of our preservative-treated products, may comprise up to 50% of our sales volume.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180" w:type="dxa"/>
            <w:vAlign w:val="bottom"/>
            <w:gridSpan w:val="4"/>
          </w:tcPr>
          <w:p>
            <w:pPr>
              <w:jc w:val="right"/>
              <w:ind w:right="61"/>
              <w:spacing w:after="0"/>
              <w:rPr>
                <w:sz w:val="20"/>
                <w:szCs w:val="20"/>
                <w:color w:val="auto"/>
              </w:rPr>
            </w:pPr>
            <w:r>
              <w:rPr>
                <w:rFonts w:ascii="Arial" w:cs="Arial" w:eastAsia="Arial" w:hAnsi="Arial"/>
                <w:sz w:val="18"/>
                <w:szCs w:val="18"/>
                <w:color w:val="auto"/>
              </w:rPr>
              <w:t>Random Lengths SYP</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8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8"/>
                <w:szCs w:val="18"/>
                <w:color w:val="auto"/>
              </w:rPr>
              <w:t>Average $/MBF</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3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352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337</w:t>
            </w:r>
          </w:p>
        </w:tc>
        <w:tc>
          <w:tcPr>
            <w:tcW w:w="700" w:type="dxa"/>
            <w:vAlign w:val="bottom"/>
            <w:shd w:val="clear" w:color="auto" w:fill="CCEEFF"/>
          </w:tcPr>
          <w:p>
            <w:pPr>
              <w:jc w:val="right"/>
              <w:ind w:right="541"/>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414</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February</w:t>
            </w:r>
          </w:p>
        </w:tc>
        <w:tc>
          <w:tcPr>
            <w:tcW w:w="2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330</w:t>
            </w:r>
          </w:p>
        </w:tc>
        <w:tc>
          <w:tcPr>
            <w:tcW w:w="7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405</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331</w:t>
            </w:r>
          </w:p>
        </w:tc>
        <w:tc>
          <w:tcPr>
            <w:tcW w:w="7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396</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April</w:t>
            </w:r>
          </w:p>
        </w:tc>
        <w:tc>
          <w:tcPr>
            <w:tcW w:w="2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345</w:t>
            </w:r>
          </w:p>
        </w:tc>
        <w:tc>
          <w:tcPr>
            <w:tcW w:w="7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397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421</w:t>
            </w:r>
          </w:p>
        </w:tc>
        <w:tc>
          <w:tcPr>
            <w:tcW w:w="7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390</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June</w:t>
            </w:r>
          </w:p>
        </w:tc>
        <w:tc>
          <w:tcPr>
            <w:tcW w:w="2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427</w:t>
            </w:r>
          </w:p>
        </w:tc>
        <w:tc>
          <w:tcPr>
            <w:tcW w:w="70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410</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average</w:t>
            </w:r>
          </w:p>
        </w:tc>
        <w:tc>
          <w:tcPr>
            <w:tcW w:w="352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398</w:t>
            </w:r>
          </w:p>
        </w:tc>
        <w:tc>
          <w:tcPr>
            <w:tcW w:w="700" w:type="dxa"/>
            <w:vAlign w:val="bottom"/>
            <w:shd w:val="clear" w:color="auto" w:fill="CCEEFF"/>
          </w:tcPr>
          <w:p>
            <w:pPr>
              <w:jc w:val="right"/>
              <w:ind w:right="541"/>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399</w:t>
            </w: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Year-to-date average</w:t>
            </w:r>
          </w:p>
        </w:tc>
        <w:tc>
          <w:tcPr>
            <w:tcW w:w="352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365</w:t>
            </w:r>
          </w:p>
        </w:tc>
        <w:tc>
          <w:tcPr>
            <w:tcW w:w="700" w:type="dxa"/>
            <w:vAlign w:val="bottom"/>
          </w:tcPr>
          <w:p>
            <w:pPr>
              <w:jc w:val="right"/>
              <w:ind w:right="541"/>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402</w:t>
            </w:r>
          </w:p>
        </w:tc>
        <w:tc>
          <w:tcPr>
            <w:tcW w:w="17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percentage change from 2007</w:t>
            </w:r>
          </w:p>
        </w:tc>
        <w:tc>
          <w:tcPr>
            <w:tcW w:w="2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(0.3%)</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Year-to-date percentage change from 2007</w:t>
            </w:r>
          </w:p>
        </w:tc>
        <w:tc>
          <w:tcPr>
            <w:tcW w:w="2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(9.2%)</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40" w:type="dxa"/>
            <w:vAlign w:val="bottom"/>
          </w:tcPr>
          <w:p>
            <w:pPr>
              <w:jc w:val="right"/>
              <w:ind w:right="1930"/>
              <w:spacing w:after="0"/>
              <w:rPr>
                <w:sz w:val="20"/>
                <w:szCs w:val="20"/>
                <w:color w:val="auto"/>
              </w:rPr>
            </w:pPr>
            <w:r>
              <w:rPr>
                <w:rFonts w:ascii="Arial" w:cs="Arial" w:eastAsia="Arial" w:hAnsi="Arial"/>
                <w:sz w:val="18"/>
                <w:szCs w:val="18"/>
                <w:color w:val="auto"/>
              </w:rPr>
              <w:t>19</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18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We experience significant fluctuations in the cost of commodity lumber products from primary producers (“Lumber Market”). 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are a significant percentage of our cost of goods sold.</w:t>
      </w:r>
    </w:p>
    <w:p>
      <w:pPr>
        <w:spacing w:after="0" w:line="148"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 xml:space="preserve">Our gross margins are impacted by both (1) the relative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the Lumber Market (i.e. whether prices are higher or lower from comparative periods), and (2)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the Lumber Market impact our products differently.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185" w:lineRule="exact"/>
        <w:rPr>
          <w:sz w:val="20"/>
          <w:szCs w:val="20"/>
          <w:color w:val="auto"/>
        </w:rPr>
      </w:pPr>
    </w:p>
    <w:p>
      <w:pPr>
        <w:jc w:val="both"/>
        <w:ind w:left="680" w:right="559" w:hanging="348"/>
        <w:spacing w:after="0" w:line="255" w:lineRule="auto"/>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with fixed selling prices.</w:t>
      </w:r>
      <w:r>
        <w:rPr>
          <w:rFonts w:ascii="Arial" w:cs="Arial" w:eastAsia="Arial" w:hAnsi="Arial"/>
          <w:sz w:val="18"/>
          <w:szCs w:val="18"/>
          <w:color w:val="auto"/>
        </w:rPr>
        <w:t xml:space="preserve"> These products include value-added products such as decking and fencing sold to DIY/retail customers, as well as trusses, wall panels and other components sold to the site-built construction market, and most industrial packaging products. Prices for these products are generally fixed at the time of the sales quotation for a specified period of time or are based upon a specific quantity. In order to maintain margins and reduce any exposure to adverse trends in the price of component lumber products, we attempt to lock in costs for these sales commitments with our suppliers. Also, the time period and quantity limitations generally allow us to re-price our products for changes in lumber costs from our suppliers.</w:t>
      </w:r>
    </w:p>
    <w:p>
      <w:pPr>
        <w:spacing w:after="0" w:line="121" w:lineRule="exact"/>
        <w:rPr>
          <w:rFonts w:ascii="Arial" w:cs="Arial" w:eastAsia="Arial" w:hAnsi="Arial"/>
          <w:sz w:val="18"/>
          <w:szCs w:val="18"/>
          <w:b w:val="1"/>
          <w:bCs w:val="1"/>
          <w:color w:val="auto"/>
        </w:rPr>
      </w:pPr>
    </w:p>
    <w:p>
      <w:pPr>
        <w:jc w:val="both"/>
        <w:ind w:left="680" w:right="559" w:hanging="348"/>
        <w:spacing w:after="0" w:line="297" w:lineRule="auto"/>
        <w:tabs>
          <w:tab w:leader="none" w:pos="680" w:val="left"/>
        </w:tabs>
        <w:numPr>
          <w:ilvl w:val="0"/>
          <w:numId w:val="12"/>
        </w:numPr>
        <w:rPr>
          <w:rFonts w:ascii="Arial" w:cs="Arial" w:eastAsia="Arial" w:hAnsi="Arial"/>
          <w:sz w:val="16"/>
          <w:szCs w:val="16"/>
          <w:b w:val="1"/>
          <w:bCs w:val="1"/>
          <w:color w:val="auto"/>
        </w:rPr>
      </w:pPr>
      <w:r>
        <w:rPr>
          <w:rFonts w:ascii="Arial" w:cs="Arial" w:eastAsia="Arial" w:hAnsi="Arial"/>
          <w:sz w:val="16"/>
          <w:szCs w:val="16"/>
          <w:u w:val="single" w:color="auto"/>
          <w:color w:val="auto"/>
        </w:rPr>
        <w:t>Products with selling prices indexed to the reported Lumber Market with a fixed dollar “adder” to cover conversion costs and profits.</w:t>
      </w:r>
      <w:r>
        <w:rPr>
          <w:rFonts w:ascii="Arial" w:cs="Arial" w:eastAsia="Arial" w:hAnsi="Arial"/>
          <w:sz w:val="16"/>
          <w:szCs w:val="16"/>
          <w:color w:val="auto"/>
        </w:rPr>
        <w:t xml:space="preserve"> These products primarily include treated lumber, remanufactured lumber, and trusses sold to the manufactured housing industry. For these products, we estimate the customers’ needs and carry anticipated levels of inventory. Because lumber costs are incurred in advance of final sale prices, subsequent increases or decreases in the market price of lumber impact our gross margins. For these products, our margins are exposed to changes in the trend of lumber prices.</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UNIVERSAL FOREST PRODUCTS, INC.</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have their greatest impact on the following products:</w:t>
      </w:r>
    </w:p>
    <w:p>
      <w:pPr>
        <w:spacing w:after="0" w:line="185" w:lineRule="exact"/>
        <w:rPr>
          <w:sz w:val="20"/>
          <w:szCs w:val="20"/>
          <w:color w:val="auto"/>
        </w:rPr>
      </w:pPr>
    </w:p>
    <w:p>
      <w:pPr>
        <w:jc w:val="both"/>
        <w:ind w:left="680" w:right="559" w:hanging="348"/>
        <w:spacing w:after="0" w:line="272" w:lineRule="auto"/>
        <w:tabs>
          <w:tab w:leader="none" w:pos="680" w:val="left"/>
        </w:tabs>
        <w:numPr>
          <w:ilvl w:val="0"/>
          <w:numId w:val="13"/>
        </w:numPr>
        <w:rPr>
          <w:rFonts w:ascii="Arial" w:cs="Arial" w:eastAsia="Arial" w:hAnsi="Arial"/>
          <w:sz w:val="17"/>
          <w:szCs w:val="17"/>
          <w:b w:val="1"/>
          <w:bCs w:val="1"/>
          <w:color w:val="auto"/>
        </w:rPr>
      </w:pPr>
      <w:r>
        <w:rPr>
          <w:rFonts w:ascii="Arial" w:cs="Arial" w:eastAsia="Arial" w:hAnsi="Arial"/>
          <w:sz w:val="17"/>
          <w:szCs w:val="17"/>
          <w:u w:val="single" w:color="auto"/>
          <w:color w:val="auto"/>
        </w:rPr>
        <w:t xml:space="preserve">Products with significant inventory levels with low turnover rates, whose selling prices are indexed to the Lumber Market. </w:t>
      </w:r>
      <w:r>
        <w:rPr>
          <w:rFonts w:ascii="Arial" w:cs="Arial" w:eastAsia="Arial" w:hAnsi="Arial"/>
          <w:sz w:val="17"/>
          <w:szCs w:val="17"/>
          <w:color w:val="auto"/>
        </w:rPr>
        <w:t>In other words, the longer the period of time these products remain in inventory, the greater the exposure to changes in the price of lumber. This would include treated lumber, which comprises approximately 12%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7"/>
          <w:szCs w:val="17"/>
          <w:i w:val="1"/>
          <w:iCs w:val="1"/>
          <w:color w:val="auto"/>
        </w:rPr>
        <w:t>Please refer to the “Risk Factors” section of our annual report on form 10-K, filed with</w:t>
      </w:r>
      <w:r>
        <w:rPr>
          <w:rFonts w:ascii="Arial" w:cs="Arial" w:eastAsia="Arial" w:hAnsi="Arial"/>
          <w:sz w:val="17"/>
          <w:szCs w:val="17"/>
          <w:color w:val="auto"/>
        </w:rPr>
        <w:t xml:space="preserve"> </w:t>
      </w:r>
      <w:r>
        <w:rPr>
          <w:rFonts w:ascii="Arial" w:cs="Arial" w:eastAsia="Arial" w:hAnsi="Arial"/>
          <w:sz w:val="17"/>
          <w:szCs w:val="17"/>
          <w:i w:val="1"/>
          <w:iCs w:val="1"/>
          <w:color w:val="auto"/>
        </w:rPr>
        <w:t>the United States Securities and Exchange Commission.</w:t>
      </w:r>
      <w:r>
        <w:rPr>
          <w:rFonts w:ascii="Arial" w:cs="Arial" w:eastAsia="Arial" w:hAnsi="Arial"/>
          <w:sz w:val="17"/>
          <w:szCs w:val="17"/>
          <w:color w:val="auto"/>
        </w:rPr>
        <w:t>)</w:t>
      </w:r>
    </w:p>
    <w:p>
      <w:pPr>
        <w:spacing w:after="0" w:line="110" w:lineRule="exact"/>
        <w:rPr>
          <w:rFonts w:ascii="Arial" w:cs="Arial" w:eastAsia="Arial" w:hAnsi="Arial"/>
          <w:sz w:val="17"/>
          <w:szCs w:val="17"/>
          <w:b w:val="1"/>
          <w:bCs w:val="1"/>
          <w:color w:val="auto"/>
        </w:rPr>
      </w:pPr>
    </w:p>
    <w:p>
      <w:pPr>
        <w:ind w:left="680" w:right="559" w:hanging="348"/>
        <w:spacing w:after="0" w:line="277" w:lineRule="auto"/>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by locking in costs.</w:t>
      </w:r>
    </w:p>
    <w:p>
      <w:pPr>
        <w:spacing w:after="0" w:line="143"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 xml:space="preserve">In addition to the impact of the Lumber Market </w:t>
      </w:r>
      <w:r>
        <w:rPr>
          <w:rFonts w:ascii="Arial" w:cs="Arial" w:eastAsia="Arial" w:hAnsi="Arial"/>
          <w:sz w:val="16"/>
          <w:szCs w:val="16"/>
          <w:u w:val="single" w:color="auto"/>
          <w:color w:val="auto"/>
        </w:rPr>
        <w:t>trends</w:t>
      </w:r>
      <w:r>
        <w:rPr>
          <w:rFonts w:ascii="Arial" w:cs="Arial" w:eastAsia="Arial" w:hAnsi="Arial"/>
          <w:sz w:val="16"/>
          <w:szCs w:val="16"/>
          <w:color w:val="auto"/>
        </w:rPr>
        <w:t xml:space="preserve"> on gross margins, changes in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within each period.</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Period 1</w:t>
            </w:r>
          </w:p>
        </w:tc>
        <w:tc>
          <w:tcPr>
            <w:tcW w:w="1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Period 2</w:t>
            </w:r>
          </w:p>
        </w:tc>
      </w:tr>
      <w:tr>
        <w:trPr>
          <w:trHeight w:val="210"/>
        </w:trPr>
        <w:tc>
          <w:tcPr>
            <w:tcW w:w="6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Lumber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Conversion cost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 Product cost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Adder</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 Sell price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47"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 xml:space="preserve">As is apparent from the preceding example,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lumber prices does not impact our overall profits, but does impact our margins. Gross margins are negatively impacted during periods of high lumber prices; conversely, we experience margin improvement when lumber prices are relatively low.</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 COMBINATIONS</w:t>
      </w:r>
    </w:p>
    <w:p>
      <w:pPr>
        <w:spacing w:after="0" w:line="189"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We completed the following business combinations in fiscal 2008 and fiscal 2007, which were accounted for using the purchase method.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Company Name</w:t>
            </w:r>
          </w:p>
        </w:tc>
        <w:tc>
          <w:tcPr>
            <w:tcW w:w="200" w:type="dxa"/>
            <w:vAlign w:val="bottom"/>
          </w:tcPr>
          <w:p>
            <w:pPr>
              <w:spacing w:after="0"/>
              <w:rPr>
                <w:sz w:val="20"/>
                <w:szCs w:val="20"/>
                <w:color w:val="auto"/>
              </w:rPr>
            </w:pPr>
          </w:p>
        </w:tc>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2"/>
              </w:rPr>
              <w:t>Acquisition Date</w:t>
            </w:r>
          </w:p>
        </w:tc>
        <w:tc>
          <w:tcPr>
            <w:tcW w:w="200" w:type="dxa"/>
            <w:vAlign w:val="bottom"/>
          </w:tcPr>
          <w:p>
            <w:pPr>
              <w:spacing w:after="0"/>
              <w:rPr>
                <w:sz w:val="20"/>
                <w:szCs w:val="20"/>
                <w:color w:val="auto"/>
              </w:rPr>
            </w:pP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5"/>
              </w:rPr>
              <w:t>Purchase Price</w:t>
            </w:r>
          </w:p>
        </w:tc>
        <w:tc>
          <w:tcPr>
            <w:tcW w:w="180" w:type="dxa"/>
            <w:vAlign w:val="bottom"/>
          </w:tcPr>
          <w:p>
            <w:pPr>
              <w:spacing w:after="0"/>
              <w:rPr>
                <w:sz w:val="20"/>
                <w:szCs w:val="20"/>
                <w:color w:val="auto"/>
              </w:rPr>
            </w:pPr>
          </w:p>
        </w:tc>
        <w:tc>
          <w:tcPr>
            <w:tcW w:w="410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Business Description</w:t>
            </w:r>
          </w:p>
        </w:tc>
      </w:tr>
      <w:tr>
        <w:trPr>
          <w:trHeight w:val="210"/>
        </w:trPr>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D-Stake Mill and</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June 9, 2008</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$7.1 million (asset</w:t>
            </w:r>
          </w:p>
        </w:tc>
        <w:tc>
          <w:tcPr>
            <w:tcW w:w="18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Manufactures kiln stickers, lath, stakes, decking, and</w:t>
            </w: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Manufacturing Country</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purchase)</w:t>
            </w:r>
          </w:p>
        </w:tc>
        <w:tc>
          <w:tcPr>
            <w:tcW w:w="1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2"/>
              </w:rPr>
              <w:t>pallets and pallet components for a variety of industries</w:t>
            </w:r>
          </w:p>
        </w:tc>
      </w:tr>
      <w:tr>
        <w:trPr>
          <w:trHeight w:val="216"/>
        </w:trPr>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6"/>
              </w:rPr>
              <w:t>including manufacturing, retail and agriculture. Plants</w:t>
            </w:r>
          </w:p>
        </w:tc>
      </w:tr>
      <w:tr>
        <w:trPr>
          <w:trHeight w:val="216"/>
        </w:trPr>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2"/>
              </w:rPr>
              <w:t>are located in McMinnville, OR and Independence, OR.</w:t>
            </w:r>
          </w:p>
        </w:tc>
      </w:tr>
      <w:tr>
        <w:trPr>
          <w:trHeight w:val="230"/>
        </w:trPr>
        <w:tc>
          <w:tcPr>
            <w:tcW w:w="1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Combined 2007 sales were $18.5 million.</w:t>
            </w:r>
          </w:p>
        </w:tc>
      </w:tr>
      <w:tr>
        <w:trPr>
          <w:trHeight w:val="418"/>
        </w:trPr>
        <w:tc>
          <w:tcPr>
            <w:tcW w:w="1860" w:type="dxa"/>
            <w:vAlign w:val="bottom"/>
          </w:tcPr>
          <w:p>
            <w:pPr>
              <w:spacing w:after="0"/>
              <w:rPr>
                <w:sz w:val="20"/>
                <w:szCs w:val="20"/>
                <w:color w:val="auto"/>
              </w:rPr>
            </w:pPr>
            <w:r>
              <w:rPr>
                <w:rFonts w:ascii="Arial" w:cs="Arial" w:eastAsia="Arial" w:hAnsi="Arial"/>
                <w:sz w:val="18"/>
                <w:szCs w:val="18"/>
                <w:color w:val="auto"/>
                <w:w w:val="96"/>
              </w:rPr>
              <w:t>Shawnlee Construction,</w:t>
            </w:r>
          </w:p>
        </w:tc>
        <w:tc>
          <w:tcPr>
            <w:tcW w:w="2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April 1, 2008</w:t>
            </w:r>
          </w:p>
        </w:tc>
        <w:tc>
          <w:tcPr>
            <w:tcW w:w="2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$1.8 million</w:t>
            </w:r>
          </w:p>
        </w:tc>
        <w:tc>
          <w:tcPr>
            <w:tcW w:w="18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4"/>
              </w:rPr>
              <w:t>Provides framing services for multi-family construction</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LLC (“Shawnlee”)</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5"/>
              </w:rPr>
              <w:t>in the northeast. Located in Plainville, MA. Purchased</w:t>
            </w:r>
          </w:p>
        </w:tc>
      </w:tr>
      <w:tr>
        <w:trPr>
          <w:trHeight w:val="216"/>
        </w:trPr>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0"/>
              </w:rPr>
              <w:t>an additional 5% membership interest. We currently own</w:t>
            </w:r>
          </w:p>
        </w:tc>
      </w:tr>
      <w:tr>
        <w:trPr>
          <w:trHeight w:val="230"/>
        </w:trPr>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 90% membership interest.</w:t>
            </w:r>
          </w:p>
        </w:tc>
      </w:tr>
      <w:tr>
        <w:trPr>
          <w:trHeight w:val="216"/>
        </w:trPr>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April 2, 2007</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$1.4 million</w:t>
            </w:r>
          </w:p>
        </w:tc>
        <w:tc>
          <w:tcPr>
            <w:tcW w:w="1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Purchased an additional 5% membership interest.</w:t>
            </w:r>
          </w:p>
        </w:tc>
      </w:tr>
      <w:tr>
        <w:trPr>
          <w:trHeight w:val="418"/>
        </w:trPr>
        <w:tc>
          <w:tcPr>
            <w:tcW w:w="1860" w:type="dxa"/>
            <w:vAlign w:val="bottom"/>
          </w:tcPr>
          <w:p>
            <w:pPr>
              <w:spacing w:after="0"/>
              <w:rPr>
                <w:sz w:val="20"/>
                <w:szCs w:val="20"/>
                <w:color w:val="auto"/>
              </w:rPr>
            </w:pPr>
            <w:r>
              <w:rPr>
                <w:rFonts w:ascii="Arial" w:cs="Arial" w:eastAsia="Arial" w:hAnsi="Arial"/>
                <w:sz w:val="18"/>
                <w:szCs w:val="18"/>
                <w:color w:val="auto"/>
              </w:rPr>
              <w:t>International Wood</w:t>
            </w:r>
          </w:p>
        </w:tc>
        <w:tc>
          <w:tcPr>
            <w:tcW w:w="2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February 4, 2008</w:t>
            </w:r>
          </w:p>
        </w:tc>
        <w:tc>
          <w:tcPr>
            <w:tcW w:w="2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$14.0 million</w:t>
            </w:r>
          </w:p>
        </w:tc>
        <w:tc>
          <w:tcPr>
            <w:tcW w:w="18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Manufactures and distributes industrial products,</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Industries, Inc. (“IWI”)</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(stock purchase)</w:t>
            </w:r>
          </w:p>
        </w:tc>
        <w:tc>
          <w:tcPr>
            <w:tcW w:w="1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including specialty boxes, crates, pallets and skids.</w:t>
            </w:r>
          </w:p>
        </w:tc>
      </w:tr>
      <w:tr>
        <w:trPr>
          <w:trHeight w:val="216"/>
        </w:trPr>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5"/>
              </w:rPr>
              <w:t>Headquartered in Turlock, CA with distribution sites in</w:t>
            </w:r>
          </w:p>
        </w:tc>
      </w:tr>
      <w:tr>
        <w:trPr>
          <w:trHeight w:val="230"/>
        </w:trPr>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Hawaii and Alaska. 2007 sales were $40.0 million.</w:t>
            </w:r>
          </w:p>
        </w:tc>
      </w:tr>
      <w:tr>
        <w:trPr>
          <w:trHeight w:val="216"/>
        </w:trPr>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Deck Images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July 10, 2007</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$0.9 million (asset</w:t>
            </w:r>
          </w:p>
        </w:tc>
        <w:tc>
          <w:tcPr>
            <w:tcW w:w="18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Manufactures and distributes aluminum railing systems.</w:t>
            </w:r>
          </w:p>
        </w:tc>
      </w:tr>
      <w:tr>
        <w:trPr>
          <w:trHeight w:val="230"/>
        </w:trPr>
        <w:tc>
          <w:tcPr>
            <w:tcW w:w="1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purchase)</w:t>
            </w:r>
          </w:p>
        </w:tc>
        <w:tc>
          <w:tcPr>
            <w:tcW w:w="180" w:type="dxa"/>
            <w:vAlign w:val="bottom"/>
            <w:shd w:val="clear" w:color="auto" w:fill="CCEEFF"/>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3"/>
              </w:rPr>
              <w:t>Located in Hastings, MN. 2006 sales were $1.9 million.</w:t>
            </w:r>
          </w:p>
        </w:tc>
      </w:tr>
      <w:tr>
        <w:trPr>
          <w:trHeight w:val="418"/>
        </w:trPr>
        <w:tc>
          <w:tcPr>
            <w:tcW w:w="1860" w:type="dxa"/>
            <w:vAlign w:val="bottom"/>
          </w:tcPr>
          <w:p>
            <w:pPr>
              <w:spacing w:after="0"/>
              <w:rPr>
                <w:sz w:val="20"/>
                <w:szCs w:val="20"/>
                <w:color w:val="auto"/>
              </w:rPr>
            </w:pPr>
            <w:r>
              <w:rPr>
                <w:rFonts w:ascii="Arial" w:cs="Arial" w:eastAsia="Arial" w:hAnsi="Arial"/>
                <w:sz w:val="18"/>
                <w:szCs w:val="18"/>
                <w:color w:val="auto"/>
                <w:w w:val="97"/>
              </w:rPr>
              <w:t>Perfection Trusses, Inc.</w:t>
            </w:r>
          </w:p>
        </w:tc>
        <w:tc>
          <w:tcPr>
            <w:tcW w:w="2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March 5, 2007</w:t>
            </w:r>
          </w:p>
        </w:tc>
        <w:tc>
          <w:tcPr>
            <w:tcW w:w="2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93"/>
              </w:rPr>
              <w:t>$1.3 million (asset</w:t>
            </w:r>
          </w:p>
        </w:tc>
        <w:tc>
          <w:tcPr>
            <w:tcW w:w="18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5"/>
              </w:rPr>
              <w:t>Manufactures and distributes roof and floor trusses to</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(“Perfection”)</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purchase)</w:t>
            </w:r>
          </w:p>
        </w:tc>
        <w:tc>
          <w:tcPr>
            <w:tcW w:w="1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4"/>
              </w:rPr>
              <w:t>the Eastern Florida market. The company is located in</w:t>
            </w:r>
          </w:p>
        </w:tc>
      </w:tr>
      <w:tr>
        <w:trPr>
          <w:trHeight w:val="230"/>
        </w:trPr>
        <w:tc>
          <w:tcPr>
            <w:tcW w:w="1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Vero Beach, FL. 2006 sales were $3.9 million.</w:t>
            </w:r>
          </w:p>
        </w:tc>
      </w:tr>
      <w:tr>
        <w:trPr>
          <w:trHeight w:val="216"/>
        </w:trPr>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Aljoma Lumber</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February 12, 2007</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$53.5 million</w:t>
            </w:r>
          </w:p>
        </w:tc>
        <w:tc>
          <w:tcPr>
            <w:tcW w:w="18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Manufactures, treats and distributes various wood</w:t>
            </w: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Company (“Aljoma”)</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(stock purchase)</w:t>
            </w:r>
          </w:p>
        </w:tc>
        <w:tc>
          <w:tcPr>
            <w:tcW w:w="1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5"/>
              </w:rPr>
              <w:t>products, building materials and specialty hardwoods.</w:t>
            </w:r>
          </w:p>
        </w:tc>
      </w:tr>
      <w:tr>
        <w:trPr>
          <w:trHeight w:val="216"/>
        </w:trPr>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The company is located in Medley, FL. They serve</w:t>
            </w:r>
          </w:p>
        </w:tc>
      </w:tr>
      <w:tr>
        <w:trPr>
          <w:trHeight w:val="216"/>
        </w:trPr>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6"/>
              </w:rPr>
              <w:t>Florida, the Eastern United States and the Caribbean</w:t>
            </w:r>
          </w:p>
        </w:tc>
      </w:tr>
      <w:tr>
        <w:trPr>
          <w:trHeight w:val="216"/>
        </w:trPr>
        <w:tc>
          <w:tcPr>
            <w:tcW w:w="1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4"/>
              </w:rPr>
              <w:t>islands. Aljoma has one of the largest treating facilities</w:t>
            </w:r>
          </w:p>
        </w:tc>
      </w:tr>
      <w:tr>
        <w:trPr>
          <w:trHeight w:val="230"/>
        </w:trPr>
        <w:tc>
          <w:tcPr>
            <w:tcW w:w="1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 the country. 2006 sales were $225.0 million.</w:t>
            </w:r>
          </w:p>
        </w:tc>
      </w:tr>
    </w:tbl>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Consolidated Condensed Statements of Earnings as a percentage of net sales.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2700" w:type="dxa"/>
            <w:vAlign w:val="bottom"/>
            <w:gridSpan w:val="4"/>
          </w:tcPr>
          <w:p>
            <w:pPr>
              <w:jc w:val="right"/>
              <w:ind w:right="540"/>
              <w:spacing w:after="0"/>
              <w:rPr>
                <w:sz w:val="20"/>
                <w:szCs w:val="20"/>
                <w:color w:val="auto"/>
              </w:rPr>
            </w:pPr>
            <w:r>
              <w:rPr>
                <w:rFonts w:ascii="Arial" w:cs="Arial" w:eastAsia="Arial" w:hAnsi="Arial"/>
                <w:sz w:val="18"/>
                <w:szCs w:val="18"/>
                <w:color w:val="auto"/>
                <w:w w:val="92"/>
              </w:rPr>
              <w:t>For the Three Months Ended</w:t>
            </w:r>
          </w:p>
        </w:tc>
        <w:tc>
          <w:tcPr>
            <w:tcW w:w="2420" w:type="dxa"/>
            <w:vAlign w:val="bottom"/>
            <w:gridSpan w:val="4"/>
          </w:tcPr>
          <w:p>
            <w:pPr>
              <w:jc w:val="right"/>
              <w:ind w:right="340"/>
              <w:spacing w:after="0"/>
              <w:rPr>
                <w:sz w:val="20"/>
                <w:szCs w:val="20"/>
                <w:color w:val="auto"/>
              </w:rPr>
            </w:pPr>
            <w:r>
              <w:rPr>
                <w:rFonts w:ascii="Arial" w:cs="Arial" w:eastAsia="Arial" w:hAnsi="Arial"/>
                <w:sz w:val="18"/>
                <w:szCs w:val="18"/>
                <w:color w:val="auto"/>
                <w:w w:val="98"/>
              </w:rPr>
              <w:t>For the Six Months Ended</w:t>
            </w:r>
          </w:p>
        </w:tc>
      </w:tr>
      <w:tr>
        <w:trPr>
          <w:trHeight w:val="195"/>
        </w:trPr>
        <w:tc>
          <w:tcPr>
            <w:tcW w:w="420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580"/>
              <w:spacing w:after="0" w:line="195" w:lineRule="exact"/>
              <w:rPr>
                <w:sz w:val="20"/>
                <w:szCs w:val="20"/>
                <w:color w:val="auto"/>
              </w:rPr>
            </w:pPr>
            <w:r>
              <w:rPr>
                <w:rFonts w:ascii="Arial" w:cs="Arial" w:eastAsia="Arial" w:hAnsi="Arial"/>
                <w:sz w:val="18"/>
                <w:szCs w:val="18"/>
                <w:color w:val="auto"/>
              </w:rPr>
              <w:t>June 28,</w:t>
            </w:r>
          </w:p>
        </w:tc>
        <w:tc>
          <w:tcPr>
            <w:tcW w:w="92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June 30,</w:t>
            </w:r>
          </w:p>
        </w:tc>
        <w:tc>
          <w:tcPr>
            <w:tcW w:w="44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580"/>
              <w:spacing w:after="0" w:line="195" w:lineRule="exact"/>
              <w:rPr>
                <w:sz w:val="20"/>
                <w:szCs w:val="20"/>
                <w:color w:val="auto"/>
              </w:rPr>
            </w:pPr>
            <w:r>
              <w:rPr>
                <w:rFonts w:ascii="Arial" w:cs="Arial" w:eastAsia="Arial" w:hAnsi="Arial"/>
                <w:sz w:val="18"/>
                <w:szCs w:val="18"/>
                <w:color w:val="auto"/>
              </w:rPr>
              <w:t>June 28,</w:t>
            </w:r>
          </w:p>
        </w:tc>
        <w:tc>
          <w:tcPr>
            <w:tcW w:w="92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16"/>
                <w:szCs w:val="16"/>
                <w:color w:val="auto"/>
              </w:rPr>
            </w:pPr>
          </w:p>
        </w:tc>
      </w:tr>
      <w:tr>
        <w:trPr>
          <w:trHeight w:val="230"/>
        </w:trPr>
        <w:tc>
          <w:tcPr>
            <w:tcW w:w="420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4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4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4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20"/>
                <w:szCs w:val="20"/>
                <w:color w:val="auto"/>
              </w:rPr>
            </w:pPr>
          </w:p>
        </w:tc>
      </w:tr>
      <w:tr>
        <w:trPr>
          <w:trHeight w:val="210"/>
        </w:trPr>
        <w:tc>
          <w:tcPr>
            <w:tcW w:w="4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Cost of goods sold</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88.0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86.8</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88.4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86.7</w:t>
            </w:r>
          </w:p>
        </w:tc>
      </w:tr>
      <w:tr>
        <w:trPr>
          <w:trHeight w:val="223"/>
        </w:trPr>
        <w:tc>
          <w:tcPr>
            <w:tcW w:w="42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13.2</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8.8</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9.1</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10.1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r>
      <w:tr>
        <w:trPr>
          <w:trHeight w:val="223"/>
        </w:trPr>
        <w:tc>
          <w:tcPr>
            <w:tcW w:w="42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Interest, net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0.4</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0.6</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0.5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r>
      <w:tr>
        <w:trPr>
          <w:trHeight w:val="223"/>
        </w:trPr>
        <w:tc>
          <w:tcPr>
            <w:tcW w:w="42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Income taxes</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0.3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r>
      <w:tr>
        <w:trPr>
          <w:trHeight w:val="223"/>
        </w:trPr>
        <w:tc>
          <w:tcPr>
            <w:tcW w:w="42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minority interest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Minority interest</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7"/>
        </w:trPr>
        <w:tc>
          <w:tcPr>
            <w:tcW w:w="4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4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447"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447"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GROSS SALES</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engineer, manufacture, treat, distribute and install lumber, composite wood, plastic, and other building products for the DIY/retail, site-built construction, industrial, and manufactured housing markets. Our strategic long-term sales objectives include:</w:t>
      </w:r>
    </w:p>
    <w:p>
      <w:pPr>
        <w:spacing w:after="0" w:line="141" w:lineRule="exact"/>
        <w:rPr>
          <w:sz w:val="20"/>
          <w:szCs w:val="20"/>
          <w:color w:val="auto"/>
        </w:rPr>
      </w:pPr>
    </w:p>
    <w:p>
      <w:pPr>
        <w:jc w:val="both"/>
        <w:ind w:left="680" w:right="559" w:hanging="348"/>
        <w:spacing w:after="0" w:line="264" w:lineRule="auto"/>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Diversifying our end market sales mix by increasing sales of specialty wood packaging to industrial users, penetrating the concrete forms market and increasing our sales of engineered wood components for custom homes, multi- family and light commercial construction.</w:t>
      </w:r>
    </w:p>
    <w:p>
      <w:pPr>
        <w:spacing w:after="0" w:line="113" w:lineRule="exact"/>
        <w:rPr>
          <w:rFonts w:ascii="Arial" w:cs="Arial" w:eastAsia="Arial" w:hAnsi="Arial"/>
          <w:sz w:val="18"/>
          <w:szCs w:val="18"/>
          <w:b w:val="1"/>
          <w:bCs w:val="1"/>
          <w:color w:val="auto"/>
        </w:rPr>
      </w:pPr>
    </w:p>
    <w:p>
      <w:pPr>
        <w:ind w:left="680" w:hanging="348"/>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Expanding geographically in our core businesses.</w:t>
      </w:r>
    </w:p>
    <w:p>
      <w:pPr>
        <w:spacing w:after="0" w:line="157" w:lineRule="exact"/>
        <w:rPr>
          <w:rFonts w:ascii="Arial" w:cs="Arial" w:eastAsia="Arial" w:hAnsi="Arial"/>
          <w:sz w:val="18"/>
          <w:szCs w:val="18"/>
          <w:b w:val="1"/>
          <w:bCs w:val="1"/>
          <w:color w:val="auto"/>
        </w:rPr>
      </w:pPr>
    </w:p>
    <w:p>
      <w:pPr>
        <w:jc w:val="both"/>
        <w:ind w:left="680" w:right="559" w:hanging="348"/>
        <w:spacing w:after="0" w:line="255" w:lineRule="auto"/>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Increasing sales of “value-added” products and framing services. Value-added product sales primarily consist of fencing, decking, lattice, and other specialty products sold to the DIY/retail market, specialty wood packaging, engineered wood components,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125" w:lineRule="exact"/>
        <w:rPr>
          <w:rFonts w:ascii="Arial" w:cs="Arial" w:eastAsia="Arial" w:hAnsi="Arial"/>
          <w:sz w:val="18"/>
          <w:szCs w:val="18"/>
          <w:b w:val="1"/>
          <w:bCs w:val="1"/>
          <w:color w:val="auto"/>
        </w:rPr>
      </w:pPr>
    </w:p>
    <w:p>
      <w:pPr>
        <w:ind w:left="680" w:hanging="348"/>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Maximizing unit sales growth while achieving return on investment goals.</w:t>
      </w:r>
    </w:p>
    <w:p>
      <w:pPr>
        <w:spacing w:after="0" w:line="19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following table presents, for the periods indicated, our gross sales (in thousands) and percentage change in gross sales by market classification.</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60" w:type="dxa"/>
            <w:vAlign w:val="bottom"/>
            <w:gridSpan w:val="6"/>
          </w:tcPr>
          <w:p>
            <w:pPr>
              <w:jc w:val="center"/>
              <w:ind w:right="340"/>
              <w:spacing w:after="0"/>
              <w:rPr>
                <w:sz w:val="20"/>
                <w:szCs w:val="20"/>
                <w:color w:val="auto"/>
              </w:rPr>
            </w:pPr>
            <w:r>
              <w:rPr>
                <w:rFonts w:ascii="Arial" w:cs="Arial" w:eastAsia="Arial" w:hAnsi="Arial"/>
                <w:sz w:val="18"/>
                <w:szCs w:val="18"/>
                <w:color w:val="auto"/>
                <w:w w:val="90"/>
              </w:rPr>
              <w:t>For the Three Months Ended</w:t>
            </w:r>
          </w:p>
        </w:tc>
        <w:tc>
          <w:tcPr>
            <w:tcW w:w="100" w:type="dxa"/>
            <w:vAlign w:val="bottom"/>
          </w:tcPr>
          <w:p>
            <w:pPr>
              <w:spacing w:after="0"/>
              <w:rPr>
                <w:sz w:val="20"/>
                <w:szCs w:val="20"/>
                <w:color w:val="auto"/>
              </w:rPr>
            </w:pPr>
          </w:p>
        </w:tc>
        <w:tc>
          <w:tcPr>
            <w:tcW w:w="3060" w:type="dxa"/>
            <w:vAlign w:val="bottom"/>
            <w:gridSpan w:val="7"/>
          </w:tcPr>
          <w:p>
            <w:pPr>
              <w:jc w:val="center"/>
              <w:ind w:right="160"/>
              <w:spacing w:after="0"/>
              <w:rPr>
                <w:sz w:val="20"/>
                <w:szCs w:val="20"/>
                <w:color w:val="auto"/>
              </w:rPr>
            </w:pPr>
            <w:r>
              <w:rPr>
                <w:rFonts w:ascii="Arial" w:cs="Arial" w:eastAsia="Arial" w:hAnsi="Arial"/>
                <w:sz w:val="18"/>
                <w:szCs w:val="18"/>
                <w:color w:val="auto"/>
                <w:w w:val="91"/>
              </w:rPr>
              <w:t>For the Six Months Ended</w:t>
            </w:r>
          </w:p>
        </w:tc>
      </w:tr>
      <w:tr>
        <w:trPr>
          <w:trHeight w:val="195"/>
        </w:trPr>
        <w:tc>
          <w:tcPr>
            <w:tcW w:w="7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Borders>
              <w:top w:val="single" w:sz="8" w:color="auto"/>
            </w:tcBorders>
            <w:gridSpan w:val="2"/>
          </w:tcPr>
          <w:p>
            <w:pPr>
              <w:jc w:val="right"/>
              <w:ind w:right="420"/>
              <w:spacing w:after="0" w:line="195" w:lineRule="exact"/>
              <w:rPr>
                <w:sz w:val="20"/>
                <w:szCs w:val="20"/>
                <w:color w:val="auto"/>
              </w:rPr>
            </w:pPr>
            <w:r>
              <w:rPr>
                <w:rFonts w:ascii="Arial" w:cs="Arial" w:eastAsia="Arial" w:hAnsi="Arial"/>
                <w:sz w:val="18"/>
                <w:szCs w:val="18"/>
                <w:color w:val="auto"/>
                <w:w w:val="92"/>
              </w:rPr>
              <w:t>June 28,</w:t>
            </w:r>
          </w:p>
        </w:tc>
        <w:tc>
          <w:tcPr>
            <w:tcW w:w="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June 30,</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440"/>
              <w:spacing w:after="0" w:line="195" w:lineRule="exact"/>
              <w:rPr>
                <w:sz w:val="20"/>
                <w:szCs w:val="20"/>
                <w:color w:val="auto"/>
              </w:rPr>
            </w:pPr>
            <w:r>
              <w:rPr>
                <w:rFonts w:ascii="Arial" w:cs="Arial" w:eastAsia="Arial" w:hAnsi="Arial"/>
                <w:sz w:val="18"/>
                <w:szCs w:val="18"/>
                <w:color w:val="auto"/>
                <w:w w:val="86"/>
              </w:rPr>
              <w:t>June 28,</w:t>
            </w:r>
          </w:p>
        </w:tc>
        <w:tc>
          <w:tcPr>
            <w:tcW w:w="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w:t>
            </w: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6"/>
              </w:rPr>
              <w:t>June 30,</w:t>
            </w:r>
          </w:p>
        </w:tc>
        <w:tc>
          <w:tcPr>
            <w:tcW w:w="80" w:type="dxa"/>
            <w:vAlign w:val="bottom"/>
          </w:tcPr>
          <w:p>
            <w:pPr>
              <w:spacing w:after="0"/>
              <w:rPr>
                <w:sz w:val="16"/>
                <w:szCs w:val="16"/>
                <w:color w:val="auto"/>
              </w:rPr>
            </w:pPr>
          </w:p>
        </w:tc>
      </w:tr>
      <w:tr>
        <w:trPr>
          <w:trHeight w:val="230"/>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Market Classification</w:t>
            </w:r>
          </w:p>
        </w:tc>
        <w:tc>
          <w:tcPr>
            <w:tcW w:w="280" w:type="dxa"/>
            <w:vAlign w:val="bottom"/>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2008</w:t>
            </w:r>
          </w:p>
        </w:tc>
        <w:tc>
          <w:tcPr>
            <w:tcW w:w="34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360" w:type="dxa"/>
            <w:vAlign w:val="bottom"/>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2007</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20"/>
                <w:szCs w:val="20"/>
                <w:color w:val="auto"/>
              </w:rPr>
            </w:pPr>
          </w:p>
        </w:tc>
      </w:tr>
      <w:tr>
        <w:trPr>
          <w:trHeight w:val="210"/>
        </w:trPr>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DIY/Retail</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$ 334,694</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$ 360,281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507,339</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555,883</w:t>
            </w:r>
          </w:p>
        </w:tc>
      </w:tr>
      <w:tr>
        <w:trPr>
          <w:trHeight w:val="216"/>
        </w:trPr>
        <w:tc>
          <w:tcPr>
            <w:tcW w:w="2900" w:type="dxa"/>
            <w:vAlign w:val="bottom"/>
            <w:gridSpan w:val="3"/>
          </w:tcPr>
          <w:p>
            <w:pPr>
              <w:spacing w:after="0"/>
              <w:rPr>
                <w:sz w:val="20"/>
                <w:szCs w:val="20"/>
                <w:color w:val="auto"/>
              </w:rPr>
            </w:pPr>
            <w:r>
              <w:rPr>
                <w:rFonts w:ascii="Arial" w:cs="Arial" w:eastAsia="Arial" w:hAnsi="Arial"/>
                <w:sz w:val="18"/>
                <w:szCs w:val="18"/>
                <w:color w:val="auto"/>
              </w:rPr>
              <w:t>Site-Built Construction</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132,758</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(17.7)</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161,209</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241,657</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299,628</w:t>
            </w: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3"/>
              </w:rPr>
              <w:t>Industrial</w:t>
            </w: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173,962</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163,503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314,620</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297,293</w:t>
            </w:r>
          </w:p>
        </w:tc>
      </w:tr>
      <w:tr>
        <w:trPr>
          <w:trHeight w:val="216"/>
        </w:trPr>
        <w:tc>
          <w:tcPr>
            <w:tcW w:w="2900" w:type="dxa"/>
            <w:vAlign w:val="bottom"/>
            <w:gridSpan w:val="3"/>
          </w:tcPr>
          <w:p>
            <w:pPr>
              <w:spacing w:after="0"/>
              <w:rPr>
                <w:sz w:val="20"/>
                <w:szCs w:val="20"/>
                <w:color w:val="auto"/>
              </w:rPr>
            </w:pPr>
            <w:r>
              <w:rPr>
                <w:rFonts w:ascii="Arial" w:cs="Arial" w:eastAsia="Arial" w:hAnsi="Arial"/>
                <w:sz w:val="18"/>
                <w:szCs w:val="18"/>
                <w:color w:val="auto"/>
              </w:rPr>
              <w:t>Manufactured Housing</w:t>
            </w:r>
          </w:p>
        </w:tc>
        <w:tc>
          <w:tcPr>
            <w:tcW w:w="740" w:type="dxa"/>
            <w:vAlign w:val="bottom"/>
          </w:tcPr>
          <w:p>
            <w:pPr>
              <w:jc w:val="right"/>
              <w:spacing w:after="0"/>
              <w:rPr>
                <w:sz w:val="20"/>
                <w:szCs w:val="20"/>
                <w:color w:val="auto"/>
              </w:rPr>
            </w:pPr>
            <w:r>
              <w:rPr>
                <w:rFonts w:ascii="Arial" w:cs="Arial" w:eastAsia="Arial" w:hAnsi="Arial"/>
                <w:sz w:val="18"/>
                <w:szCs w:val="18"/>
                <w:color w:val="auto"/>
              </w:rPr>
              <w:t>84,184</w:t>
            </w:r>
          </w:p>
        </w:tc>
        <w:tc>
          <w:tcPr>
            <w:tcW w:w="3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(20.2)</w:t>
            </w:r>
          </w:p>
        </w:tc>
        <w:tc>
          <w:tcPr>
            <w:tcW w:w="740" w:type="dxa"/>
            <w:vAlign w:val="bottom"/>
          </w:tcPr>
          <w:p>
            <w:pPr>
              <w:jc w:val="right"/>
              <w:spacing w:after="0"/>
              <w:rPr>
                <w:sz w:val="20"/>
                <w:szCs w:val="20"/>
                <w:color w:val="auto"/>
              </w:rPr>
            </w:pPr>
            <w:r>
              <w:rPr>
                <w:rFonts w:ascii="Arial" w:cs="Arial" w:eastAsia="Arial" w:hAnsi="Arial"/>
                <w:sz w:val="18"/>
                <w:szCs w:val="18"/>
                <w:color w:val="auto"/>
              </w:rPr>
              <w:t>105,522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160,499</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194,419</w:t>
            </w:r>
          </w:p>
        </w:tc>
      </w:tr>
      <w:tr>
        <w:trPr>
          <w:trHeight w:val="27"/>
        </w:trPr>
        <w:tc>
          <w:tcPr>
            <w:tcW w:w="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Gross Sales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725,598</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1,224,115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1,347,223</w:t>
            </w:r>
          </w:p>
        </w:tc>
      </w:tr>
      <w:tr>
        <w:trPr>
          <w:trHeight w:val="216"/>
        </w:trPr>
        <w:tc>
          <w:tcPr>
            <w:tcW w:w="2900" w:type="dxa"/>
            <w:vAlign w:val="bottom"/>
            <w:gridSpan w:val="3"/>
          </w:tcPr>
          <w:p>
            <w:pPr>
              <w:spacing w:after="0"/>
              <w:rPr>
                <w:sz w:val="20"/>
                <w:szCs w:val="20"/>
                <w:color w:val="auto"/>
              </w:rPr>
            </w:pPr>
            <w:r>
              <w:rPr>
                <w:rFonts w:ascii="Arial" w:cs="Arial" w:eastAsia="Arial" w:hAnsi="Arial"/>
                <w:sz w:val="18"/>
                <w:szCs w:val="18"/>
                <w:color w:val="auto"/>
              </w:rPr>
              <w:t>Sales Allowances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(17,113)</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(17,410)</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(26,118)</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(25,080)</w:t>
            </w:r>
          </w:p>
        </w:tc>
      </w:tr>
      <w:tr>
        <w:trPr>
          <w:trHeight w:val="27"/>
        </w:trPr>
        <w:tc>
          <w:tcPr>
            <w:tcW w:w="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$ 708,485</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$ 773,105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1,197,997</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1,322,143</w:t>
            </w:r>
          </w:p>
        </w:tc>
      </w:tr>
      <w:tr>
        <w:trPr>
          <w:trHeight w:val="20"/>
        </w:trPr>
        <w:tc>
          <w:tcPr>
            <w:tcW w:w="7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1"/>
        </w:trPr>
        <w:tc>
          <w:tcPr>
            <w:tcW w:w="700" w:type="dxa"/>
            <w:vAlign w:val="bottom"/>
          </w:tcPr>
          <w:p>
            <w:pPr>
              <w:spacing w:after="0"/>
              <w:rPr>
                <w:sz w:val="20"/>
                <w:szCs w:val="20"/>
                <w:color w:val="auto"/>
              </w:rPr>
            </w:pPr>
            <w:r>
              <w:rPr>
                <w:rFonts w:ascii="Arial" w:cs="Arial" w:eastAsia="Arial" w:hAnsi="Arial"/>
                <w:sz w:val="18"/>
                <w:szCs w:val="18"/>
                <w:color w:val="auto"/>
              </w:rPr>
              <w:t>Note:</w:t>
            </w:r>
          </w:p>
        </w:tc>
        <w:tc>
          <w:tcPr>
            <w:tcW w:w="8620" w:type="dxa"/>
            <w:vAlign w:val="bottom"/>
            <w:gridSpan w:val="16"/>
          </w:tcPr>
          <w:p>
            <w:pPr>
              <w:ind w:left="20"/>
              <w:spacing w:after="0"/>
              <w:rPr>
                <w:sz w:val="20"/>
                <w:szCs w:val="20"/>
                <w:color w:val="auto"/>
              </w:rPr>
            </w:pPr>
            <w:r>
              <w:rPr>
                <w:rFonts w:ascii="Arial" w:cs="Arial" w:eastAsia="Arial" w:hAnsi="Arial"/>
                <w:sz w:val="18"/>
                <w:szCs w:val="18"/>
                <w:color w:val="auto"/>
                <w:w w:val="93"/>
              </w:rPr>
              <w:t>In the first quarter of 2008, we reviewed the classification of our customers and made certain reclassifications. Prior</w:t>
            </w:r>
          </w:p>
        </w:tc>
      </w:tr>
      <w:tr>
        <w:trPr>
          <w:trHeight w:val="230"/>
        </w:trPr>
        <w:tc>
          <w:tcPr>
            <w:tcW w:w="700" w:type="dxa"/>
            <w:vAlign w:val="bottom"/>
          </w:tcPr>
          <w:p>
            <w:pPr>
              <w:spacing w:after="0"/>
              <w:rPr>
                <w:sz w:val="20"/>
                <w:szCs w:val="20"/>
                <w:color w:val="auto"/>
              </w:rPr>
            </w:pPr>
          </w:p>
        </w:tc>
        <w:tc>
          <w:tcPr>
            <w:tcW w:w="5460" w:type="dxa"/>
            <w:vAlign w:val="bottom"/>
            <w:gridSpan w:val="8"/>
          </w:tcPr>
          <w:p>
            <w:pPr>
              <w:ind w:left="20"/>
              <w:spacing w:after="0"/>
              <w:rPr>
                <w:sz w:val="20"/>
                <w:szCs w:val="20"/>
                <w:color w:val="auto"/>
              </w:rPr>
            </w:pPr>
            <w:r>
              <w:rPr>
                <w:rFonts w:ascii="Arial" w:cs="Arial" w:eastAsia="Arial" w:hAnsi="Arial"/>
                <w:sz w:val="18"/>
                <w:szCs w:val="18"/>
                <w:color w:val="auto"/>
              </w:rPr>
              <w:t>year information has been restated to reflect these reclassifications.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16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Gross sales in the second quarter of 2008 decreased 8% compared to the second quarter of 2007. We estimate that our unit sales decreased by 6% and overall selling prices decreased by 2% comparing the two periods. We estimate that our unit sales increased 2% as a result of business acquisitions, while unit sales from existing and closed facilities decreased 8%. Our overall selling prices fluctuate as a result of the Lumber Market (see “Historical Lumber Prices”) and were negatively impacted by pricing pressure in the site-built market.</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Gross sales in the first six months of 2008 decreased 9% compared to the first six months of 2007 resulting from an estimated decrease in units shipped of approximately 6%, while overall selling prices decreased by 3%. We estimate that our unit sales increased 2% as a result of business acquisitions and new plants, while our unit sales from existing and closed facilities decreased by 8%.</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our sales by market are discussed below.</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DIY/Retail:</w:t>
      </w:r>
    </w:p>
    <w:p>
      <w:pPr>
        <w:spacing w:after="0" w:line="198"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Gross sales to the DIY/retail market decreased 7% in the second quarter of 2008 compared to 2007 primarily due to an estimated 9% decrease in overall unit sales and an estimated 2% increase in overall selling prices. Unit sales declined due to the impact of the housing market on our retail customers whose business is more closely correlated with single-family housing starts and a decline in consumer spending as evidenced by a decline in same store sales of our “big box” customers.</w:t>
      </w:r>
    </w:p>
    <w:p>
      <w:pPr>
        <w:spacing w:after="0" w:line="114"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Gross sales to the DIY/retail market decreased 9% in the first six months of 2008 compared to 2007 due to a decrease in units shipped. We estimate that our unit sales increased 2% as a result of acquisitions, while unit sales from existing and closed facilities decreased 11%. The decrease in unit sales is primarily due to the same factors mentioned in the paragraph above.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Site-Built Construction:</w:t>
      </w:r>
    </w:p>
    <w:p>
      <w:pPr>
        <w:spacing w:after="0" w:line="198"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Gross sales to the site-built construction market decreased 18% in the second quarter of 2008 compared to 2007 due to an estimated 10% decrease in unit sales out of existing plants and an estimated 8% decrease in our average selling prices primarily due to intense pricing pressure with other suppliers and a soft Lumber Market. National single-family housing starts were off a reported 43% from April through June of 2008 compared to the same period of 2007. We were able to mitigate the decrease in the single-family market by pursuing multi-family and light commercial business and increasing our turnkey framing activities.</w:t>
      </w:r>
    </w:p>
    <w:p>
      <w:pPr>
        <w:spacing w:after="0" w:line="118"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Gross sales to the site-built construction market decreased 19% in the first six months of 2008 compared to 2007, due to an estimated 11% decrease in unit sales and an estimated 8% decrease in selling prices. Single-family housing starts have fallen approximately 40% in 2008 compared to 2007.</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Industrial:</w:t>
      </w:r>
    </w:p>
    <w:p>
      <w:pPr>
        <w:spacing w:after="0" w:line="185"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Gross sales to the industrial market increased 6% in the second quarter of 2008 compared to the same period of 2007, due to an estimated 9% increase in unit sales, partially offset by an estimated 3% decrease in selling prices. Acquisitions and our continued focus on adding new customers, including concrete forming, helped us mitigate the effect of a decline in sales to certain of our customers that supply the housing market or have been impacted by the weakening U.S. economy.</w:t>
      </w:r>
    </w:p>
    <w:p>
      <w:pPr>
        <w:spacing w:after="0" w:line="13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Gross sales to the industrial market increased 6% in the first six months of 2008 compared to the same period of 2007, due to an estimated 10% increase in units shipped offset by an estimated 4% decrease in selling prices. Unit sales increased for the reasons mentioned in the paragraph above.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Manufactured Housing:</w:t>
      </w:r>
    </w:p>
    <w:p>
      <w:pPr>
        <w:spacing w:after="0" w:line="185"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Gross sales to the manufactured housing market decreased 20% in the second quarter of 2008 compared to the same period of 2007, primarily due to an estimated 18% decrease in unit sales combined with an estimated 2% decrease in selling prices due to the Lumber Market. Our decline in unit sales from existing facilities was the result of an overall decline in industry production. The industry most recently reported an 8% decrease in HUD code production in April and May, and modular production was down 27% in the first quarter of 2008 and we believe this trend continued through the second quarter of 2008.</w:t>
      </w:r>
    </w:p>
    <w:p>
      <w:pPr>
        <w:spacing w:after="0" w:line="11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Gross sales to the manufactured housing market decreased 17% in the first six months of 2008 compared to the same period of 2007. This decrease resulted from an estimated 15% decrease in unit sales combined with an estimated 2% decrease in selling prices. The industry most recently reported a 5% decrease in HUD code production over the first five months of 2008 compared to the same period in 2007.</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Value-Added and Commodity-Based Sales: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for the periods indicated, our percentage of value-added and commodity-based sales to total sales.</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700" w:type="dxa"/>
            <w:vAlign w:val="bottom"/>
            <w:gridSpan w:val="4"/>
          </w:tcPr>
          <w:p>
            <w:pPr>
              <w:jc w:val="right"/>
              <w:ind w:right="800"/>
              <w:spacing w:after="0"/>
              <w:rPr>
                <w:sz w:val="20"/>
                <w:szCs w:val="20"/>
                <w:color w:val="auto"/>
              </w:rPr>
            </w:pPr>
            <w:r>
              <w:rPr>
                <w:rFonts w:ascii="Arial" w:cs="Arial" w:eastAsia="Arial" w:hAnsi="Arial"/>
                <w:sz w:val="18"/>
                <w:szCs w:val="18"/>
                <w:color w:val="auto"/>
              </w:rPr>
              <w:t>Three Months Ended</w:t>
            </w:r>
          </w:p>
        </w:tc>
        <w:tc>
          <w:tcPr>
            <w:tcW w:w="2420" w:type="dxa"/>
            <w:vAlign w:val="bottom"/>
            <w:gridSpan w:val="4"/>
          </w:tcPr>
          <w:p>
            <w:pPr>
              <w:jc w:val="right"/>
              <w:ind w:right="620"/>
              <w:spacing w:after="0"/>
              <w:rPr>
                <w:sz w:val="20"/>
                <w:szCs w:val="20"/>
                <w:color w:val="auto"/>
              </w:rPr>
            </w:pPr>
            <w:r>
              <w:rPr>
                <w:rFonts w:ascii="Arial" w:cs="Arial" w:eastAsia="Arial" w:hAnsi="Arial"/>
                <w:sz w:val="18"/>
                <w:szCs w:val="18"/>
                <w:color w:val="auto"/>
              </w:rPr>
              <w:t>Six Months Ended</w:t>
            </w:r>
          </w:p>
        </w:tc>
      </w:tr>
      <w:tr>
        <w:trPr>
          <w:trHeight w:val="195"/>
        </w:trPr>
        <w:tc>
          <w:tcPr>
            <w:tcW w:w="5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420"/>
              <w:spacing w:after="0" w:line="195" w:lineRule="exact"/>
              <w:rPr>
                <w:sz w:val="20"/>
                <w:szCs w:val="20"/>
                <w:color w:val="auto"/>
              </w:rPr>
            </w:pPr>
            <w:r>
              <w:rPr>
                <w:rFonts w:ascii="Arial" w:cs="Arial" w:eastAsia="Arial" w:hAnsi="Arial"/>
                <w:sz w:val="18"/>
                <w:szCs w:val="18"/>
                <w:color w:val="auto"/>
                <w:w w:val="86"/>
              </w:rPr>
              <w:t>June 28,</w:t>
            </w:r>
          </w:p>
        </w:tc>
        <w:tc>
          <w:tcPr>
            <w:tcW w:w="92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June 30,</w:t>
            </w:r>
          </w:p>
        </w:tc>
        <w:tc>
          <w:tcPr>
            <w:tcW w:w="44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420"/>
              <w:spacing w:after="0" w:line="195" w:lineRule="exact"/>
              <w:rPr>
                <w:sz w:val="20"/>
                <w:szCs w:val="20"/>
                <w:color w:val="auto"/>
              </w:rPr>
            </w:pPr>
            <w:r>
              <w:rPr>
                <w:rFonts w:ascii="Arial" w:cs="Arial" w:eastAsia="Arial" w:hAnsi="Arial"/>
                <w:sz w:val="18"/>
                <w:szCs w:val="18"/>
                <w:color w:val="auto"/>
                <w:w w:val="86"/>
              </w:rPr>
              <w:t>June 28,</w:t>
            </w:r>
          </w:p>
        </w:tc>
        <w:tc>
          <w:tcPr>
            <w:tcW w:w="92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16"/>
                <w:szCs w:val="16"/>
                <w:color w:val="auto"/>
              </w:rPr>
            </w:pPr>
          </w:p>
        </w:tc>
      </w:tr>
      <w:tr>
        <w:trPr>
          <w:trHeight w:val="230"/>
        </w:trPr>
        <w:tc>
          <w:tcPr>
            <w:tcW w:w="5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4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4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4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20"/>
                <w:szCs w:val="20"/>
                <w:color w:val="auto"/>
              </w:rPr>
            </w:pPr>
          </w:p>
        </w:tc>
      </w:tr>
      <w:tr>
        <w:trPr>
          <w:trHeight w:val="210"/>
        </w:trPr>
        <w:tc>
          <w:tcPr>
            <w:tcW w:w="5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Value-Added</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Commodity-Based</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38.6%</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39.1%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38.8%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38.5%</w:t>
            </w:r>
          </w:p>
        </w:tc>
      </w:tr>
      <w:tr>
        <w:trPr>
          <w:trHeight w:val="363"/>
        </w:trPr>
        <w:tc>
          <w:tcPr>
            <w:tcW w:w="560" w:type="dxa"/>
            <w:vAlign w:val="bottom"/>
          </w:tcPr>
          <w:p>
            <w:pPr>
              <w:spacing w:after="0"/>
              <w:rPr>
                <w:sz w:val="20"/>
                <w:szCs w:val="20"/>
                <w:color w:val="auto"/>
              </w:rPr>
            </w:pPr>
            <w:r>
              <w:rPr>
                <w:rFonts w:ascii="Arial" w:cs="Arial" w:eastAsia="Arial" w:hAnsi="Arial"/>
                <w:sz w:val="18"/>
                <w:szCs w:val="18"/>
                <w:color w:val="auto"/>
              </w:rPr>
              <w:t>Note:</w:t>
            </w:r>
          </w:p>
        </w:tc>
        <w:tc>
          <w:tcPr>
            <w:tcW w:w="8760" w:type="dxa"/>
            <w:vAlign w:val="bottom"/>
            <w:gridSpan w:val="9"/>
          </w:tcPr>
          <w:p>
            <w:pPr>
              <w:jc w:val="right"/>
              <w:spacing w:after="0"/>
              <w:rPr>
                <w:sz w:val="20"/>
                <w:szCs w:val="20"/>
                <w:color w:val="auto"/>
              </w:rPr>
            </w:pPr>
            <w:r>
              <w:rPr>
                <w:rFonts w:ascii="Arial" w:cs="Arial" w:eastAsia="Arial" w:hAnsi="Arial"/>
                <w:sz w:val="18"/>
                <w:szCs w:val="18"/>
                <w:color w:val="auto"/>
                <w:w w:val="96"/>
              </w:rPr>
              <w:t>In the third quarter of 2007, we reviewed the classification of our product codes and made certain reclassifications.</w:t>
            </w:r>
          </w:p>
        </w:tc>
      </w:tr>
      <w:tr>
        <w:trPr>
          <w:trHeight w:val="230"/>
        </w:trPr>
        <w:tc>
          <w:tcPr>
            <w:tcW w:w="560" w:type="dxa"/>
            <w:vAlign w:val="bottom"/>
          </w:tcPr>
          <w:p>
            <w:pPr>
              <w:spacing w:after="0"/>
              <w:rPr>
                <w:sz w:val="20"/>
                <w:szCs w:val="20"/>
                <w:color w:val="auto"/>
              </w:rPr>
            </w:pPr>
          </w:p>
        </w:tc>
        <w:tc>
          <w:tcPr>
            <w:tcW w:w="6340" w:type="dxa"/>
            <w:vAlign w:val="bottom"/>
            <w:gridSpan w:val="5"/>
          </w:tcPr>
          <w:p>
            <w:pPr>
              <w:jc w:val="right"/>
              <w:ind w:right="940"/>
              <w:spacing w:after="0"/>
              <w:rPr>
                <w:sz w:val="20"/>
                <w:szCs w:val="20"/>
                <w:color w:val="auto"/>
              </w:rPr>
            </w:pPr>
            <w:r>
              <w:rPr>
                <w:rFonts w:ascii="Arial" w:cs="Arial" w:eastAsia="Arial" w:hAnsi="Arial"/>
                <w:sz w:val="18"/>
                <w:szCs w:val="18"/>
                <w:color w:val="auto"/>
                <w:w w:val="92"/>
              </w:rPr>
              <w:t>Prior year information has been restated to reflect these reclassifications.</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Value-added sales decreased 7% in the second quarter of 2008 compared to 2007, primarily due to decreased sales of trusses, wall panels, and engineered wood products, offset partially by increases in industrial packaging and related components and turn-key framing and installed sales to site-built customers. Commodity-based sales decreased 9% comparing the second quarter of 2008 with the same period of 2007, primarily due to decreased sales of non-manufactured brite and other lumber and non-manufactured treated lumber.</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Value-added sales decreased 10% in the first six months of 2008 compared to 2007, primarily due to decreased sales of trusses, wall panels, decking and railing and engineered wood products, offset partially by increases in industrial packaging and related components and turn-key framing and installed sales to site-built customers. Commodity-based sales decreased 9% comparing the first six months of 2008 with the same period of 2007, primarily due to decreased sales of non-manufactured brite and other lumber and non-manufactured treated lumber.</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GOODS SOLD AND GROSS PROFIT</w:t>
      </w:r>
    </w:p>
    <w:p>
      <w:pPr>
        <w:spacing w:after="0" w:line="189"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Our gross profit percentage decreased to 12.0% from 13.2% and gross profit dollars decreased almost 17% comparing the second quarter of 2008 with the same period of 2007. The decline in our profitability was primarily due to a combination of:</w:t>
      </w:r>
    </w:p>
    <w:p>
      <w:pPr>
        <w:spacing w:after="0" w:line="120" w:lineRule="exact"/>
        <w:rPr>
          <w:sz w:val="20"/>
          <w:szCs w:val="20"/>
          <w:color w:val="auto"/>
        </w:rPr>
      </w:pPr>
    </w:p>
    <w:p>
      <w:pPr>
        <w:ind w:left="680" w:right="559" w:hanging="348"/>
        <w:spacing w:after="0" w:line="277" w:lineRule="auto"/>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Price pressure in all of our markets but particularly in our site-built market, which reported a significant decline in gross margin.</w:t>
      </w:r>
    </w:p>
    <w:p>
      <w:pPr>
        <w:spacing w:after="0" w:line="102" w:lineRule="exact"/>
        <w:rPr>
          <w:rFonts w:ascii="Arial" w:cs="Arial" w:eastAsia="Arial" w:hAnsi="Arial"/>
          <w:sz w:val="18"/>
          <w:szCs w:val="18"/>
          <w:b w:val="1"/>
          <w:bCs w:val="1"/>
          <w:color w:val="auto"/>
        </w:rPr>
      </w:pPr>
    </w:p>
    <w:p>
      <w:pPr>
        <w:ind w:left="680" w:hanging="348"/>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combination of lower unit sales out of existing facilities and fixed manufacturing costs.</w:t>
      </w:r>
    </w:p>
    <w:p>
      <w:pPr>
        <w:spacing w:after="0" w:line="157" w:lineRule="exact"/>
        <w:rPr>
          <w:rFonts w:ascii="Arial" w:cs="Arial" w:eastAsia="Arial" w:hAnsi="Arial"/>
          <w:sz w:val="18"/>
          <w:szCs w:val="18"/>
          <w:b w:val="1"/>
          <w:bCs w:val="1"/>
          <w:color w:val="auto"/>
        </w:rPr>
      </w:pPr>
    </w:p>
    <w:p>
      <w:pPr>
        <w:ind w:left="680" w:hanging="348"/>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significant increase in fuel and other transportation costs.</w:t>
      </w:r>
    </w:p>
    <w:p>
      <w:pPr>
        <w:spacing w:after="0" w:line="18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Our gross profit percentage decreased to 11.6% from 13.3% and gross profit dollars decreased more than 20% comparing the first six months of 2008 with the same period of 2007. Our decline in profitability comparing these two periods was primarily due to the factors mentioned in the paragraph above.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02"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Selling, general and administrative (“SG&amp;A”) expenses decreased by over $7.9 million, or 11%, in the second quarter of 2008 compared to the same period of 2007, while we reported a 6% decrease in unit sales. Existing operations decreased $6.1 million, operations we closed in 2007 decreased $3.2 million, while business acquisitions added $1.4 million in SG&amp;A expenses. The decreases in SG&amp;A expenses at our existing facilities were primarily due to a decline in wages due to a reduction in headcount and a decrease in accrued bonus expense and sales incentive compensation. These decreases were partially offset by smaller increases in several other areas, including bad debt expense.</w:t>
      </w:r>
    </w:p>
    <w:p>
      <w:pPr>
        <w:spacing w:after="0" w:line="138"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Selling, general and administrative (“SG&amp;A”) expenses decreased by approximately $12.0 million, or 9%, in the first six months of 2008 compared to the same period of 2007, and we reported a 6% decrease in unit sales. Existing facilities and operations we closed in 2007 decreased SG&amp;A expenses by approximately $14.0 million, while business acquisitions added $2.0 million in SG&amp;A expenses. These decreases were primarily due to the same factors mentioned in the paragraph above.</w:t>
      </w: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NET</w:t>
      </w:r>
    </w:p>
    <w:p>
      <w:pPr>
        <w:spacing w:after="0" w:line="189"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Net interest costs were lower in the second quarter and first six months of 2008 compared to the same period of 2007 due to lower debt balances combined with a decrease in short-term interest rates.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ind w:left="340" w:right="1760"/>
        <w:spacing w:after="0" w:line="279" w:lineRule="auto"/>
        <w:rPr>
          <w:sz w:val="20"/>
          <w:szCs w:val="20"/>
          <w:color w:val="auto"/>
        </w:rPr>
      </w:pPr>
      <w:r>
        <w:rPr>
          <w:rFonts w:ascii="Arial" w:cs="Arial" w:eastAsia="Arial" w:hAnsi="Arial"/>
          <w:sz w:val="17"/>
          <w:szCs w:val="17"/>
          <w:color w:val="auto"/>
        </w:rPr>
        <w:t>Effective tax rates differ from statutory federal income tax rates, primarily due to provisions for state and local income taxes and permanent tax differences. Our effective tax rate increased to 38.0% in the second quarter of 2008 from 37.1% in the same period of 2007. This year’s tax rate was impacted by the research &amp; development tax credit which is still awaiting legislative approval for 2007 and non-deductible amortization expense associated with recent acquisitions.</w:t>
      </w:r>
    </w:p>
    <w:p>
      <w:pPr>
        <w:spacing w:after="0" w:line="131" w:lineRule="exact"/>
        <w:rPr>
          <w:sz w:val="20"/>
          <w:szCs w:val="20"/>
          <w:color w:val="auto"/>
        </w:rPr>
      </w:pPr>
    </w:p>
    <w:p>
      <w:pPr>
        <w:jc w:val="both"/>
        <w:ind w:left="340" w:right="1760"/>
        <w:spacing w:after="0" w:line="264" w:lineRule="auto"/>
        <w:rPr>
          <w:sz w:val="20"/>
          <w:szCs w:val="20"/>
          <w:color w:val="auto"/>
        </w:rPr>
      </w:pPr>
      <w:r>
        <w:rPr>
          <w:rFonts w:ascii="Arial" w:cs="Arial" w:eastAsia="Arial" w:hAnsi="Arial"/>
          <w:sz w:val="18"/>
          <w:szCs w:val="18"/>
          <w:color w:val="auto"/>
        </w:rPr>
        <w:t>Our effective tax rate decreased to 34.6% in the first six months of 2008 from 36.3% in the same period of 2007. This year’s tax rate was impacted by the same factors discussed above but was offset by a tax benefit from foreclosing on a note receivable from a joint venture.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TRANSACTIONS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 significant off-balance sheet transactions other than operating leases.</w:t>
      </w:r>
    </w:p>
    <w:p>
      <w:pPr>
        <w:spacing w:after="0" w:line="18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color w:val="auto"/>
              </w:rPr>
              <w:t>June 28, 2008</w:t>
            </w: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June 30, 2007</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306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25,555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15,049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Cash from investing activities</w:t>
            </w: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(7,626)</w:t>
            </w: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(71,655)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from financing activities</w:t>
            </w: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(29,051)</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48,195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7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(11,122)</w:t>
            </w:r>
          </w:p>
        </w:tc>
        <w:tc>
          <w:tcPr>
            <w:tcW w:w="3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(8,411)</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43,605</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51,108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7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32,483</w:t>
            </w:r>
          </w:p>
        </w:tc>
        <w:tc>
          <w:tcPr>
            <w:tcW w:w="3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42,697</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780" w:type="dxa"/>
            <w:vAlign w:val="bottom"/>
            <w:vMerge w:val="restart"/>
          </w:tcPr>
          <w:p>
            <w:pPr>
              <w:jc w:val="right"/>
              <w:ind w:right="1930"/>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27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general, we financed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53"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Seasonality has a significant impact on our working capital from March to August which historically resulted in negative or modest cash flows from operations in our first and second quarters. Conversely, we experience a substantial decrease in working capital from September to February which results in significant cash flow from operations in our third and fourth quarters. For comparative purposes, we have included the June 30, 2007 balances in the accompanying unaudited consolidated condensed balance sheets.</w:t>
      </w:r>
    </w:p>
    <w:p>
      <w:pPr>
        <w:spacing w:after="0" w:line="148"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Due to the seasonality of our business and the effects of the Lumber Market, we believe our cash cycle (days of sales outstanding plus days supply of inventory less days payables outstanding) is a good indicator of our working capital management. Our cash cycle (excluding the impact of our sale of receivables program) increased to 45.9 days in the first six months of 2008 from 44.1 days in the first six months of 2007, due to a 1 day increase in our days of sales outstanding and a 1 day decrease in days payables outstanding. The increase in our days of sales outstanding was primarily due to slower payments with certain site-built customers and a change in sales mix whereby the industrial market, which has a comparatively longer receivables cycle, comprises a higher percentage of our sales.</w:t>
      </w:r>
    </w:p>
    <w:p>
      <w:pPr>
        <w:spacing w:after="0" w:line="151"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Cash from operating activities was approximately $25.5 million in the first six months of 2008. Our net earnings of $7.1 million included $25.8 million of non-cash expenses, which were offset by a $7.3 million increase in working capital. Working capital increases were primarily due to the increase in our receivables cycle and seasonal increases in our receivables.</w:t>
      </w:r>
    </w:p>
    <w:p>
      <w:pPr>
        <w:spacing w:after="0" w:line="12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currently plan to spend approximately $20 million on capital expenditures in 2008, which includes outstanding purchase commitments on existing capital projects totaling approximately $3.1 million on June 28, 2008. We intend to fund capital expenditures and purchase commitments through our operating cash flows.</w:t>
      </w:r>
    </w:p>
    <w:p>
      <w:pPr>
        <w:spacing w:after="0" w:line="141"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On June 28, 2008, we had approximately $26.8 million outstanding on our $300 million revolving credit facility. The revolving credit facility also supports letters of credit totaling approximately $31.3 million on June 28, 2008. Financial covenants on the unsecured revolving credit facility and unsecured notes include a minimum net worth requirement, minimum interest and fixed charge coverage tests, and a maximum leverage ratio. The agreements also restrict the amount of additional indebtedness we may incur and the amount of assets which may be sold. We were within all of our lending requirements on June 28, 2008.</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Notes to Consolidated Condensed Financial Statements, Note H, “Commitments, Contingencies, and Guarantees.”</w:t>
      </w:r>
    </w:p>
    <w:p>
      <w:pPr>
        <w:spacing w:after="0" w:line="19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29, 2007.</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r>
        <w:rPr>
          <w:rFonts w:ascii="Arial" w:cs="Arial" w:eastAsia="Arial" w:hAnsi="Arial"/>
          <w:sz w:val="18"/>
          <w:szCs w:val="18"/>
          <w:color w:val="auto"/>
        </w:rPr>
        <w:t>.</w:t>
      </w:r>
    </w:p>
    <w:p>
      <w:pPr>
        <w:spacing w:after="0" w:line="18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41" w:lineRule="exact"/>
        <w:rPr>
          <w:sz w:val="20"/>
          <w:szCs w:val="20"/>
          <w:color w:val="auto"/>
        </w:rPr>
      </w:pPr>
    </w:p>
    <w:p>
      <w:pPr>
        <w:jc w:val="both"/>
        <w:ind w:left="340" w:right="559"/>
        <w:spacing w:after="0" w:line="302" w:lineRule="auto"/>
        <w:rPr>
          <w:sz w:val="20"/>
          <w:szCs w:val="20"/>
          <w:color w:val="auto"/>
        </w:rPr>
      </w:pPr>
      <w:r>
        <w:rPr>
          <w:rFonts w:ascii="Arial" w:cs="Arial" w:eastAsia="Arial" w:hAnsi="Arial"/>
          <w:sz w:val="16"/>
          <w:szCs w:val="16"/>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4. Controls and Procedures</w:t>
      </w:r>
      <w:r>
        <w:rPr>
          <w:rFonts w:ascii="Arial" w:cs="Arial" w:eastAsia="Arial" w:hAnsi="Arial"/>
          <w:sz w:val="18"/>
          <w:szCs w:val="18"/>
          <w:color w:val="auto"/>
        </w:rPr>
        <w:t>.</w:t>
      </w:r>
    </w:p>
    <w:p>
      <w:pPr>
        <w:spacing w:after="0" w:line="185" w:lineRule="exact"/>
        <w:rPr>
          <w:sz w:val="20"/>
          <w:szCs w:val="20"/>
          <w:color w:val="auto"/>
        </w:rPr>
      </w:pPr>
    </w:p>
    <w:p>
      <w:pPr>
        <w:jc w:val="both"/>
        <w:ind w:left="680" w:right="559" w:hanging="348"/>
        <w:spacing w:after="0" w:line="259"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quarter ended June 28, 2008 (the “Evaluation Date”), have concluded that, as of such date, our disclosure controls and procedures were effective.</w:t>
      </w:r>
    </w:p>
    <w:p>
      <w:pPr>
        <w:spacing w:after="0" w:line="119" w:lineRule="exact"/>
        <w:rPr>
          <w:rFonts w:ascii="Arial" w:cs="Arial" w:eastAsia="Arial" w:hAnsi="Arial"/>
          <w:sz w:val="18"/>
          <w:szCs w:val="18"/>
          <w:color w:val="auto"/>
        </w:rPr>
      </w:pPr>
    </w:p>
    <w:p>
      <w:pPr>
        <w:jc w:val="both"/>
        <w:ind w:left="680" w:right="559" w:hanging="348"/>
        <w:spacing w:after="0" w:line="264"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second quarter ended June 28, 2008, there were no changes in our internal control over financial reporting that materially affected, or is reasonably likely to materially affect, our internal control over financial reporting.</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PART II.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r>
        <w:rPr>
          <w:rFonts w:ascii="Arial" w:cs="Arial" w:eastAsia="Arial" w:hAnsi="Arial"/>
          <w:sz w:val="18"/>
          <w:szCs w:val="18"/>
          <w:color w:val="auto"/>
        </w:rPr>
        <w:t>.</w:t>
      </w:r>
    </w:p>
    <w:p>
      <w:pPr>
        <w:spacing w:after="0" w:line="185" w:lineRule="exact"/>
        <w:rPr>
          <w:sz w:val="20"/>
          <w:szCs w:val="20"/>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w:t>
      </w:r>
    </w:p>
    <w:p>
      <w:pPr>
        <w:spacing w:after="0" w:line="157"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w:t>
      </w:r>
    </w:p>
    <w:p>
      <w:pPr>
        <w:spacing w:after="0" w:line="157" w:lineRule="exact"/>
        <w:rPr>
          <w:rFonts w:ascii="Arial" w:cs="Arial" w:eastAsia="Arial" w:hAnsi="Arial"/>
          <w:sz w:val="18"/>
          <w:szCs w:val="18"/>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Fiscal Month</w:t>
            </w:r>
          </w:p>
        </w:tc>
        <w:tc>
          <w:tcPr>
            <w:tcW w:w="280" w:type="dxa"/>
            <w:vAlign w:val="bottom"/>
          </w:tcPr>
          <w:p>
            <w:pPr>
              <w:spacing w:after="0"/>
              <w:rPr>
                <w:sz w:val="20"/>
                <w:szCs w:val="20"/>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(a)</w:t>
            </w: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(c)</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(d)</w:t>
            </w:r>
          </w:p>
        </w:tc>
      </w:tr>
      <w:tr>
        <w:trPr>
          <w:trHeight w:val="210"/>
        </w:trPr>
        <w:tc>
          <w:tcPr>
            <w:tcW w:w="4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March 30, 2008 - May 3, 2008</w:t>
            </w:r>
            <w:r>
              <w:rPr>
                <w:rFonts w:ascii="Arial" w:cs="Arial" w:eastAsia="Arial" w:hAnsi="Arial"/>
                <w:sz w:val="15"/>
                <w:szCs w:val="15"/>
                <w:color w:val="auto"/>
              </w:rPr>
              <w:t>(1)</w:t>
            </w:r>
          </w:p>
        </w:tc>
        <w:tc>
          <w:tcPr>
            <w:tcW w:w="16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17,396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33.34</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17,396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1,227,314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May 4 - 31, 2008</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1,227,314</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June 1 - 28, 2008</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1,227,314</w:t>
            </w:r>
          </w:p>
        </w:tc>
      </w:tr>
    </w:tbl>
    <w:p>
      <w:pPr>
        <w:spacing w:after="0" w:line="107" w:lineRule="exact"/>
        <w:rPr>
          <w:sz w:val="20"/>
          <w:szCs w:val="20"/>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77" w:lineRule="exact"/>
        <w:rPr>
          <w:sz w:val="20"/>
          <w:szCs w:val="20"/>
          <w:color w:val="auto"/>
        </w:rPr>
      </w:pPr>
    </w:p>
    <w:p>
      <w:pPr>
        <w:jc w:val="both"/>
        <w:ind w:left="680" w:right="559" w:hanging="348"/>
        <w:spacing w:after="0" w:line="264" w:lineRule="auto"/>
        <w:tabs>
          <w:tab w:leader="none" w:pos="680" w:val="left"/>
        </w:tabs>
        <w:numPr>
          <w:ilvl w:val="0"/>
          <w:numId w:val="19"/>
        </w:numPr>
        <w:rPr>
          <w:rFonts w:ascii="Arial" w:cs="Arial" w:eastAsia="Arial" w:hAnsi="Arial"/>
          <w:sz w:val="15"/>
          <w:szCs w:val="15"/>
          <w:color w:val="auto"/>
        </w:rPr>
      </w:pPr>
      <w:r>
        <w:rPr>
          <w:rFonts w:ascii="Arial" w:cs="Arial" w:eastAsia="Arial" w:hAnsi="Arial"/>
          <w:sz w:val="18"/>
          <w:szCs w:val="18"/>
          <w:color w:val="auto"/>
        </w:rPr>
        <w:t>On November 14, 2001, the Board of Directors approved a share repurchase program (which succeeded a previous program) allowing us to repurchase up to 2.5 million shares of our common stock. As of June 28, 2008, cumulative total authorized shares available for repurchase is 1.2 million shares.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PART II.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4. Submission of Matters to a Vote of Security Holders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matters were voted upon at our Annual Meeting of Shareholders on April 16, 2008:</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(a)  Election of three Directors for three year terms expiring in 2011:</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For</w:t>
            </w:r>
          </w:p>
        </w:tc>
        <w:tc>
          <w:tcPr>
            <w:tcW w:w="360" w:type="dxa"/>
            <w:vAlign w:val="bottom"/>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Withheld</w:t>
            </w:r>
          </w:p>
        </w:tc>
        <w:tc>
          <w:tcPr>
            <w:tcW w:w="100" w:type="dxa"/>
            <w:vAlign w:val="bottom"/>
            <w:gridSpan w:val="2"/>
          </w:tcPr>
          <w:p>
            <w:pPr>
              <w:spacing w:after="0"/>
              <w:rPr>
                <w:sz w:val="24"/>
                <w:szCs w:val="24"/>
                <w:color w:val="auto"/>
              </w:rPr>
            </w:pPr>
          </w:p>
        </w:tc>
      </w:tr>
      <w:tr>
        <w:trPr>
          <w:trHeight w:val="210"/>
        </w:trPr>
        <w:tc>
          <w:tcPr>
            <w:tcW w:w="68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John W. Garside</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15,795,576</w:t>
            </w: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218,124</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gridSpan w:val="3"/>
          </w:tcPr>
          <w:p>
            <w:pPr>
              <w:ind w:left="580"/>
              <w:spacing w:after="0"/>
              <w:rPr>
                <w:sz w:val="20"/>
                <w:szCs w:val="20"/>
                <w:color w:val="auto"/>
              </w:rPr>
            </w:pPr>
            <w:r>
              <w:rPr>
                <w:rFonts w:ascii="Arial" w:cs="Arial" w:eastAsia="Arial" w:hAnsi="Arial"/>
                <w:sz w:val="18"/>
                <w:szCs w:val="18"/>
                <w:color w:val="auto"/>
              </w:rPr>
              <w:t>Gary F. Goode</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15,807,038</w:t>
            </w:r>
          </w:p>
        </w:tc>
        <w:tc>
          <w:tcPr>
            <w:tcW w:w="2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206,662</w:t>
            </w:r>
          </w:p>
        </w:tc>
        <w:tc>
          <w:tcPr>
            <w:tcW w:w="80" w:type="dxa"/>
            <w:vAlign w:val="bottom"/>
          </w:tcPr>
          <w:p>
            <w:pPr>
              <w:spacing w:after="0"/>
              <w:rPr>
                <w:sz w:val="18"/>
                <w:szCs w:val="18"/>
                <w:color w:val="auto"/>
              </w:rPr>
            </w:pPr>
          </w:p>
        </w:tc>
      </w:tr>
      <w:tr>
        <w:trPr>
          <w:trHeight w:val="216"/>
        </w:trPr>
        <w:tc>
          <w:tcPr>
            <w:tcW w:w="68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Mark A. Murray</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15,807,431</w:t>
            </w: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206,269</w:t>
            </w:r>
          </w:p>
        </w:tc>
        <w:tc>
          <w:tcPr>
            <w:tcW w:w="80" w:type="dxa"/>
            <w:vAlign w:val="bottom"/>
            <w:shd w:val="clear" w:color="auto" w:fill="CCEEFF"/>
          </w:tcPr>
          <w:p>
            <w:pPr>
              <w:spacing w:after="0"/>
              <w:rPr>
                <w:sz w:val="18"/>
                <w:szCs w:val="18"/>
                <w:color w:val="auto"/>
              </w:rPr>
            </w:pPr>
          </w:p>
        </w:tc>
      </w:tr>
      <w:tr>
        <w:trPr>
          <w:trHeight w:val="392"/>
        </w:trPr>
        <w:tc>
          <w:tcPr>
            <w:tcW w:w="6860" w:type="dxa"/>
            <w:vAlign w:val="bottom"/>
            <w:gridSpan w:val="3"/>
          </w:tcPr>
          <w:p>
            <w:pPr>
              <w:ind w:left="340"/>
              <w:spacing w:after="0"/>
              <w:rPr>
                <w:sz w:val="20"/>
                <w:szCs w:val="20"/>
                <w:color w:val="auto"/>
              </w:rPr>
            </w:pPr>
            <w:r>
              <w:rPr>
                <w:rFonts w:ascii="Arial" w:cs="Arial" w:eastAsia="Arial" w:hAnsi="Arial"/>
                <w:sz w:val="18"/>
                <w:szCs w:val="18"/>
                <w:color w:val="auto"/>
              </w:rPr>
              <w:t>Other Directors whose terms of office continued after the meeting are as follows: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7"/>
        </w:trPr>
        <w:tc>
          <w:tcPr>
            <w:tcW w:w="6860" w:type="dxa"/>
            <w:vAlign w:val="bottom"/>
            <w:gridSpan w:val="3"/>
          </w:tcPr>
          <w:p>
            <w:pPr>
              <w:ind w:left="560"/>
              <w:spacing w:after="0"/>
              <w:rPr>
                <w:sz w:val="20"/>
                <w:szCs w:val="20"/>
                <w:color w:val="auto"/>
              </w:rPr>
            </w:pPr>
            <w:r>
              <w:rPr>
                <w:rFonts w:ascii="Arial" w:cs="Arial" w:eastAsia="Arial" w:hAnsi="Arial"/>
                <w:sz w:val="18"/>
                <w:szCs w:val="18"/>
                <w:color w:val="auto"/>
              </w:rPr>
              <w:t>William G. Currie</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860" w:type="dxa"/>
            <w:vAlign w:val="bottom"/>
            <w:gridSpan w:val="3"/>
          </w:tcPr>
          <w:p>
            <w:pPr>
              <w:ind w:left="560"/>
              <w:spacing w:after="0"/>
              <w:rPr>
                <w:sz w:val="20"/>
                <w:szCs w:val="20"/>
                <w:color w:val="auto"/>
              </w:rPr>
            </w:pPr>
            <w:r>
              <w:rPr>
                <w:rFonts w:ascii="Arial" w:cs="Arial" w:eastAsia="Arial" w:hAnsi="Arial"/>
                <w:sz w:val="18"/>
                <w:szCs w:val="18"/>
                <w:color w:val="auto"/>
              </w:rPr>
              <w:t>Dan M. Dutton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gridSpan w:val="3"/>
          </w:tcPr>
          <w:p>
            <w:pPr>
              <w:ind w:left="560"/>
              <w:spacing w:after="0"/>
              <w:rPr>
                <w:sz w:val="20"/>
                <w:szCs w:val="20"/>
                <w:color w:val="auto"/>
              </w:rPr>
            </w:pPr>
            <w:r>
              <w:rPr>
                <w:rFonts w:ascii="Arial" w:cs="Arial" w:eastAsia="Arial" w:hAnsi="Arial"/>
                <w:sz w:val="18"/>
                <w:szCs w:val="18"/>
                <w:color w:val="auto"/>
              </w:rPr>
              <w:t>John M. Engler</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gridSpan w:val="3"/>
          </w:tcPr>
          <w:p>
            <w:pPr>
              <w:ind w:left="560"/>
              <w:spacing w:after="0"/>
              <w:rPr>
                <w:sz w:val="20"/>
                <w:szCs w:val="20"/>
                <w:color w:val="auto"/>
              </w:rPr>
            </w:pPr>
            <w:r>
              <w:rPr>
                <w:rFonts w:ascii="Arial" w:cs="Arial" w:eastAsia="Arial" w:hAnsi="Arial"/>
                <w:sz w:val="18"/>
                <w:szCs w:val="18"/>
                <w:color w:val="auto"/>
              </w:rPr>
              <w:t>Michael B. Glenn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gridSpan w:val="3"/>
          </w:tcPr>
          <w:p>
            <w:pPr>
              <w:ind w:left="560"/>
              <w:spacing w:after="0"/>
              <w:rPr>
                <w:sz w:val="20"/>
                <w:szCs w:val="20"/>
                <w:color w:val="auto"/>
              </w:rPr>
            </w:pPr>
            <w:r>
              <w:rPr>
                <w:rFonts w:ascii="Arial" w:cs="Arial" w:eastAsia="Arial" w:hAnsi="Arial"/>
                <w:sz w:val="18"/>
                <w:szCs w:val="18"/>
                <w:color w:val="auto"/>
              </w:rPr>
              <w:t>Peter F. Secchia</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860" w:type="dxa"/>
            <w:vAlign w:val="bottom"/>
            <w:gridSpan w:val="3"/>
          </w:tcPr>
          <w:p>
            <w:pPr>
              <w:ind w:left="560"/>
              <w:spacing w:after="0"/>
              <w:rPr>
                <w:sz w:val="20"/>
                <w:szCs w:val="20"/>
                <w:color w:val="auto"/>
              </w:rPr>
            </w:pPr>
            <w:r>
              <w:rPr>
                <w:rFonts w:ascii="Arial" w:cs="Arial" w:eastAsia="Arial" w:hAnsi="Arial"/>
                <w:sz w:val="18"/>
                <w:szCs w:val="18"/>
                <w:color w:val="auto"/>
              </w:rPr>
              <w:t>Louis A. Smith</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6860" w:type="dxa"/>
            <w:vAlign w:val="bottom"/>
            <w:gridSpan w:val="3"/>
          </w:tcPr>
          <w:p>
            <w:pPr>
              <w:spacing w:after="0"/>
              <w:rPr>
                <w:sz w:val="20"/>
                <w:szCs w:val="20"/>
                <w:color w:val="auto"/>
              </w:rPr>
            </w:pPr>
            <w:r>
              <w:rPr>
                <w:rFonts w:ascii="Arial" w:cs="Arial" w:eastAsia="Arial" w:hAnsi="Arial"/>
                <w:sz w:val="18"/>
                <w:szCs w:val="18"/>
                <w:color w:val="auto"/>
              </w:rPr>
              <w:t>(b)  Amendment to our Employee Stock Purchase Plan:</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700" w:type="dxa"/>
            <w:vAlign w:val="bottom"/>
          </w:tcPr>
          <w:p>
            <w:pPr>
              <w:spacing w:after="0"/>
              <w:rPr>
                <w:sz w:val="24"/>
                <w:szCs w:val="24"/>
                <w:color w:val="auto"/>
              </w:rPr>
            </w:pPr>
          </w:p>
        </w:tc>
        <w:tc>
          <w:tcPr>
            <w:tcW w:w="9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For</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Withheld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Abstain</w:t>
            </w:r>
          </w:p>
        </w:tc>
        <w:tc>
          <w:tcPr>
            <w:tcW w:w="80" w:type="dxa"/>
            <w:vAlign w:val="bottom"/>
          </w:tcPr>
          <w:p>
            <w:pPr>
              <w:spacing w:after="0"/>
              <w:rPr>
                <w:sz w:val="24"/>
                <w:szCs w:val="24"/>
                <w:color w:val="auto"/>
              </w:rPr>
            </w:pPr>
          </w:p>
        </w:tc>
      </w:tr>
      <w:tr>
        <w:trPr>
          <w:trHeight w:val="210"/>
        </w:trPr>
        <w:tc>
          <w:tcPr>
            <w:tcW w:w="6860" w:type="dxa"/>
            <w:vAlign w:val="bottom"/>
            <w:gridSpan w:val="3"/>
            <w:shd w:val="clear" w:color="auto" w:fill="CCEEFF"/>
          </w:tcPr>
          <w:p>
            <w:pPr>
              <w:ind w:left="5820"/>
              <w:spacing w:after="0"/>
              <w:rPr>
                <w:sz w:val="20"/>
                <w:szCs w:val="20"/>
                <w:color w:val="auto"/>
              </w:rPr>
            </w:pPr>
            <w:r>
              <w:rPr>
                <w:rFonts w:ascii="Arial" w:cs="Arial" w:eastAsia="Arial" w:hAnsi="Arial"/>
                <w:sz w:val="18"/>
                <w:szCs w:val="18"/>
                <w:color w:val="auto"/>
              </w:rPr>
              <w:t>14,237,384</w:t>
            </w:r>
          </w:p>
        </w:tc>
        <w:tc>
          <w:tcPr>
            <w:tcW w:w="13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75,752</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5,575</w:t>
            </w:r>
          </w:p>
        </w:tc>
      </w:tr>
    </w:tbl>
    <w:p>
      <w:pPr>
        <w:spacing w:after="0" w:line="161"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Ratification of the appointment of Ernst &amp; Young LLP as independent public accountants for fiscal 2008:</w:t>
      </w:r>
    </w:p>
    <w:p>
      <w:pPr>
        <w:spacing w:after="0" w:line="225" w:lineRule="exact"/>
        <w:rPr>
          <w:sz w:val="20"/>
          <w:szCs w:val="20"/>
          <w:color w:val="auto"/>
        </w:rPr>
      </w:pPr>
    </w:p>
    <w:p>
      <w:pPr>
        <w:ind w:left="6380"/>
        <w:spacing w:after="0"/>
        <w:tabs>
          <w:tab w:leader="none" w:pos="7480" w:val="left"/>
          <w:tab w:leader="none" w:pos="882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Withheld</w:t>
      </w:r>
      <w:r>
        <w:rPr>
          <w:sz w:val="20"/>
          <w:szCs w:val="20"/>
          <w:color w:val="auto"/>
        </w:rPr>
        <w:tab/>
      </w:r>
      <w:r>
        <w:rPr>
          <w:rFonts w:ascii="Arial" w:cs="Arial" w:eastAsia="Arial" w:hAnsi="Arial"/>
          <w:sz w:val="16"/>
          <w:szCs w:val="16"/>
          <w:color w:val="auto"/>
        </w:rPr>
        <w:t>Abstain</w:t>
      </w:r>
    </w:p>
    <w:p>
      <w:pPr>
        <w:spacing w:after="0" w:line="23" w:lineRule="exact"/>
        <w:rPr>
          <w:sz w:val="20"/>
          <w:szCs w:val="20"/>
          <w:color w:val="auto"/>
        </w:rPr>
      </w:pPr>
    </w:p>
    <w:p>
      <w:pPr>
        <w:ind w:left="6160"/>
        <w:spacing w:after="0"/>
        <w:tabs>
          <w:tab w:leader="none" w:pos="7700" w:val="left"/>
          <w:tab w:leader="none" w:pos="9160" w:val="left"/>
        </w:tabs>
        <w:rPr>
          <w:sz w:val="20"/>
          <w:szCs w:val="20"/>
          <w:color w:val="auto"/>
        </w:rPr>
      </w:pPr>
      <w:r>
        <w:rPr>
          <w:rFonts w:ascii="Arial" w:cs="Arial" w:eastAsia="Arial" w:hAnsi="Arial"/>
          <w:sz w:val="18"/>
          <w:szCs w:val="18"/>
          <w:color w:val="auto"/>
        </w:rPr>
        <w:t>15,699,701</w:t>
      </w:r>
      <w:r>
        <w:rPr>
          <w:sz w:val="20"/>
          <w:szCs w:val="20"/>
          <w:color w:val="auto"/>
        </w:rPr>
        <w:tab/>
      </w:r>
      <w:r>
        <w:rPr>
          <w:rFonts w:ascii="Arial" w:cs="Arial" w:eastAsia="Arial" w:hAnsi="Arial"/>
          <w:sz w:val="18"/>
          <w:szCs w:val="18"/>
          <w:color w:val="auto"/>
        </w:rPr>
        <w:t>310,339</w:t>
      </w:r>
      <w:r>
        <w:rPr>
          <w:sz w:val="20"/>
          <w:szCs w:val="20"/>
          <w:color w:val="auto"/>
        </w:rPr>
        <w:tab/>
      </w:r>
      <w:r>
        <w:rPr>
          <w:rFonts w:ascii="Arial" w:cs="Arial" w:eastAsia="Arial" w:hAnsi="Arial"/>
          <w:sz w:val="15"/>
          <w:szCs w:val="15"/>
          <w:color w:val="auto"/>
        </w:rPr>
        <w:t>3,659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9258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25820" cy="146050"/>
                    </a:xfrm>
                    <a:prstGeom prst="rect">
                      <a:avLst/>
                    </a:prstGeom>
                    <a:noFill/>
                  </pic:spPr>
                </pic:pic>
              </a:graphicData>
            </a:graphic>
          </wp:anchor>
        </w:drawing>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5. Other Information</w:t>
      </w:r>
      <w:r>
        <w:rPr>
          <w:rFonts w:ascii="Arial" w:cs="Arial" w:eastAsia="Arial" w:hAnsi="Arial"/>
          <w:sz w:val="18"/>
          <w:szCs w:val="18"/>
          <w:color w:val="auto"/>
        </w:rPr>
        <w:t>.</w:t>
      </w:r>
    </w:p>
    <w:p>
      <w:pPr>
        <w:spacing w:after="0" w:line="19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In the second quarter of 2008, the Audit Committee did not approve any non-audit services to be provided by our independent auditors, Ernst &amp; Young LLP, for 2008.</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Item 6. Exhibits</w:t>
      </w:r>
      <w:r>
        <w:rPr>
          <w:rFonts w:ascii="Arial" w:cs="Arial" w:eastAsia="Arial" w:hAnsi="Arial"/>
          <w:sz w:val="18"/>
          <w:szCs w:val="18"/>
          <w:color w:val="auto"/>
        </w:rPr>
        <w:t>.</w:t>
      </w:r>
    </w:p>
    <w:p>
      <w:pPr>
        <w:spacing w:after="0" w:line="185"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43" w:lineRule="exact"/>
        <w:rPr>
          <w:sz w:val="20"/>
          <w:szCs w:val="20"/>
          <w:color w:val="auto"/>
        </w:rPr>
      </w:pPr>
    </w:p>
    <w:p>
      <w:pPr>
        <w:ind w:left="680" w:hanging="34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184" w:lineRule="exact"/>
        <w:rPr>
          <w:rFonts w:ascii="Arial" w:cs="Arial" w:eastAsia="Arial" w:hAnsi="Arial"/>
          <w:sz w:val="18"/>
          <w:szCs w:val="18"/>
          <w:color w:val="auto"/>
        </w:rPr>
      </w:pPr>
    </w:p>
    <w:p>
      <w:pPr>
        <w:ind w:left="1040" w:right="559" w:hanging="343"/>
        <w:spacing w:after="0" w:line="277" w:lineRule="auto"/>
        <w:tabs>
          <w:tab w:leader="none" w:pos="10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02" w:lineRule="exact"/>
        <w:rPr>
          <w:rFonts w:ascii="Arial" w:cs="Arial" w:eastAsia="Arial" w:hAnsi="Arial"/>
          <w:sz w:val="18"/>
          <w:szCs w:val="18"/>
          <w:color w:val="auto"/>
        </w:rPr>
      </w:pPr>
    </w:p>
    <w:p>
      <w:pPr>
        <w:ind w:left="1040" w:right="559" w:hanging="343"/>
        <w:spacing w:after="0" w:line="277" w:lineRule="auto"/>
        <w:tabs>
          <w:tab w:leader="none" w:pos="10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29" w:lineRule="exact"/>
        <w:rPr>
          <w:rFonts w:ascii="Arial" w:cs="Arial" w:eastAsia="Arial" w:hAnsi="Arial"/>
          <w:sz w:val="18"/>
          <w:szCs w:val="18"/>
          <w:color w:val="auto"/>
        </w:rPr>
      </w:pPr>
    </w:p>
    <w:p>
      <w:pPr>
        <w:ind w:left="680" w:hanging="348"/>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198" w:lineRule="exact"/>
        <w:rPr>
          <w:rFonts w:ascii="Arial" w:cs="Arial" w:eastAsia="Arial" w:hAnsi="Arial"/>
          <w:sz w:val="18"/>
          <w:szCs w:val="18"/>
          <w:color w:val="auto"/>
        </w:rPr>
      </w:pPr>
    </w:p>
    <w:p>
      <w:pPr>
        <w:ind w:left="1040" w:right="559" w:hanging="343"/>
        <w:spacing w:after="0" w:line="277" w:lineRule="auto"/>
        <w:tabs>
          <w:tab w:leader="none" w:pos="10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02" w:lineRule="exact"/>
        <w:rPr>
          <w:rFonts w:ascii="Arial" w:cs="Arial" w:eastAsia="Arial" w:hAnsi="Arial"/>
          <w:sz w:val="18"/>
          <w:szCs w:val="18"/>
          <w:color w:val="auto"/>
        </w:rPr>
      </w:pPr>
    </w:p>
    <w:p>
      <w:pPr>
        <w:ind w:left="1040" w:right="559" w:hanging="343"/>
        <w:spacing w:after="0" w:line="277" w:lineRule="auto"/>
        <w:tabs>
          <w:tab w:leader="none" w:pos="10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559"/>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5080" w:type="dxa"/>
            <w:vAlign w:val="bottom"/>
            <w:gridSpan w:val="2"/>
          </w:tcPr>
          <w:p>
            <w:pPr>
              <w:ind w:left="1460"/>
              <w:spacing w:after="0"/>
              <w:rPr>
                <w:sz w:val="20"/>
                <w:szCs w:val="20"/>
                <w:color w:val="auto"/>
              </w:rPr>
            </w:pPr>
            <w:r>
              <w:rPr>
                <w:rFonts w:ascii="Arial" w:cs="Arial" w:eastAsia="Arial" w:hAnsi="Arial"/>
                <w:sz w:val="18"/>
                <w:szCs w:val="18"/>
                <w:b w:val="1"/>
                <w:bCs w:val="1"/>
                <w:color w:val="auto"/>
              </w:rPr>
              <w:t>UNIVERSAL FOREST PRODUCTS, INC.</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Date: July 24, 2008</w:t>
            </w:r>
          </w:p>
        </w:tc>
        <w:tc>
          <w:tcPr>
            <w:tcW w:w="5080" w:type="dxa"/>
            <w:vAlign w:val="bottom"/>
            <w:gridSpan w:val="2"/>
          </w:tcPr>
          <w:p>
            <w:pPr>
              <w:ind w:left="1460"/>
              <w:spacing w:after="0"/>
              <w:rPr>
                <w:sz w:val="20"/>
                <w:szCs w:val="20"/>
                <w:color w:val="auto"/>
              </w:rPr>
            </w:pPr>
            <w:r>
              <w:rPr>
                <w:rFonts w:ascii="Arial" w:cs="Arial" w:eastAsia="Arial" w:hAnsi="Arial"/>
                <w:sz w:val="18"/>
                <w:szCs w:val="18"/>
                <w:color w:val="auto"/>
              </w:rPr>
              <w:t>By: /s/ Michael B. Glenn</w:t>
            </w:r>
          </w:p>
        </w:tc>
      </w:tr>
      <w:tr>
        <w:trPr>
          <w:trHeight w:val="195"/>
        </w:trPr>
        <w:tc>
          <w:tcPr>
            <w:tcW w:w="28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28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Its: Chief Executive Officer</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Date: July 24, 2008</w:t>
            </w:r>
          </w:p>
        </w:tc>
        <w:tc>
          <w:tcPr>
            <w:tcW w:w="5080" w:type="dxa"/>
            <w:vAlign w:val="bottom"/>
            <w:gridSpan w:val="2"/>
          </w:tcPr>
          <w:p>
            <w:pPr>
              <w:ind w:left="1460"/>
              <w:spacing w:after="0"/>
              <w:rPr>
                <w:sz w:val="20"/>
                <w:szCs w:val="20"/>
                <w:color w:val="auto"/>
              </w:rPr>
            </w:pPr>
            <w:r>
              <w:rPr>
                <w:rFonts w:ascii="Arial" w:cs="Arial" w:eastAsia="Arial" w:hAnsi="Arial"/>
                <w:sz w:val="18"/>
                <w:szCs w:val="18"/>
                <w:color w:val="auto"/>
              </w:rPr>
              <w:t>By: /s/ Michael R. Cole</w:t>
            </w:r>
          </w:p>
        </w:tc>
      </w:tr>
      <w:tr>
        <w:trPr>
          <w:trHeight w:val="195"/>
        </w:trPr>
        <w:tc>
          <w:tcPr>
            <w:tcW w:w="28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28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Its: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ind w:left="340"/>
        <w:spacing w:after="0"/>
        <w:tabs>
          <w:tab w:leader="none" w:pos="132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14605</wp:posOffset>
            </wp:positionV>
            <wp:extent cx="52825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219" w:lineRule="exact"/>
        <w:rPr>
          <w:sz w:val="20"/>
          <w:szCs w:val="20"/>
          <w:color w:val="auto"/>
        </w:rPr>
      </w:pPr>
    </w:p>
    <w:p>
      <w:pPr>
        <w:ind w:left="1340" w:hanging="671"/>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740" w:right="759" w:hanging="394"/>
        <w:spacing w:after="0" w:line="277" w:lineRule="auto"/>
        <w:tabs>
          <w:tab w:leader="none" w:pos="1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740" w:right="819" w:hanging="394"/>
        <w:spacing w:after="0" w:line="277" w:lineRule="auto"/>
        <w:tabs>
          <w:tab w:leader="none" w:pos="1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340" w:hanging="671"/>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740" w:right="759" w:hanging="394"/>
        <w:spacing w:after="0" w:line="277" w:lineRule="auto"/>
        <w:tabs>
          <w:tab w:leader="none" w:pos="1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70" w:lineRule="exact"/>
        <w:rPr>
          <w:rFonts w:ascii="Arial" w:cs="Arial" w:eastAsia="Arial" w:hAnsi="Arial"/>
          <w:sz w:val="18"/>
          <w:szCs w:val="18"/>
          <w:color w:val="auto"/>
        </w:rPr>
      </w:pPr>
    </w:p>
    <w:p>
      <w:pPr>
        <w:ind w:left="1740" w:right="819" w:hanging="394"/>
        <w:spacing w:after="0" w:line="277" w:lineRule="auto"/>
        <w:tabs>
          <w:tab w:leader="none" w:pos="1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ectPr>
          <w:pgSz w:w="11900" w:h="16838" w:orient="portrait"/>
          <w:cols w:equalWidth="0" w:num="1">
            <w:col w:w="10219"/>
          </w:cols>
          <w:pgMar w:left="240" w:top="419" w:right="1440" w:bottom="1440" w:gutter="0" w:footer="0" w:header="0"/>
        </w:sectPr>
      </w:pPr>
    </w:p>
    <w:bookmarkStart w:id="38" w:name="page39"/>
    <w:bookmarkEnd w:id="38"/>
    <w:p>
      <w:pPr>
        <w:jc w:val="right"/>
        <w:ind w:right="559"/>
        <w:spacing w:after="0"/>
        <w:rPr>
          <w:sz w:val="20"/>
          <w:szCs w:val="20"/>
          <w:color w:val="auto"/>
        </w:rPr>
      </w:pPr>
      <w:r>
        <w:rPr>
          <w:rFonts w:ascii="Arial" w:cs="Arial" w:eastAsia="Arial" w:hAnsi="Arial"/>
          <w:sz w:val="18"/>
          <w:szCs w:val="18"/>
          <w:color w:val="auto"/>
        </w:rPr>
        <w:t>Exhibit 31(a)</w:t>
      </w:r>
    </w:p>
    <w:p>
      <w:pPr>
        <w:spacing w:after="0" w:line="181"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198" w:lineRule="exact"/>
        <w:rPr>
          <w:sz w:val="20"/>
          <w:szCs w:val="20"/>
          <w:color w:val="auto"/>
        </w:rPr>
      </w:pPr>
    </w:p>
    <w:p>
      <w:pPr>
        <w:ind w:left="4168"/>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B. Glenn, certify that:</w:t>
      </w:r>
    </w:p>
    <w:p>
      <w:pPr>
        <w:spacing w:after="0" w:line="185" w:lineRule="exact"/>
        <w:rPr>
          <w:sz w:val="20"/>
          <w:szCs w:val="20"/>
          <w:color w:val="auto"/>
        </w:rPr>
      </w:pPr>
    </w:p>
    <w:p>
      <w:pPr>
        <w:ind w:left="348" w:hanging="348"/>
        <w:spacing w:after="0"/>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157"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July 24, 2008</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 Glenn</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9887"/>
          </w:cols>
          <w:pgMar w:left="572" w:top="125" w:right="1440" w:bottom="1440" w:gutter="0" w:footer="0" w:header="0"/>
        </w:sectPr>
      </w:pPr>
    </w:p>
    <w:bookmarkStart w:id="39" w:name="page40"/>
    <w:bookmarkEnd w:id="39"/>
    <w:p>
      <w:pPr>
        <w:jc w:val="right"/>
        <w:ind w:right="559"/>
        <w:spacing w:after="0"/>
        <w:rPr>
          <w:sz w:val="20"/>
          <w:szCs w:val="20"/>
          <w:color w:val="auto"/>
        </w:rPr>
      </w:pPr>
      <w:r>
        <w:rPr>
          <w:rFonts w:ascii="Arial" w:cs="Arial" w:eastAsia="Arial" w:hAnsi="Arial"/>
          <w:sz w:val="18"/>
          <w:szCs w:val="18"/>
          <w:color w:val="auto"/>
        </w:rPr>
        <w:t>Exhibit 31(b)</w:t>
      </w:r>
    </w:p>
    <w:p>
      <w:pPr>
        <w:spacing w:after="0" w:line="194"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Universal Forest Products, Inc.</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R. Cole, certify that:</w:t>
      </w:r>
    </w:p>
    <w:p>
      <w:pPr>
        <w:spacing w:after="0" w:line="198" w:lineRule="exact"/>
        <w:rPr>
          <w:sz w:val="20"/>
          <w:szCs w:val="20"/>
          <w:color w:val="auto"/>
        </w:rPr>
      </w:pPr>
    </w:p>
    <w:p>
      <w:pPr>
        <w:ind w:left="348" w:hanging="348"/>
        <w:spacing w:after="0"/>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Universal Forest Products, Inc.;</w:t>
      </w:r>
    </w:p>
    <w:p>
      <w:pPr>
        <w:spacing w:after="0" w:line="157"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54"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July 24, 2008</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 Cole</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9887"/>
          </w:cols>
          <w:pgMar w:left="572" w:top="517" w:right="1440" w:bottom="1440" w:gutter="0" w:footer="0" w:header="0"/>
        </w:sectPr>
      </w:pPr>
    </w:p>
    <w:bookmarkStart w:id="40" w:name="page41"/>
    <w:bookmarkEnd w:id="40"/>
    <w:p>
      <w:pPr>
        <w:jc w:val="right"/>
        <w:ind w:right="559"/>
        <w:spacing w:after="0"/>
        <w:rPr>
          <w:sz w:val="20"/>
          <w:szCs w:val="20"/>
          <w:color w:val="auto"/>
        </w:rPr>
      </w:pPr>
      <w:r>
        <w:rPr>
          <w:rFonts w:ascii="Arial" w:cs="Arial" w:eastAsia="Arial" w:hAnsi="Arial"/>
          <w:sz w:val="18"/>
          <w:szCs w:val="18"/>
          <w:color w:val="auto"/>
        </w:rPr>
        <w:t>Exhibit 32(a)</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UNIVERSAL FOREST PRODUCTS, INC.</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85"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I, Michael B. Glenn, Chief Executive Officer of Universal Forest Products, Inc., certify, to the best of my knowledge and belief, pursuant to Section 906 of the Sarbanes-Oxley Act of 2002 (18 U.S.C. 1350) that:</w:t>
      </w:r>
    </w:p>
    <w:p>
      <w:pPr>
        <w:spacing w:after="0" w:line="130" w:lineRule="exact"/>
        <w:rPr>
          <w:sz w:val="20"/>
          <w:szCs w:val="20"/>
          <w:color w:val="auto"/>
        </w:rPr>
      </w:pPr>
    </w:p>
    <w:p>
      <w:pPr>
        <w:ind w:right="559" w:firstLine="365"/>
        <w:spacing w:after="0" w:line="277" w:lineRule="auto"/>
        <w:tabs>
          <w:tab w:leader="none" w:pos="6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28, 2008, which this statement accompanies, fully complies with requirements of Section 13(a) or 15(d) of the Securities Exchange Act of 1934; and</w:t>
      </w:r>
    </w:p>
    <w:p>
      <w:pPr>
        <w:spacing w:after="0" w:line="143" w:lineRule="exact"/>
        <w:rPr>
          <w:rFonts w:ascii="Arial" w:cs="Arial" w:eastAsia="Arial" w:hAnsi="Arial"/>
          <w:sz w:val="18"/>
          <w:szCs w:val="18"/>
          <w:color w:val="auto"/>
        </w:rPr>
      </w:pPr>
    </w:p>
    <w:p>
      <w:pPr>
        <w:ind w:right="559" w:firstLine="365"/>
        <w:spacing w:after="0" w:line="308" w:lineRule="auto"/>
        <w:tabs>
          <w:tab w:leader="none" w:pos="64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June 28, 2008 fairly presents, in all material respects, the financial condition and results of operations of Universal Forest Products, Inc.</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5080" w:type="dxa"/>
            <w:vAlign w:val="bottom"/>
            <w:gridSpan w:val="2"/>
          </w:tcPr>
          <w:p>
            <w:pPr>
              <w:ind w:left="1460"/>
              <w:spacing w:after="0"/>
              <w:rPr>
                <w:sz w:val="20"/>
                <w:szCs w:val="20"/>
                <w:color w:val="auto"/>
              </w:rPr>
            </w:pPr>
            <w:r>
              <w:rPr>
                <w:rFonts w:ascii="Arial" w:cs="Arial" w:eastAsia="Arial" w:hAnsi="Arial"/>
                <w:sz w:val="18"/>
                <w:szCs w:val="18"/>
                <w:color w:val="auto"/>
              </w:rPr>
              <w:t>UNIVERSAL FOREST PRODUCTS, INC.</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Date: July 24, 2008</w:t>
            </w:r>
          </w:p>
        </w:tc>
        <w:tc>
          <w:tcPr>
            <w:tcW w:w="5080" w:type="dxa"/>
            <w:vAlign w:val="bottom"/>
            <w:gridSpan w:val="2"/>
          </w:tcPr>
          <w:p>
            <w:pPr>
              <w:ind w:left="1460"/>
              <w:spacing w:after="0"/>
              <w:rPr>
                <w:sz w:val="20"/>
                <w:szCs w:val="20"/>
                <w:color w:val="auto"/>
              </w:rPr>
            </w:pPr>
            <w:r>
              <w:rPr>
                <w:rFonts w:ascii="Arial" w:cs="Arial" w:eastAsia="Arial" w:hAnsi="Arial"/>
                <w:sz w:val="18"/>
                <w:szCs w:val="18"/>
                <w:color w:val="auto"/>
              </w:rPr>
              <w:t>By: /s/ Michael B. Glenn</w:t>
            </w:r>
          </w:p>
        </w:tc>
      </w:tr>
      <w:tr>
        <w:trPr>
          <w:trHeight w:val="195"/>
        </w:trPr>
        <w:tc>
          <w:tcPr>
            <w:tcW w:w="28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28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Its: Chief Executive Officer</w:t>
            </w:r>
          </w:p>
        </w:tc>
      </w:tr>
    </w:tbl>
    <w:p>
      <w:pPr>
        <w:spacing w:after="0" w:line="161"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ectPr>
          <w:pgSz w:w="11900" w:h="16838" w:orient="portrait"/>
          <w:cols w:equalWidth="0" w:num="1">
            <w:col w:w="9879"/>
          </w:cols>
          <w:pgMar w:left="580" w:top="125" w:right="1440" w:bottom="1440" w:gutter="0" w:footer="0" w:header="0"/>
        </w:sectPr>
      </w:pPr>
    </w:p>
    <w:bookmarkStart w:id="41" w:name="page42"/>
    <w:bookmarkEnd w:id="41"/>
    <w:p>
      <w:pPr>
        <w:jc w:val="right"/>
        <w:ind w:right="559"/>
        <w:spacing w:after="0"/>
        <w:rPr>
          <w:sz w:val="20"/>
          <w:szCs w:val="20"/>
          <w:color w:val="auto"/>
        </w:rPr>
      </w:pPr>
      <w:r>
        <w:rPr>
          <w:rFonts w:ascii="Arial" w:cs="Arial" w:eastAsia="Arial" w:hAnsi="Arial"/>
          <w:sz w:val="18"/>
          <w:szCs w:val="18"/>
          <w:color w:val="auto"/>
        </w:rPr>
        <w:t>Exhibit 32(b)</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UNIVERSAL FOREST PRODUCTS, INC.</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85"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30" w:lineRule="exact"/>
        <w:rPr>
          <w:sz w:val="20"/>
          <w:szCs w:val="20"/>
          <w:color w:val="auto"/>
        </w:rPr>
      </w:pPr>
    </w:p>
    <w:p>
      <w:pPr>
        <w:ind w:right="559" w:firstLine="365"/>
        <w:spacing w:after="0" w:line="277" w:lineRule="auto"/>
        <w:tabs>
          <w:tab w:leader="none" w:pos="6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28, 2008, which this statement accompanies, fully complies with requirements of Section 13(a) or 15(d) of the Securities Exchange Act of 1934; and</w:t>
      </w:r>
    </w:p>
    <w:p>
      <w:pPr>
        <w:spacing w:after="0" w:line="143" w:lineRule="exact"/>
        <w:rPr>
          <w:rFonts w:ascii="Arial" w:cs="Arial" w:eastAsia="Arial" w:hAnsi="Arial"/>
          <w:sz w:val="18"/>
          <w:szCs w:val="18"/>
          <w:color w:val="auto"/>
        </w:rPr>
      </w:pPr>
    </w:p>
    <w:p>
      <w:pPr>
        <w:ind w:right="559" w:firstLine="365"/>
        <w:spacing w:after="0" w:line="308" w:lineRule="auto"/>
        <w:tabs>
          <w:tab w:leader="none" w:pos="644"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June 28, 2008 fairly presents, in all material respects, the financial condition and results of operations of Universal Forest Products, Inc.</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5080" w:type="dxa"/>
            <w:vAlign w:val="bottom"/>
            <w:gridSpan w:val="2"/>
          </w:tcPr>
          <w:p>
            <w:pPr>
              <w:ind w:left="1460"/>
              <w:spacing w:after="0"/>
              <w:rPr>
                <w:sz w:val="20"/>
                <w:szCs w:val="20"/>
                <w:color w:val="auto"/>
              </w:rPr>
            </w:pPr>
            <w:r>
              <w:rPr>
                <w:rFonts w:ascii="Arial" w:cs="Arial" w:eastAsia="Arial" w:hAnsi="Arial"/>
                <w:sz w:val="18"/>
                <w:szCs w:val="18"/>
                <w:color w:val="auto"/>
              </w:rPr>
              <w:t>UNIVERSAL FOREST PRODUCTS, INC.</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Date: July 24, 2008</w:t>
            </w:r>
          </w:p>
        </w:tc>
        <w:tc>
          <w:tcPr>
            <w:tcW w:w="5080" w:type="dxa"/>
            <w:vAlign w:val="bottom"/>
            <w:gridSpan w:val="2"/>
          </w:tcPr>
          <w:p>
            <w:pPr>
              <w:ind w:left="1460"/>
              <w:spacing w:after="0"/>
              <w:rPr>
                <w:sz w:val="20"/>
                <w:szCs w:val="20"/>
                <w:color w:val="auto"/>
              </w:rPr>
            </w:pPr>
            <w:r>
              <w:rPr>
                <w:rFonts w:ascii="Arial" w:cs="Arial" w:eastAsia="Arial" w:hAnsi="Arial"/>
                <w:sz w:val="18"/>
                <w:szCs w:val="18"/>
                <w:color w:val="auto"/>
              </w:rPr>
              <w:t>By: /s/ Michael R. Cole</w:t>
            </w:r>
          </w:p>
        </w:tc>
      </w:tr>
      <w:tr>
        <w:trPr>
          <w:trHeight w:val="195"/>
        </w:trPr>
        <w:tc>
          <w:tcPr>
            <w:tcW w:w="28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28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Its: Chief Financial Officer</w:t>
            </w:r>
          </w:p>
        </w:tc>
      </w:tr>
    </w:tbl>
    <w:p>
      <w:pPr>
        <w:spacing w:after="0" w:line="161"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sectPr>
      <w:pgSz w:w="11900" w:h="16838" w:orient="portrait"/>
      <w:cols w:equalWidth="0" w:num="1">
        <w:col w:w="9879"/>
      </w:cols>
      <w:pgMar w:left="5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upperLetter"/>
      <w:start w:val="1"/>
    </w:lvl>
  </w:abstractNum>
  <w:abstractNum w:abstractNumId="3">
    <w:nsid w:val="7FDCC233"/>
    <w:multiLevelType w:val="hybridMultilevel"/>
    <w:lvl w:ilvl="0">
      <w:lvlJc w:val="left"/>
      <w:lvlText w:val="%1."/>
      <w:numFmt w:val="upperLetter"/>
      <w:start w:val="2"/>
    </w:lvl>
  </w:abstractNum>
  <w:abstractNum w:abstractNumId="4">
    <w:nsid w:val="1BEFD79F"/>
    <w:multiLevelType w:val="hybridMultilevel"/>
    <w:lvl w:ilvl="0">
      <w:lvlJc w:val="left"/>
      <w:lvlText w:val="%1."/>
      <w:numFmt w:val="upperLetter"/>
      <w:start w:val="3"/>
    </w:lvl>
  </w:abstractNum>
  <w:abstractNum w:abstractNumId="5">
    <w:nsid w:val="41A7C4C9"/>
    <w:multiLevelType w:val="hybridMultilevel"/>
    <w:lvl w:ilvl="0">
      <w:lvlJc w:val="left"/>
      <w:lvlText w:val="%1."/>
      <w:numFmt w:val="upperLetter"/>
      <w:start w:val="4"/>
    </w:lvl>
    <w:lvl w:ilvl="1">
      <w:lvlJc w:val="left"/>
      <w:lvlText w:val="•"/>
      <w:numFmt w:val="bullet"/>
      <w:start w:val="1"/>
    </w:lvl>
  </w:abstractNum>
  <w:abstractNum w:abstractNumId="6">
    <w:nsid w:val="6B68079A"/>
    <w:multiLevelType w:val="hybridMultilevel"/>
    <w:lvl w:ilvl="0">
      <w:lvlJc w:val="left"/>
      <w:lvlText w:val="%1."/>
      <w:numFmt w:val="upperLetter"/>
      <w:start w:val="5"/>
    </w:lvl>
  </w:abstractNum>
  <w:abstractNum w:abstractNumId="7">
    <w:nsid w:val="4E6AFB66"/>
    <w:multiLevelType w:val="hybridMultilevel"/>
    <w:lvl w:ilvl="0">
      <w:lvlJc w:val="left"/>
      <w:lvlText w:val="%1."/>
      <w:numFmt w:val="upperLetter"/>
      <w:start w:val="7"/>
    </w:lvl>
  </w:abstractNum>
  <w:abstractNum w:abstractNumId="8">
    <w:nsid w:val="25E45D32"/>
    <w:multiLevelType w:val="hybridMultilevel"/>
    <w:lvl w:ilvl="0">
      <w:lvlJc w:val="left"/>
      <w:lvlText w:val="%1."/>
      <w:numFmt w:val="upperLetter"/>
      <w:start w:val="9"/>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31"/>
    </w:lvl>
    <w:lvl w:ilvl="1">
      <w:lvlJc w:val="left"/>
      <w:lvlText w:val="(%2)"/>
      <w:numFmt w:val="lowerLetter"/>
      <w:start w:val="1"/>
    </w:lvl>
  </w:abstractNum>
  <w:abstractNum w:abstractNumId="20">
    <w:nsid w:val="2D1D5AE9"/>
    <w:multiLevelType w:val="hybridMultilevel"/>
    <w:lvl w:ilvl="0">
      <w:lvlJc w:val="left"/>
      <w:lvlText w:val="%1"/>
      <w:numFmt w:val="decimal"/>
      <w:start w:val="31"/>
    </w:lvl>
    <w:lvl w:ilvl="1">
      <w:lvlJc w:val="left"/>
      <w:lvlText w:val="(%2)"/>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2019-12-14T02:14:42Z</dcterms:created>
  <dcterms:modified xsi:type="dcterms:W3CDTF">2019-12-14T02:14:42Z</dcterms:modified>
</cp:coreProperties>
</file>