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54875"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02870"/>
                    </a:xfrm>
                    <a:prstGeom prst="rect">
                      <a:avLst/>
                    </a:prstGeom>
                    <a:noFill/>
                  </pic:spPr>
                </pic:pic>
              </a:graphicData>
            </a:graphic>
          </wp:anchor>
        </w:drawing>
        <w:t>UNITED STATES SECURITIES AND EXCHANGE COMMISSION</w:t>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1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48" w:lineRule="exact"/>
        <w:rPr>
          <w:sz w:val="24"/>
          <w:szCs w:val="24"/>
          <w:color w:val="auto"/>
        </w:rPr>
      </w:pPr>
    </w:p>
    <w:p>
      <w:pPr>
        <w:ind w:left="4100" w:right="2380" w:hanging="4065"/>
        <w:spacing w:after="0" w:line="454" w:lineRule="auto"/>
        <w:tabs>
          <w:tab w:leader="none" w:pos="392"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25, 2016</w:t>
      </w:r>
    </w:p>
    <w:p>
      <w:pPr>
        <w:ind w:left="55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333" w:lineRule="exact"/>
        <w:rPr>
          <w:sz w:val="24"/>
          <w:szCs w:val="24"/>
          <w:color w:val="auto"/>
        </w:rPr>
      </w:pPr>
    </w:p>
    <w:p>
      <w:pPr>
        <w:ind w:left="4460" w:right="2360" w:hanging="4425"/>
        <w:spacing w:after="0" w:line="445" w:lineRule="auto"/>
        <w:tabs>
          <w:tab w:leader="none" w:pos="39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jc w:val="center"/>
        <w:ind w:right="20"/>
        <w:spacing w:after="0"/>
        <w:rPr>
          <w:sz w:val="20"/>
          <w:szCs w:val="20"/>
          <w:color w:val="auto"/>
        </w:rPr>
      </w:pPr>
      <w:r>
        <w:rPr>
          <w:rFonts w:ascii="Arial" w:cs="Arial" w:eastAsia="Arial" w:hAnsi="Arial"/>
          <w:sz w:val="43"/>
          <w:szCs w:val="43"/>
          <w:b w:val="1"/>
          <w:bCs w:val="1"/>
          <w:color w:val="auto"/>
        </w:rPr>
        <w:t>UNIVERSAL FOREST PRODUCTS, INC.</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5700" w:type="dxa"/>
            <w:vAlign w:val="bottom"/>
            <w:gridSpan w:val="4"/>
          </w:tcPr>
          <w:p>
            <w:pPr>
              <w:jc w:val="center"/>
              <w:ind w:right="1120"/>
              <w:spacing w:after="0"/>
              <w:rPr>
                <w:sz w:val="20"/>
                <w:szCs w:val="20"/>
                <w:color w:val="auto"/>
              </w:rPr>
            </w:pPr>
            <w:r>
              <w:rPr>
                <w:rFonts w:ascii="Arial" w:cs="Arial" w:eastAsia="Arial" w:hAnsi="Arial"/>
                <w:sz w:val="18"/>
                <w:szCs w:val="18"/>
                <w:color w:val="auto"/>
                <w:w w:val="97"/>
              </w:rPr>
              <w:t>Michigan</w:t>
            </w:r>
          </w:p>
        </w:tc>
        <w:tc>
          <w:tcPr>
            <w:tcW w:w="4580" w:type="dxa"/>
            <w:vAlign w:val="bottom"/>
          </w:tcPr>
          <w:p>
            <w:pPr>
              <w:jc w:val="right"/>
              <w:ind w:right="1770"/>
              <w:spacing w:after="0"/>
              <w:rPr>
                <w:sz w:val="20"/>
                <w:szCs w:val="20"/>
                <w:color w:val="auto"/>
              </w:rPr>
            </w:pPr>
            <w:r>
              <w:rPr>
                <w:rFonts w:ascii="Arial" w:cs="Arial" w:eastAsia="Arial" w:hAnsi="Arial"/>
                <w:sz w:val="18"/>
                <w:szCs w:val="18"/>
                <w:color w:val="auto"/>
              </w:rPr>
              <w:t>38-1465835</w:t>
            </w:r>
          </w:p>
        </w:tc>
      </w:tr>
      <w:tr>
        <w:trPr>
          <w:trHeight w:val="34"/>
        </w:trPr>
        <w:tc>
          <w:tcPr>
            <w:tcW w:w="4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3"/>
        </w:trPr>
        <w:tc>
          <w:tcPr>
            <w:tcW w:w="570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58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540"/>
        </w:trPr>
        <w:tc>
          <w:tcPr>
            <w:tcW w:w="5700" w:type="dxa"/>
            <w:vAlign w:val="bottom"/>
            <w:gridSpan w:val="4"/>
          </w:tcPr>
          <w:p>
            <w:pPr>
              <w:jc w:val="center"/>
              <w:ind w:right="1100"/>
              <w:spacing w:after="0"/>
              <w:rPr>
                <w:sz w:val="20"/>
                <w:szCs w:val="20"/>
                <w:color w:val="auto"/>
              </w:rPr>
            </w:pPr>
            <w:r>
              <w:rPr>
                <w:rFonts w:ascii="Arial" w:cs="Arial" w:eastAsia="Arial" w:hAnsi="Arial"/>
                <w:sz w:val="18"/>
                <w:szCs w:val="18"/>
                <w:color w:val="auto"/>
                <w:w w:val="92"/>
              </w:rPr>
              <w:t>2801 East Beltline NE, Grand Rapids, Michigan</w:t>
            </w:r>
          </w:p>
        </w:tc>
        <w:tc>
          <w:tcPr>
            <w:tcW w:w="4580" w:type="dxa"/>
            <w:vAlign w:val="bottom"/>
          </w:tcPr>
          <w:p>
            <w:pPr>
              <w:jc w:val="right"/>
              <w:ind w:right="1970"/>
              <w:spacing w:after="0"/>
              <w:rPr>
                <w:sz w:val="20"/>
                <w:szCs w:val="20"/>
                <w:color w:val="auto"/>
              </w:rPr>
            </w:pPr>
            <w:r>
              <w:rPr>
                <w:rFonts w:ascii="Arial" w:cs="Arial" w:eastAsia="Arial" w:hAnsi="Arial"/>
                <w:sz w:val="18"/>
                <w:szCs w:val="18"/>
                <w:color w:val="auto"/>
              </w:rPr>
              <w:t>49525</w:t>
            </w:r>
          </w:p>
        </w:tc>
      </w:tr>
      <w:tr>
        <w:trPr>
          <w:trHeight w:val="34"/>
        </w:trPr>
        <w:tc>
          <w:tcPr>
            <w:tcW w:w="4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3"/>
        </w:trPr>
        <w:tc>
          <w:tcPr>
            <w:tcW w:w="570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(Address of principal executive offices)</w:t>
            </w: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365"/>
        </w:trPr>
        <w:tc>
          <w:tcPr>
            <w:tcW w:w="5700" w:type="dxa"/>
            <w:vAlign w:val="bottom"/>
            <w:gridSpan w:val="4"/>
          </w:tcPr>
          <w:p>
            <w:pPr>
              <w:ind w:left="400"/>
              <w:spacing w:after="0"/>
              <w:rPr>
                <w:sz w:val="20"/>
                <w:szCs w:val="20"/>
                <w:color w:val="auto"/>
              </w:rPr>
            </w:pPr>
            <w:r>
              <w:rPr>
                <w:rFonts w:ascii="Arial" w:cs="Arial" w:eastAsia="Arial" w:hAnsi="Arial"/>
                <w:sz w:val="18"/>
                <w:szCs w:val="18"/>
                <w:color w:val="auto"/>
                <w:w w:val="98"/>
              </w:rPr>
              <w:t>Registrant's telephone number, including area code (616) 364-6161</w:t>
            </w:r>
          </w:p>
        </w:tc>
        <w:tc>
          <w:tcPr>
            <w:tcW w:w="458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bl>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31750</wp:posOffset>
            </wp:positionV>
            <wp:extent cx="57975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4"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3" w:lineRule="exact"/>
        <w:rPr>
          <w:sz w:val="24"/>
          <w:szCs w:val="24"/>
          <w:color w:val="auto"/>
        </w:rPr>
      </w:pPr>
    </w:p>
    <w:p>
      <w:pPr>
        <w:jc w:val="both"/>
        <w:ind w:right="40"/>
        <w:spacing w:after="0" w:line="277"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40"/>
          </w:cols>
          <w:pgMar w:left="240" w:top="1089" w:right="219" w:bottom="1440" w:gutter="0" w:footer="0" w:header="0"/>
        </w:sectPr>
      </w:pPr>
    </w:p>
    <w:p>
      <w:pPr>
        <w:spacing w:after="0" w:line="224"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67" w:lineRule="exact"/>
        <w:rPr>
          <w:sz w:val="24"/>
          <w:szCs w:val="24"/>
          <w:color w:val="auto"/>
        </w:rPr>
      </w:pPr>
    </w:p>
    <w:p>
      <w:pPr>
        <w:sectPr>
          <w:pgSz w:w="11900" w:h="16838" w:orient="portrait"/>
          <w:cols w:equalWidth="0" w:num="4">
            <w:col w:w="2180" w:space="720"/>
            <w:col w:w="2120" w:space="720"/>
            <w:col w:w="2140" w:space="720"/>
            <w:col w:w="2840"/>
          </w:cols>
          <w:pgMar w:left="240" w:top="1089" w:right="21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checkmark whether the registrant is a shell company (as defined by Rule 12b-2 of the Exchange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 x</w:t>
      </w:r>
    </w:p>
    <w:p>
      <w:pPr>
        <w:spacing w:after="0" w:line="129" w:lineRule="exact"/>
        <w:rPr>
          <w:sz w:val="24"/>
          <w:szCs w:val="24"/>
          <w:color w:val="auto"/>
        </w:rPr>
      </w:pPr>
    </w:p>
    <w:p>
      <w:pPr>
        <w:sectPr>
          <w:pgSz w:w="11900" w:h="16838" w:orient="portrait"/>
          <w:cols w:equalWidth="0" w:num="2">
            <w:col w:w="8660" w:space="140"/>
            <w:col w:w="2640"/>
          </w:cols>
          <w:pgMar w:left="240" w:top="1089" w:right="21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5700" w:type="dxa"/>
            <w:vAlign w:val="bottom"/>
            <w:gridSpan w:val="2"/>
          </w:tcPr>
          <w:p>
            <w:pPr>
              <w:jc w:val="center"/>
              <w:ind w:right="1120"/>
              <w:spacing w:after="0"/>
              <w:rPr>
                <w:sz w:val="20"/>
                <w:szCs w:val="20"/>
                <w:color w:val="auto"/>
              </w:rPr>
            </w:pPr>
            <w:r>
              <w:rPr>
                <w:rFonts w:ascii="Arial" w:cs="Arial" w:eastAsia="Arial" w:hAnsi="Arial"/>
                <w:sz w:val="18"/>
                <w:szCs w:val="18"/>
                <w:color w:val="auto"/>
                <w:w w:val="84"/>
              </w:rPr>
              <w:t>Class</w:t>
            </w: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Outstanding as of June 25, 2016</w:t>
            </w:r>
          </w:p>
        </w:tc>
        <w:tc>
          <w:tcPr>
            <w:tcW w:w="580" w:type="dxa"/>
            <w:vAlign w:val="bottom"/>
          </w:tcPr>
          <w:p>
            <w:pPr>
              <w:spacing w:after="0"/>
              <w:rPr>
                <w:sz w:val="20"/>
                <w:szCs w:val="20"/>
                <w:color w:val="auto"/>
              </w:rPr>
            </w:pPr>
          </w:p>
        </w:tc>
      </w:tr>
      <w:tr>
        <w:trPr>
          <w:trHeight w:val="34"/>
        </w:trPr>
        <w:tc>
          <w:tcPr>
            <w:tcW w:w="5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5700" w:type="dxa"/>
            <w:vAlign w:val="bottom"/>
            <w:gridSpan w:val="2"/>
          </w:tcPr>
          <w:p>
            <w:pPr>
              <w:jc w:val="center"/>
              <w:ind w:right="1120"/>
              <w:spacing w:after="0"/>
              <w:rPr>
                <w:sz w:val="20"/>
                <w:szCs w:val="20"/>
                <w:color w:val="auto"/>
              </w:rPr>
            </w:pPr>
            <w:r>
              <w:rPr>
                <w:rFonts w:ascii="Arial" w:cs="Arial" w:eastAsia="Arial" w:hAnsi="Arial"/>
                <w:sz w:val="18"/>
                <w:szCs w:val="18"/>
                <w:color w:val="auto"/>
                <w:w w:val="89"/>
              </w:rPr>
              <w:t>Common stock, no par value</w:t>
            </w:r>
          </w:p>
        </w:tc>
        <w:tc>
          <w:tcPr>
            <w:tcW w:w="4580" w:type="dxa"/>
            <w:vAlign w:val="bottom"/>
          </w:tcPr>
          <w:p>
            <w:pPr>
              <w:jc w:val="right"/>
              <w:ind w:right="1790"/>
              <w:spacing w:after="0"/>
              <w:rPr>
                <w:sz w:val="20"/>
                <w:szCs w:val="20"/>
                <w:color w:val="auto"/>
              </w:rPr>
            </w:pPr>
            <w:r>
              <w:rPr>
                <w:rFonts w:ascii="Arial" w:cs="Arial" w:eastAsia="Arial" w:hAnsi="Arial"/>
                <w:sz w:val="18"/>
                <w:szCs w:val="18"/>
                <w:color w:val="auto"/>
              </w:rPr>
              <w:t>20,307,463</w:t>
            </w:r>
          </w:p>
        </w:tc>
        <w:tc>
          <w:tcPr>
            <w:tcW w:w="580" w:type="dxa"/>
            <w:vAlign w:val="bottom"/>
          </w:tcPr>
          <w:p>
            <w:pPr>
              <w:spacing w:after="0"/>
              <w:rPr>
                <w:sz w:val="21"/>
                <w:szCs w:val="21"/>
                <w:color w:val="auto"/>
              </w:rPr>
            </w:pPr>
          </w:p>
        </w:tc>
      </w:tr>
      <w:tr>
        <w:trPr>
          <w:trHeight w:val="162"/>
        </w:trPr>
        <w:tc>
          <w:tcPr>
            <w:tcW w:w="5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22"/>
        </w:trPr>
        <w:tc>
          <w:tcPr>
            <w:tcW w:w="580" w:type="dxa"/>
            <w:vAlign w:val="bottom"/>
            <w:tcBorders>
              <w:left w:val="single" w:sz="8" w:color="auto"/>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11440"/>
          </w:cols>
          <w:pgMar w:left="240" w:top="1089" w:right="21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720" w:type="dxa"/>
            <w:vAlign w:val="bottom"/>
            <w:gridSpan w:val="9"/>
          </w:tcPr>
          <w:p>
            <w:pPr>
              <w:jc w:val="center"/>
              <w:ind w:right="2200"/>
              <w:spacing w:after="0"/>
              <w:rPr>
                <w:sz w:val="20"/>
                <w:szCs w:val="20"/>
                <w:color w:val="auto"/>
              </w:rPr>
            </w:pPr>
            <w:r>
              <w:rPr>
                <w:rFonts w:ascii="Arial" w:cs="Arial" w:eastAsia="Arial" w:hAnsi="Arial"/>
                <w:sz w:val="18"/>
                <w:szCs w:val="18"/>
                <w:b w:val="1"/>
                <w:bCs w:val="1"/>
                <w:color w:val="auto"/>
                <w:w w:val="99"/>
              </w:rPr>
              <w:t>UNIVERSAL FOREST PRODUCTS, INC.</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720" w:type="dxa"/>
            <w:vAlign w:val="bottom"/>
            <w:gridSpan w:val="9"/>
          </w:tcPr>
          <w:p>
            <w:pPr>
              <w:jc w:val="center"/>
              <w:ind w:right="220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640" w:type="dxa"/>
            <w:vAlign w:val="bottom"/>
          </w:tcPr>
          <w:p>
            <w:pPr>
              <w:ind w:left="40"/>
              <w:spacing w:after="0"/>
              <w:rPr>
                <w:sz w:val="20"/>
                <w:szCs w:val="20"/>
                <w:color w:val="auto"/>
              </w:rPr>
            </w:pPr>
            <w:r>
              <w:rPr>
                <w:rFonts w:ascii="Arial" w:cs="Arial" w:eastAsia="Arial" w:hAnsi="Arial"/>
                <w:sz w:val="18"/>
                <w:szCs w:val="18"/>
                <w:b w:val="1"/>
                <w:bCs w:val="1"/>
                <w:color w:val="auto"/>
              </w:rPr>
              <w:t>PART I.</w:t>
            </w:r>
          </w:p>
        </w:tc>
        <w:tc>
          <w:tcPr>
            <w:tcW w:w="854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12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34"/>
        </w:trPr>
        <w:tc>
          <w:tcPr>
            <w:tcW w:w="1640" w:type="dxa"/>
            <w:vAlign w:val="bottom"/>
            <w:vMerge w:val="restart"/>
          </w:tcPr>
          <w:p>
            <w:pPr>
              <w:ind w:left="720"/>
              <w:spacing w:after="0"/>
              <w:rPr>
                <w:sz w:val="20"/>
                <w:szCs w:val="20"/>
                <w:color w:val="auto"/>
              </w:rPr>
            </w:pPr>
            <w:r>
              <w:rPr>
                <w:rFonts w:ascii="Arial" w:cs="Arial" w:eastAsia="Arial" w:hAnsi="Arial"/>
                <w:sz w:val="18"/>
                <w:szCs w:val="18"/>
                <w:color w:val="auto"/>
              </w:rPr>
              <w:t>Item 1.</w:t>
            </w:r>
          </w:p>
        </w:tc>
        <w:tc>
          <w:tcPr>
            <w:tcW w:w="8540" w:type="dxa"/>
            <w:vAlign w:val="bottom"/>
            <w:gridSpan w:val="12"/>
            <w:vMerge w:val="restart"/>
          </w:tcPr>
          <w:p>
            <w:pPr>
              <w:spacing w:after="0"/>
              <w:rPr>
                <w:sz w:val="20"/>
                <w:szCs w:val="20"/>
                <w:color w:val="auto"/>
              </w:rPr>
            </w:pPr>
            <w:r>
              <w:rPr>
                <w:rFonts w:ascii="Arial" w:cs="Arial" w:eastAsia="Arial" w:hAnsi="Arial"/>
                <w:sz w:val="18"/>
                <w:szCs w:val="18"/>
                <w:color w:val="auto"/>
              </w:rPr>
              <w:t>Financial Statements.</w:t>
            </w: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1640" w:type="dxa"/>
            <w:vAlign w:val="bottom"/>
            <w:vMerge w:val="continue"/>
          </w:tcPr>
          <w:p>
            <w:pPr>
              <w:spacing w:after="0"/>
              <w:rPr>
                <w:sz w:val="24"/>
                <w:szCs w:val="24"/>
                <w:color w:val="auto"/>
              </w:rPr>
            </w:pPr>
          </w:p>
        </w:tc>
        <w:tc>
          <w:tcPr>
            <w:tcW w:w="8540" w:type="dxa"/>
            <w:vAlign w:val="bottom"/>
            <w:gridSpan w:val="12"/>
            <w:vMerge w:val="continue"/>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spacing w:after="0"/>
              <w:rPr>
                <w:sz w:val="21"/>
                <w:szCs w:val="21"/>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at June 25, 2016, December 26, 2015 and June 27, 2015.</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4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17"/>
                <w:szCs w:val="17"/>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Condensed Statements of Earnings and Comprehensive Income for the Three Months Ended and Six</w:t>
              </w:r>
            </w:hyperlink>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40" w:type="dxa"/>
            <w:vAlign w:val="bottom"/>
            <w:tcBorders>
              <w:top w:val="single" w:sz="8" w:color="CCEEFF"/>
            </w:tcBorders>
            <w:shd w:val="clear" w:color="auto" w:fill="CCEEFF"/>
          </w:tcPr>
          <w:p>
            <w:pPr>
              <w:spacing w:after="0"/>
              <w:rPr>
                <w:sz w:val="21"/>
                <w:szCs w:val="21"/>
                <w:color w:val="auto"/>
              </w:rPr>
            </w:pPr>
          </w:p>
        </w:tc>
        <w:tc>
          <w:tcPr>
            <w:tcW w:w="850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Months Ended June 25, 2016 and June 27, 2015.</w:t>
              </w:r>
            </w:hyperlink>
          </w:p>
        </w:tc>
        <w:tc>
          <w:tcPr>
            <w:tcW w:w="4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CCEEFF"/>
            </w:tcBorders>
            <w:gridSpan w:val="4"/>
            <w:shd w:val="clear" w:color="auto" w:fill="CCEEFF"/>
          </w:tcPr>
          <w:p>
            <w:pPr>
              <w:jc w:val="center"/>
              <w:ind w:left="45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5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17"/>
                <w:szCs w:val="17"/>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Condensed Statements of Shareholders’ Equity for the Six Months Ended June 25, 2016 and June 27,</w:t>
              </w:r>
            </w:hyperlink>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4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2015.</w:t>
              </w:r>
            </w:hyperlink>
          </w:p>
        </w:tc>
        <w:tc>
          <w:tcPr>
            <w:tcW w:w="1180" w:type="dxa"/>
            <w:vAlign w:val="bottom"/>
            <w:tcBorders>
              <w:top w:val="single" w:sz="8" w:color="0000EE"/>
            </w:tcBorders>
            <w:shd w:val="clear" w:color="auto" w:fill="CCEEFF"/>
          </w:tcPr>
          <w:p>
            <w:pPr>
              <w:spacing w:after="0"/>
              <w:rPr>
                <w:sz w:val="21"/>
                <w:szCs w:val="21"/>
                <w:color w:val="auto"/>
              </w:rPr>
            </w:pPr>
          </w:p>
        </w:tc>
        <w:tc>
          <w:tcPr>
            <w:tcW w:w="1680" w:type="dxa"/>
            <w:vAlign w:val="bottom"/>
            <w:tcBorders>
              <w:top w:val="single" w:sz="8" w:color="0000EE"/>
            </w:tcBorders>
            <w:shd w:val="clear" w:color="auto" w:fill="CCEEFF"/>
          </w:tcPr>
          <w:p>
            <w:pPr>
              <w:spacing w:after="0"/>
              <w:rPr>
                <w:sz w:val="21"/>
                <w:szCs w:val="21"/>
                <w:color w:val="auto"/>
              </w:rPr>
            </w:pPr>
          </w:p>
        </w:tc>
        <w:tc>
          <w:tcPr>
            <w:tcW w:w="86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40" w:type="dxa"/>
            <w:vAlign w:val="bottom"/>
            <w:tcBorders>
              <w:top w:val="single" w:sz="8" w:color="0000EE"/>
            </w:tcBorders>
            <w:shd w:val="clear" w:color="auto" w:fill="CCEEFF"/>
          </w:tcPr>
          <w:p>
            <w:pPr>
              <w:spacing w:after="0"/>
              <w:rPr>
                <w:sz w:val="21"/>
                <w:szCs w:val="21"/>
                <w:color w:val="auto"/>
              </w:rPr>
            </w:pPr>
          </w:p>
        </w:tc>
        <w:tc>
          <w:tcPr>
            <w:tcW w:w="1640" w:type="dxa"/>
            <w:vAlign w:val="bottom"/>
            <w:tcBorders>
              <w:top w:val="single" w:sz="8" w:color="0000EE"/>
            </w:tcBorders>
            <w:shd w:val="clear" w:color="auto" w:fill="CCEEFF"/>
          </w:tcPr>
          <w:p>
            <w:pPr>
              <w:spacing w:after="0"/>
              <w:rPr>
                <w:sz w:val="21"/>
                <w:szCs w:val="21"/>
                <w:color w:val="auto"/>
              </w:rPr>
            </w:pPr>
          </w:p>
        </w:tc>
        <w:tc>
          <w:tcPr>
            <w:tcW w:w="580" w:type="dxa"/>
            <w:vAlign w:val="bottom"/>
            <w:tcBorders>
              <w:top w:val="single" w:sz="8" w:color="0000EE"/>
            </w:tcBorders>
            <w:shd w:val="clear" w:color="auto" w:fill="CCEEFF"/>
          </w:tcPr>
          <w:p>
            <w:pPr>
              <w:spacing w:after="0"/>
              <w:rPr>
                <w:sz w:val="21"/>
                <w:szCs w:val="21"/>
                <w:color w:val="auto"/>
              </w:rPr>
            </w:pPr>
          </w:p>
        </w:tc>
        <w:tc>
          <w:tcPr>
            <w:tcW w:w="1020" w:type="dxa"/>
            <w:vAlign w:val="bottom"/>
            <w:tcBorders>
              <w:top w:val="single" w:sz="8" w:color="0000EE"/>
            </w:tcBorders>
            <w:shd w:val="clear" w:color="auto" w:fill="CCEEFF"/>
          </w:tcPr>
          <w:p>
            <w:pPr>
              <w:spacing w:after="0"/>
              <w:rPr>
                <w:sz w:val="21"/>
                <w:szCs w:val="21"/>
                <w:color w:val="auto"/>
              </w:rPr>
            </w:pPr>
          </w:p>
        </w:tc>
        <w:tc>
          <w:tcPr>
            <w:tcW w:w="4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CCEEFF"/>
            </w:tcBorders>
            <w:gridSpan w:val="4"/>
            <w:shd w:val="clear" w:color="auto" w:fill="CCEEFF"/>
          </w:tcPr>
          <w:p>
            <w:pPr>
              <w:jc w:val="center"/>
              <w:ind w:left="4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5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spacing w:after="0"/>
              <w:rPr>
                <w:sz w:val="21"/>
                <w:szCs w:val="21"/>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Condensed Statements of Cash Flows for the Six Months Ended June 25, 2016 and June 27, 2015.</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4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1020" w:type="dxa"/>
            <w:vAlign w:val="bottom"/>
            <w:tcBorders>
              <w:top w:val="single" w:sz="8" w:color="0000EE"/>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spacing w:after="0"/>
              <w:rPr>
                <w:sz w:val="21"/>
                <w:szCs w:val="21"/>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Condensed Financial Statements.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Item 2.</w:t>
            </w: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12</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40" w:type="dxa"/>
            <w:vAlign w:val="bottom"/>
            <w:tcBorders>
              <w:top w:val="single" w:sz="8" w:color="0000EE"/>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Item 3.</w:t>
            </w: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line="202" w:lineRule="exact"/>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6720" w:type="dxa"/>
            <w:vAlign w:val="bottom"/>
            <w:tcBorders>
              <w:bottom w:val="single" w:sz="8" w:color="CCEEFF"/>
            </w:tcBorders>
            <w:gridSpan w:val="9"/>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164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8540" w:type="dxa"/>
            <w:vAlign w:val="bottom"/>
            <w:gridSpan w:val="12"/>
          </w:tcPr>
          <w:p>
            <w:pPr>
              <w:spacing w:after="0"/>
              <w:rPr>
                <w:sz w:val="20"/>
                <w:szCs w:val="20"/>
                <w:color w:val="auto"/>
              </w:rPr>
            </w:pPr>
            <w:r>
              <w:rPr>
                <w:rFonts w:ascii="Arial" w:cs="Arial" w:eastAsia="Arial" w:hAnsi="Arial"/>
                <w:sz w:val="18"/>
                <w:szCs w:val="18"/>
                <w:b w:val="1"/>
                <w:bCs w:val="1"/>
                <w:color w:val="auto"/>
              </w:rPr>
              <w:t>OTHER INFORMATION.</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1.</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Legal Proceedings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1A.</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Risk Factors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Item 2.</w:t>
            </w: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25</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3.</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Defaults upon Senior Securities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4.</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Mine Safety Disclosures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5.</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Other Information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Item 6.</w:t>
            </w: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340" w:type="dxa"/>
            <w:vAlign w:val="bottom"/>
            <w:gridSpan w:val="4"/>
          </w:tcPr>
          <w:p>
            <w:pPr>
              <w:jc w:val="center"/>
              <w:ind w:left="2970"/>
              <w:spacing w:after="0"/>
              <w:rPr>
                <w:sz w:val="20"/>
                <w:szCs w:val="20"/>
                <w:color w:val="auto"/>
              </w:rPr>
            </w:pPr>
            <w:r>
              <w:rPr>
                <w:rFonts w:ascii="Arial" w:cs="Arial" w:eastAsia="Arial" w:hAnsi="Arial"/>
                <w:sz w:val="18"/>
                <w:szCs w:val="18"/>
                <w:b w:val="1"/>
                <w:bCs w:val="1"/>
                <w:color w:val="auto"/>
                <w:w w:val="99"/>
              </w:rPr>
              <w:t>UNIVERSAL FOREST PRODUCTS, INC.</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340" w:type="dxa"/>
            <w:vAlign w:val="bottom"/>
            <w:gridSpan w:val="4"/>
          </w:tcPr>
          <w:p>
            <w:pPr>
              <w:jc w:val="center"/>
              <w:ind w:left="295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20" w:type="dxa"/>
            <w:vAlign w:val="bottom"/>
          </w:tcPr>
          <w:p>
            <w:pPr>
              <w:jc w:val="center"/>
              <w:ind w:left="457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20" w:type="dxa"/>
            <w:vAlign w:val="bottom"/>
          </w:tcPr>
          <w:p>
            <w:pPr>
              <w:ind w:left="20"/>
              <w:spacing w:after="0"/>
              <w:rPr>
                <w:sz w:val="20"/>
                <w:szCs w:val="20"/>
                <w:color w:val="auto"/>
              </w:rPr>
            </w:pPr>
            <w:r>
              <w:rPr>
                <w:rFonts w:ascii="Arial" w:cs="Arial" w:eastAsia="Arial" w:hAnsi="Arial"/>
                <w:sz w:val="18"/>
                <w:szCs w:val="18"/>
                <w:color w:val="auto"/>
              </w:rPr>
              <w:t>(in thousands, except share data)</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June 25, 2016</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December 26, 2015</w:t>
            </w:r>
          </w:p>
        </w:tc>
        <w:tc>
          <w:tcPr>
            <w:tcW w:w="160" w:type="dxa"/>
            <w:vAlign w:val="bottom"/>
          </w:tcPr>
          <w:p>
            <w:pPr>
              <w:spacing w:after="0"/>
              <w:rPr>
                <w:sz w:val="23"/>
                <w:szCs w:val="23"/>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2"/>
              </w:rPr>
              <w:t>June 27, 2015</w:t>
            </w:r>
          </w:p>
        </w:tc>
        <w:tc>
          <w:tcPr>
            <w:tcW w:w="0" w:type="dxa"/>
            <w:vAlign w:val="bottom"/>
          </w:tcPr>
          <w:p>
            <w:pPr>
              <w:spacing w:after="0"/>
              <w:rPr>
                <w:sz w:val="1"/>
                <w:szCs w:val="1"/>
                <w:color w:val="auto"/>
              </w:rPr>
            </w:pPr>
          </w:p>
        </w:tc>
      </w:tr>
      <w:tr>
        <w:trPr>
          <w:trHeight w:val="34"/>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24,756</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318,505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222,964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302,538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165,857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168,548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182,286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131,939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136,370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147,949</w:t>
            </w:r>
          </w:p>
        </w:tc>
        <w:tc>
          <w:tcPr>
            <w:tcW w:w="0" w:type="dxa"/>
            <w:vAlign w:val="bottom"/>
          </w:tcPr>
          <w:p>
            <w:pPr>
              <w:spacing w:after="0"/>
              <w:rPr>
                <w:sz w:val="1"/>
                <w:szCs w:val="1"/>
                <w:color w:val="auto"/>
              </w:rPr>
            </w:pPr>
          </w:p>
        </w:tc>
      </w:tr>
      <w:tr>
        <w:trPr>
          <w:trHeight w:val="243"/>
        </w:trPr>
        <w:tc>
          <w:tcPr>
            <w:tcW w:w="6720" w:type="dxa"/>
            <w:vAlign w:val="bottom"/>
          </w:tcPr>
          <w:p>
            <w:pPr>
              <w:ind w:left="480"/>
              <w:spacing w:after="0"/>
              <w:rPr>
                <w:sz w:val="20"/>
                <w:szCs w:val="20"/>
                <w:color w:val="auto"/>
              </w:rPr>
            </w:pPr>
            <w:r>
              <w:rPr>
                <w:rFonts w:ascii="Arial" w:cs="Arial" w:eastAsia="Arial" w:hAnsi="Arial"/>
                <w:sz w:val="18"/>
                <w:szCs w:val="18"/>
                <w:color w:val="auto"/>
              </w:rPr>
              <w:t>Total inventories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297,796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304,918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330,235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Refundable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15,238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17,481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14,953</w:t>
            </w:r>
          </w:p>
        </w:tc>
        <w:tc>
          <w:tcPr>
            <w:tcW w:w="0" w:type="dxa"/>
            <w:vAlign w:val="bottom"/>
          </w:tcPr>
          <w:p>
            <w:pPr>
              <w:spacing w:after="0"/>
              <w:rPr>
                <w:sz w:val="1"/>
                <w:szCs w:val="1"/>
                <w:color w:val="auto"/>
              </w:rPr>
            </w:pPr>
          </w:p>
        </w:tc>
      </w:tr>
      <w:tr>
        <w:trPr>
          <w:trHeight w:val="243"/>
        </w:trPr>
        <w:tc>
          <w:tcPr>
            <w:tcW w:w="67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729,705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648,232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679,444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8,815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173,158</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INDEFINITE-LIVED INTANGIBLE ASSETS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17,007</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649,652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628,045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628,269</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(392,753)</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(376,895)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(370,538)</w:t>
            </w:r>
          </w:p>
        </w:tc>
        <w:tc>
          <w:tcPr>
            <w:tcW w:w="0" w:type="dxa"/>
            <w:vAlign w:val="bottom"/>
          </w:tcPr>
          <w:p>
            <w:pPr>
              <w:spacing w:after="0"/>
              <w:rPr>
                <w:sz w:val="1"/>
                <w:szCs w:val="1"/>
                <w:color w:val="auto"/>
              </w:rPr>
            </w:pPr>
          </w:p>
        </w:tc>
      </w:tr>
      <w:tr>
        <w:trPr>
          <w:trHeight w:val="271"/>
        </w:trPr>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256,899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257,731</w:t>
            </w:r>
          </w:p>
        </w:tc>
        <w:tc>
          <w:tcPr>
            <w:tcW w:w="0" w:type="dxa"/>
            <w:vAlign w:val="bottom"/>
          </w:tcPr>
          <w:p>
            <w:pPr>
              <w:spacing w:after="0"/>
              <w:rPr>
                <w:sz w:val="1"/>
                <w:szCs w:val="1"/>
                <w:color w:val="auto"/>
              </w:rPr>
            </w:pPr>
          </w:p>
        </w:tc>
      </w:tr>
      <w:tr>
        <w:trPr>
          <w:trHeight w:val="30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1,194,506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1,107,679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1,139,666</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overdraft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21,933</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126,095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95,041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114,354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74,919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78,877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60,941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35,321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29,112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27,234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67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239,183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204,175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234,249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122,303</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23,838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31,178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26,066</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28,507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19,124</w:t>
            </w:r>
          </w:p>
        </w:tc>
        <w:tc>
          <w:tcPr>
            <w:tcW w:w="0" w:type="dxa"/>
            <w:vAlign w:val="bottom"/>
          </w:tcPr>
          <w:p>
            <w:pPr>
              <w:spacing w:after="0"/>
              <w:rPr>
                <w:sz w:val="1"/>
                <w:szCs w:val="1"/>
                <w:color w:val="auto"/>
              </w:rPr>
            </w:pPr>
          </w:p>
        </w:tc>
      </w:tr>
      <w:tr>
        <w:trPr>
          <w:trHeight w:val="243"/>
        </w:trPr>
        <w:tc>
          <w:tcPr>
            <w:tcW w:w="67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374,871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341,270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406,854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Controlling interest shareholders'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Preferred stock, no par value; shares authorized 1,000,000; issued and outstanding,</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Pr>
          <w:p>
            <w:pPr>
              <w:ind w:left="380"/>
              <w:spacing w:after="0"/>
              <w:rPr>
                <w:sz w:val="20"/>
                <w:szCs w:val="20"/>
                <w:color w:val="auto"/>
              </w:rPr>
            </w:pPr>
            <w:r>
              <w:rPr>
                <w:rFonts w:ascii="Arial" w:cs="Arial" w:eastAsia="Arial" w:hAnsi="Arial"/>
                <w:sz w:val="18"/>
                <w:szCs w:val="18"/>
                <w:color w:val="auto"/>
                <w:w w:val="93"/>
              </w:rPr>
              <w:t>Common stock, no par value; shares authorized 40,000,000; issued and outstanding,</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20,307,463, 20,141,709, and 20,132,819.</w:t>
            </w:r>
          </w:p>
        </w:tc>
        <w:tc>
          <w:tcPr>
            <w:tcW w:w="1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20,307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20,133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168,862</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609,718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565,636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530,346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84"/>
        </w:trPr>
        <w:tc>
          <w:tcPr>
            <w:tcW w:w="6720" w:type="dxa"/>
            <w:vAlign w:val="bottom"/>
          </w:tcPr>
          <w:p>
            <w:pPr>
              <w:ind w:left="380"/>
              <w:spacing w:after="0"/>
              <w:rPr>
                <w:sz w:val="20"/>
                <w:szCs w:val="20"/>
                <w:color w:val="auto"/>
              </w:rPr>
            </w:pPr>
            <w:r>
              <w:rPr>
                <w:rFonts w:ascii="Arial" w:cs="Arial" w:eastAsia="Arial" w:hAnsi="Arial"/>
                <w:sz w:val="18"/>
                <w:szCs w:val="18"/>
                <w:color w:val="auto"/>
              </w:rPr>
              <w:t>Employee stock notes receivable</w:t>
            </w:r>
          </w:p>
        </w:tc>
        <w:tc>
          <w:tcPr>
            <w:tcW w:w="18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4"/>
        </w:trPr>
        <w:tc>
          <w:tcPr>
            <w:tcW w:w="67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controlling interest shareholders' equity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752,755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719,291</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13,654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13,521</w:t>
            </w:r>
          </w:p>
        </w:tc>
        <w:tc>
          <w:tcPr>
            <w:tcW w:w="0" w:type="dxa"/>
            <w:vAlign w:val="bottom"/>
          </w:tcPr>
          <w:p>
            <w:pPr>
              <w:spacing w:after="0"/>
              <w:rPr>
                <w:sz w:val="1"/>
                <w:szCs w:val="1"/>
                <w:color w:val="auto"/>
              </w:rPr>
            </w:pPr>
          </w:p>
        </w:tc>
      </w:tr>
      <w:tr>
        <w:trPr>
          <w:trHeight w:val="271"/>
        </w:trPr>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819,635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766,409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732,812</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1,194,506</w:t>
            </w:r>
          </w:p>
        </w:tc>
        <w:tc>
          <w:tcPr>
            <w:tcW w:w="120" w:type="dxa"/>
            <w:vAlign w:val="bottom"/>
          </w:tcPr>
          <w:p>
            <w:pPr>
              <w:spacing w:after="0"/>
              <w:rPr>
                <w:sz w:val="22"/>
                <w:szCs w:val="22"/>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1,107,679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1,139,666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400"/>
          </w:cols>
          <w:pgMar w:left="240" w:top="121" w:right="259" w:bottom="13" w:gutter="0" w:footer="0" w:header="0"/>
        </w:sectPr>
      </w:pPr>
    </w:p>
    <w:p>
      <w:pPr>
        <w:spacing w:after="0"/>
        <w:rPr>
          <w:sz w:val="20"/>
          <w:szCs w:val="20"/>
          <w:color w:val="auto"/>
        </w:rPr>
      </w:pPr>
      <w:r>
        <w:rPr>
          <w:rFonts w:ascii="Arial" w:cs="Arial" w:eastAsia="Arial" w:hAnsi="Arial"/>
          <w:sz w:val="15"/>
          <w:szCs w:val="15"/>
          <w:color w:val="auto"/>
        </w:rPr>
        <w:t>See notes to consolidated condensed financial statements.</w:t>
      </w:r>
    </w:p>
    <w:p>
      <w:pPr>
        <w:sectPr>
          <w:pgSz w:w="11900" w:h="16838" w:orient="portrait"/>
          <w:cols w:equalWidth="0" w:num="1">
            <w:col w:w="11400"/>
          </w:cols>
          <w:pgMar w:left="240" w:top="121" w:right="259" w:bottom="13"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25"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EARNINGS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ind w:left="40"/>
              <w:spacing w:after="0"/>
              <w:rPr>
                <w:sz w:val="20"/>
                <w:szCs w:val="20"/>
                <w:color w:val="auto"/>
              </w:rPr>
            </w:pPr>
            <w:r>
              <w:rPr>
                <w:rFonts w:ascii="Arial" w:cs="Arial" w:eastAsia="Arial" w:hAnsi="Arial"/>
                <w:sz w:val="18"/>
                <w:szCs w:val="18"/>
                <w:color w:val="auto"/>
              </w:rPr>
              <w:t>(in thousands, except per share data)</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40" w:type="dxa"/>
            <w:vAlign w:val="bottom"/>
            <w:gridSpan w:val="5"/>
          </w:tcPr>
          <w:p>
            <w:pPr>
              <w:ind w:left="36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3"/>
                <w:szCs w:val="23"/>
                <w:color w:val="auto"/>
              </w:rPr>
            </w:pPr>
          </w:p>
        </w:tc>
        <w:tc>
          <w:tcPr>
            <w:tcW w:w="240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June 25,</w:t>
            </w:r>
          </w:p>
        </w:tc>
        <w:tc>
          <w:tcPr>
            <w:tcW w:w="22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June 27,</w:t>
            </w: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June 25,</w:t>
            </w:r>
          </w:p>
        </w:tc>
        <w:tc>
          <w:tcPr>
            <w:tcW w:w="20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w w:val="95"/>
              </w:rPr>
              <w:t>June 27,</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6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872,093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838,171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1,471,195</w:t>
            </w:r>
          </w:p>
        </w:tc>
        <w:tc>
          <w:tcPr>
            <w:tcW w:w="0" w:type="dxa"/>
            <w:vAlign w:val="bottom"/>
          </w:tcPr>
          <w:p>
            <w:pPr>
              <w:spacing w:after="0"/>
              <w:rPr>
                <w:sz w:val="1"/>
                <w:szCs w:val="1"/>
                <w:color w:val="auto"/>
              </w:rPr>
            </w:pPr>
          </w:p>
        </w:tc>
      </w:tr>
      <w:tr>
        <w:trPr>
          <w:trHeight w:val="28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740,606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725,728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1,320,018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1,279,170</w:t>
            </w: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131,487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192,025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77,762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148,601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130,136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ON DISPOSITION AND IMPAIRMENT OF ASSETS</w:t>
            </w: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53,665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44,188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85,575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62,051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INVESTEE</w:t>
            </w: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34"/>
        </w:trPr>
        <w:tc>
          <w:tcPr>
            <w:tcW w:w="6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59,858</w:t>
            </w:r>
          </w:p>
        </w:tc>
        <w:tc>
          <w:tcPr>
            <w:tcW w:w="0" w:type="dxa"/>
            <w:vAlign w:val="bottom"/>
          </w:tcPr>
          <w:p>
            <w:pPr>
              <w:spacing w:after="0"/>
              <w:rPr>
                <w:sz w:val="1"/>
                <w:szCs w:val="1"/>
                <w:color w:val="auto"/>
              </w:rPr>
            </w:pPr>
          </w:p>
        </w:tc>
      </w:tr>
      <w:tr>
        <w:trPr>
          <w:trHeight w:val="28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18,643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16,066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29,407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22,170</w:t>
            </w: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37,688</w:t>
            </w:r>
          </w:p>
        </w:tc>
        <w:tc>
          <w:tcPr>
            <w:tcW w:w="0" w:type="dxa"/>
            <w:vAlign w:val="bottom"/>
          </w:tcPr>
          <w:p>
            <w:pPr>
              <w:spacing w:after="0"/>
              <w:rPr>
                <w:sz w:val="1"/>
                <w:szCs w:val="1"/>
                <w:color w:val="auto"/>
              </w:rPr>
            </w:pPr>
          </w:p>
        </w:tc>
      </w:tr>
      <w:tr>
        <w:trPr>
          <w:trHeight w:val="229"/>
        </w:trPr>
        <w:tc>
          <w:tcPr>
            <w:tcW w:w="6040" w:type="dxa"/>
            <w:vAlign w:val="bottom"/>
          </w:tcPr>
          <w:p>
            <w:pPr>
              <w:ind w:left="40"/>
              <w:spacing w:after="0"/>
              <w:rPr>
                <w:sz w:val="20"/>
                <w:szCs w:val="20"/>
                <w:color w:val="auto"/>
              </w:rPr>
            </w:pPr>
            <w:r>
              <w:rPr>
                <w:rFonts w:ascii="Arial" w:cs="Arial" w:eastAsia="Arial" w:hAnsi="Arial"/>
                <w:sz w:val="18"/>
                <w:szCs w:val="18"/>
                <w:color w:val="auto"/>
              </w:rPr>
              <w:t>LESS NET EARNINGS ATTRIBUTABLE TO NONCONTROLLING</w:t>
            </w:r>
          </w:p>
        </w:tc>
        <w:tc>
          <w:tcPr>
            <w:tcW w:w="22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5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CONTROLLING INTEREST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33,398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25,976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36,138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40" w:type="dxa"/>
            <w:vAlign w:val="bottom"/>
          </w:tcPr>
          <w:p>
            <w:pPr>
              <w:ind w:left="40"/>
              <w:spacing w:after="0"/>
              <w:rPr>
                <w:sz w:val="20"/>
                <w:szCs w:val="20"/>
                <w:color w:val="auto"/>
              </w:rPr>
            </w:pPr>
            <w:r>
              <w:rPr>
                <w:rFonts w:ascii="Arial" w:cs="Arial" w:eastAsia="Arial" w:hAnsi="Arial"/>
                <w:sz w:val="18"/>
                <w:szCs w:val="18"/>
                <w:color w:val="auto"/>
              </w:rPr>
              <w:t>EARNINGS PER SHARE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34,237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26,884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54,493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37,688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33,430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54,128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36,159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w:t>
            </w:r>
          </w:p>
        </w:tc>
        <w:tc>
          <w:tcPr>
            <w:tcW w:w="2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40" w:type="dxa"/>
            <w:vAlign w:val="bottom"/>
          </w:tcPr>
          <w:p>
            <w:pPr>
              <w:ind w:left="40"/>
              <w:spacing w:after="0"/>
              <w:rPr>
                <w:sz w:val="20"/>
                <w:szCs w:val="20"/>
                <w:color w:val="auto"/>
              </w:rPr>
            </w:pPr>
            <w:r>
              <w:rPr>
                <w:rFonts w:ascii="Arial" w:cs="Arial" w:eastAsia="Arial" w:hAnsi="Arial"/>
                <w:sz w:val="18"/>
                <w:szCs w:val="18"/>
                <w:color w:val="auto"/>
              </w:rPr>
              <w:t>COMPREHENSIVE INCOME ATTRIBUTABLE TO CONTROLLING</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33,195</w:t>
            </w:r>
          </w:p>
        </w:tc>
        <w:tc>
          <w:tcPr>
            <w:tcW w:w="12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25,722</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53,047</w:t>
            </w:r>
          </w:p>
        </w:tc>
        <w:tc>
          <w:tcPr>
            <w:tcW w:w="120" w:type="dxa"/>
            <w:vAlign w:val="bottom"/>
          </w:tcPr>
          <w:p>
            <w:pPr>
              <w:spacing w:after="0"/>
              <w:rPr>
                <w:sz w:val="18"/>
                <w:szCs w:val="18"/>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35,026</w:t>
            </w:r>
          </w:p>
        </w:tc>
        <w:tc>
          <w:tcPr>
            <w:tcW w:w="0" w:type="dxa"/>
            <w:vAlign w:val="bottom"/>
          </w:tcPr>
          <w:p>
            <w:pPr>
              <w:spacing w:after="0"/>
              <w:rPr>
                <w:sz w:val="1"/>
                <w:szCs w:val="1"/>
                <w:color w:val="auto"/>
              </w:rPr>
            </w:pPr>
          </w:p>
        </w:tc>
      </w:tr>
      <w:tr>
        <w:trPr>
          <w:trHeight w:val="242"/>
        </w:trPr>
        <w:tc>
          <w:tcPr>
            <w:tcW w:w="6040" w:type="dxa"/>
            <w:vAlign w:val="bottom"/>
          </w:tcPr>
          <w:p>
            <w:pPr>
              <w:ind w:left="4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share and per share data)</w:t>
      </w:r>
    </w:p>
    <w:p>
      <w:pPr>
        <w:spacing w:after="0" w:line="63"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Controlling Interest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31750</wp:posOffset>
            </wp:positionV>
            <wp:extent cx="39274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27475" cy="1714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Accumulated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Other</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Employees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Additional</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Comprehen-</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Stock</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Common</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Paid-In</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color w:val="auto"/>
              </w:rPr>
              <w:t>Retained</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sive</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Notes</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color w:val="auto"/>
                <w:w w:val="95"/>
              </w:rPr>
              <w:t>Noncontrolling</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Stock</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Capital</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Earnings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Receivable</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Interest</w:t>
            </w:r>
          </w:p>
        </w:tc>
        <w:tc>
          <w:tcPr>
            <w:tcW w:w="260" w:type="dxa"/>
            <w:vAlign w:val="bottom"/>
          </w:tcPr>
          <w:p>
            <w:pPr>
              <w:spacing w:after="0"/>
              <w:rPr>
                <w:sz w:val="17"/>
                <w:szCs w:val="17"/>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40"/>
        </w:trPr>
        <w:tc>
          <w:tcPr>
            <w:tcW w:w="27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27,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162,483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502,334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699,560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36,138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37,688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w w:val="99"/>
              </w:rPr>
              <w:t>Noncontrolling interest associated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with business acquisitions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w w:val="93"/>
              </w:rPr>
              <w:t>Purchases of noncontrolling interest</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$0.400 per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Issuance of 21,224 shares under</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employee stock plans</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75,149 shares under</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grant programs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Issuance of 53,508 shares under</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deferred compensation plans</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1,513 shares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Tax benefits from non-qualified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Expense associated with share-based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arrangements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Accrued expense under deferred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compensation plans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Payments received on employee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1"/>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notes receivable</w:t>
            </w: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June 27, 2015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20,133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168,862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530,346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227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13,521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732,812</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26, 2015</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20,142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171,562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565,636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13,654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766,409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52,611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54,493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w w:val="92"/>
              </w:rPr>
              <w:t>Unrealized gain (loss) on investment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&amp; foreign currency</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w w:val="93"/>
              </w:rPr>
              <w:t>Purchases of noncontrolling interest</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$0.420 per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Issuance of 3,708 shares under</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employee stock plans</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Issuance of 114,132 shares under</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grant programs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Issuance of 47,914 shares under</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deferred compensation plans</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Expense associated with share-based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arrangements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Accrued expense under deferred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3,943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compensation plans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25, 2016</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20,307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182,710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609,718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11,049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819,635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121" w:right="239" w:bottom="975"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975"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4"/>
          </w:tcPr>
          <w:p>
            <w:pPr>
              <w:jc w:val="right"/>
              <w:ind w:right="8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34"/>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June 25,</w:t>
            </w:r>
          </w:p>
        </w:tc>
        <w:tc>
          <w:tcPr>
            <w:tcW w:w="300" w:type="dxa"/>
            <w:vAlign w:val="bottom"/>
          </w:tcPr>
          <w:p>
            <w:pPr>
              <w:spacing w:after="0"/>
              <w:rPr>
                <w:sz w:val="19"/>
                <w:szCs w:val="19"/>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June 27,</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82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37,688</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18,406</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associated with share-based compensation arrangements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Excess tax benefits from share-based compensation arrangements</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associated with stock grant plans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investee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Net loss (gain) on disposition and impairment of assets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(95,198)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(104,929)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9,806</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Accounts payable and cash overdraft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45,798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 and other</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20,439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27,625</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NET CASH FROM OPERATING ACTIVITIES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36,822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(27,756)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Acquisitions, net of cash received</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remaining noncontrolling interest of subsidiary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Advances of notes receivable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Collections on notes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restricted as to use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(26,898)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Borrowings under revolving credit facilities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259,734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under revolving credit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(235,993)</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Dividends paid to shareholders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15,112</w:t>
            </w:r>
          </w:p>
        </w:tc>
        <w:tc>
          <w:tcPr>
            <w:tcW w:w="0" w:type="dxa"/>
            <w:vAlign w:val="bottom"/>
          </w:tcPr>
          <w:p>
            <w:pPr>
              <w:spacing w:after="0"/>
              <w:rPr>
                <w:sz w:val="1"/>
                <w:szCs w:val="1"/>
                <w:color w:val="auto"/>
              </w:rPr>
            </w:pPr>
          </w:p>
        </w:tc>
      </w:tr>
      <w:tr>
        <w:trPr>
          <w:trHeight w:val="28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24,756</w:t>
            </w:r>
          </w:p>
        </w:tc>
        <w:tc>
          <w:tcPr>
            <w:tcW w:w="0" w:type="dxa"/>
            <w:vAlign w:val="bottom"/>
          </w:tcPr>
          <w:p>
            <w:pPr>
              <w:spacing w:after="0"/>
              <w:rPr>
                <w:sz w:val="1"/>
                <w:szCs w:val="1"/>
                <w:color w:val="auto"/>
              </w:rPr>
            </w:pPr>
          </w:p>
        </w:tc>
      </w:tr>
      <w:tr>
        <w:trPr>
          <w:trHeight w:val="28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87,756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87,517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24,756</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40"/>
              <w:spacing w:after="0"/>
              <w:rPr>
                <w:sz w:val="20"/>
                <w:szCs w:val="20"/>
                <w:color w:val="auto"/>
              </w:rPr>
            </w:pPr>
            <w:r>
              <w:rPr>
                <w:rFonts w:ascii="Arial" w:cs="Arial" w:eastAsia="Arial" w:hAnsi="Arial"/>
                <w:sz w:val="18"/>
                <w:szCs w:val="18"/>
                <w:color w:val="auto"/>
              </w:rPr>
              <w:t>SUPPLEMENTAL INFORMATION:</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19,789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Notes receivable exchanged for property</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Common stock issued under deferred compensation plans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43"/>
        </w:trPr>
        <w:tc>
          <w:tcPr>
            <w:tcW w:w="8240" w:type="dxa"/>
            <w:vAlign w:val="bottom"/>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4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44"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88"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26, 2015.</w:t>
      </w:r>
    </w:p>
    <w:p>
      <w:pPr>
        <w:spacing w:after="0" w:line="186"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June 27, 2015 balances in the accompanying unaudited consolidated condensed balance sheets.</w:t>
      </w:r>
    </w:p>
    <w:p>
      <w:pPr>
        <w:spacing w:after="0" w:line="182" w:lineRule="exact"/>
        <w:rPr>
          <w:rFonts w:ascii="Arial" w:cs="Arial" w:eastAsia="Arial" w:hAnsi="Arial"/>
          <w:sz w:val="18"/>
          <w:szCs w:val="18"/>
          <w:b w:val="1"/>
          <w:bCs w:val="1"/>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June 25, 2016</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27, 2015</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4"/>
        </w:trPr>
        <w:tc>
          <w:tcPr>
            <w:tcW w:w="3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9"/>
        </w:trPr>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Quoted</w:t>
            </w:r>
          </w:p>
        </w:tc>
        <w:tc>
          <w:tcPr>
            <w:tcW w:w="12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Prices with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Quoted</w:t>
            </w:r>
          </w:p>
        </w:tc>
        <w:tc>
          <w:tcPr>
            <w:tcW w:w="14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Prices with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Prices in</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Prices in</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Other</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Active</w:t>
            </w: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Observable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Active</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Observable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Markets</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Markets</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Inputs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1"/>
        </w:trPr>
        <w:tc>
          <w:tcPr>
            <w:tcW w:w="306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3"/>
                <w:szCs w:val="2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2)</w:t>
            </w:r>
          </w:p>
        </w:tc>
        <w:tc>
          <w:tcPr>
            <w:tcW w:w="260" w:type="dxa"/>
            <w:vAlign w:val="bottom"/>
          </w:tcPr>
          <w:p>
            <w:pPr>
              <w:spacing w:after="0"/>
              <w:rPr>
                <w:sz w:val="23"/>
                <w:szCs w:val="23"/>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3"/>
                <w:szCs w:val="2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1)</w:t>
            </w:r>
          </w:p>
        </w:tc>
        <w:tc>
          <w:tcPr>
            <w:tcW w:w="140" w:type="dxa"/>
            <w:vAlign w:val="bottom"/>
          </w:tcPr>
          <w:p>
            <w:pPr>
              <w:spacing w:after="0"/>
              <w:rPr>
                <w:sz w:val="23"/>
                <w:szCs w:val="23"/>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2)</w:t>
            </w:r>
          </w:p>
        </w:tc>
        <w:tc>
          <w:tcPr>
            <w:tcW w:w="260" w:type="dxa"/>
            <w:vAlign w:val="bottom"/>
          </w:tcPr>
          <w:p>
            <w:pPr>
              <w:spacing w:after="0"/>
              <w:rPr>
                <w:sz w:val="23"/>
                <w:szCs w:val="23"/>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44"/>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6,162</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Fixed income funds</w:t>
            </w: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4,318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Domestic stock funds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r>
      <w:tr>
        <w:trPr>
          <w:trHeight w:val="243"/>
        </w:trPr>
        <w:tc>
          <w:tcPr>
            <w:tcW w:w="3060" w:type="dxa"/>
            <w:vAlign w:val="bottom"/>
          </w:tcPr>
          <w:p>
            <w:pPr>
              <w:ind w:left="160"/>
              <w:spacing w:after="0"/>
              <w:rPr>
                <w:sz w:val="20"/>
                <w:szCs w:val="20"/>
                <w:color w:val="auto"/>
              </w:rPr>
            </w:pPr>
            <w:r>
              <w:rPr>
                <w:rFonts w:ascii="Arial" w:cs="Arial" w:eastAsia="Arial" w:hAnsi="Arial"/>
                <w:sz w:val="18"/>
                <w:szCs w:val="18"/>
                <w:color w:val="auto"/>
              </w:rPr>
              <w:t>International stock funds</w:t>
            </w: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w:t>
            </w:r>
          </w:p>
        </w:tc>
      </w:tr>
      <w:tr>
        <w:trPr>
          <w:trHeight w:val="27"/>
        </w:trPr>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Target funds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r>
      <w:tr>
        <w:trPr>
          <w:trHeight w:val="243"/>
        </w:trPr>
        <w:tc>
          <w:tcPr>
            <w:tcW w:w="3060" w:type="dxa"/>
            <w:vAlign w:val="bottom"/>
          </w:tcPr>
          <w:p>
            <w:pPr>
              <w:ind w:left="160"/>
              <w:spacing w:after="0"/>
              <w:rPr>
                <w:sz w:val="20"/>
                <w:szCs w:val="20"/>
                <w:color w:val="auto"/>
              </w:rPr>
            </w:pPr>
            <w:r>
              <w:rPr>
                <w:rFonts w:ascii="Arial" w:cs="Arial" w:eastAsia="Arial" w:hAnsi="Arial"/>
                <w:sz w:val="18"/>
                <w:szCs w:val="18"/>
                <w:color w:val="auto"/>
              </w:rPr>
              <w:t>Bond funds</w:t>
            </w: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173</w:t>
            </w:r>
          </w:p>
        </w:tc>
      </w:tr>
      <w:tr>
        <w:trPr>
          <w:trHeight w:val="34"/>
        </w:trPr>
        <w:tc>
          <w:tcPr>
            <w:tcW w:w="3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r>
      <w:tr>
        <w:trPr>
          <w:trHeight w:val="243"/>
        </w:trPr>
        <w:tc>
          <w:tcPr>
            <w:tcW w:w="3060" w:type="dxa"/>
            <w:vAlign w:val="bottom"/>
          </w:tcPr>
          <w:p>
            <w:pPr>
              <w:ind w:left="160"/>
              <w:spacing w:after="0"/>
              <w:rPr>
                <w:sz w:val="20"/>
                <w:szCs w:val="20"/>
                <w:color w:val="auto"/>
              </w:rPr>
            </w:pPr>
            <w:r>
              <w:rPr>
                <w:rFonts w:ascii="Arial" w:cs="Arial" w:eastAsia="Arial" w:hAnsi="Arial"/>
                <w:sz w:val="18"/>
                <w:szCs w:val="18"/>
                <w:color w:val="auto"/>
              </w:rPr>
              <w:t>Assets at fair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8,199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11,088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6,896</w:t>
            </w:r>
          </w:p>
        </w:tc>
      </w:tr>
      <w:tr>
        <w:trPr>
          <w:trHeight w:val="27"/>
        </w:trPr>
        <w:tc>
          <w:tcPr>
            <w:tcW w:w="3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 xml:space="preserve">We maintain money market, mutual funds, bonds, and/or stocks in our non-qualified deferred compensation plan and our wholly owned licensed captive insurance company. These funds are valued at prices quoted in an active exchange market and are included in "Cash and Cash Equivalents", "Investments", and "Other Assets". We have elected not to apply the fair value option under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to any of our financial instruments except for those expressly required by U.S. GAAP.</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maintain any Level 3 assets or liabilities at June 25, 2016 or June 27,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left="500" w:right="180"/>
        <w:spacing w:after="0" w:line="308" w:lineRule="auto"/>
        <w:rPr>
          <w:sz w:val="20"/>
          <w:szCs w:val="20"/>
          <w:color w:val="auto"/>
        </w:rPr>
      </w:pPr>
      <w:r>
        <w:rPr>
          <w:rFonts w:ascii="Arial" w:cs="Arial" w:eastAsia="Arial" w:hAnsi="Arial"/>
          <w:sz w:val="17"/>
          <w:szCs w:val="17"/>
          <w:color w:val="auto"/>
        </w:rPr>
        <w:t>In accordance with our investment policy, our wholly-owned captive, Ardellis Insurance Ltd. ("Ardellis"), maintains an investment portfolio, totaling $9.7 million as of June 25, 2016, consisting of mutual funds, domestic and international stocks, and fixed income bonds.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Ardellis' available for sale investment portfolio consists of the following:</w:t>
      </w:r>
    </w:p>
    <w:p>
      <w:pPr>
        <w:spacing w:after="0" w:line="383" w:lineRule="exact"/>
        <w:rPr>
          <w:sz w:val="20"/>
          <w:szCs w:val="20"/>
          <w:color w:val="auto"/>
        </w:rPr>
      </w:pPr>
    </w:p>
    <w:tbl>
      <w:tblPr>
        <w:tblLayout w:type="fixed"/>
        <w:tblInd w:w="232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Unrealized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17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Cost</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Gain/(Loss)</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 Value</w:t>
            </w:r>
          </w:p>
        </w:tc>
      </w:tr>
      <w:tr>
        <w:trPr>
          <w:trHeight w:val="34"/>
        </w:trPr>
        <w:tc>
          <w:tcPr>
            <w:tcW w:w="17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Equity</w:t>
            </w:r>
          </w:p>
        </w:tc>
        <w:tc>
          <w:tcPr>
            <w:tcW w:w="1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4,751</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4,944</w:t>
            </w:r>
          </w:p>
        </w:tc>
      </w:tr>
      <w:tr>
        <w:trPr>
          <w:trHeight w:val="27"/>
        </w:trPr>
        <w:tc>
          <w:tcPr>
            <w:tcW w:w="1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4"/>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1740" w:type="dxa"/>
            <w:vAlign w:val="bottom"/>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9,740</w:t>
            </w:r>
          </w:p>
        </w:tc>
      </w:tr>
      <w:tr>
        <w:trPr>
          <w:trHeight w:val="20"/>
        </w:trPr>
        <w:tc>
          <w:tcPr>
            <w:tcW w:w="1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Our Fixed Income investments consist of short, intermediate, and long term bonds, as well as fixed blend bonds. Within the fixed income investments, we maintain a specific mixture of US treasury notes, US agency mortgage backed securities, private label mortgage backed securities, and various corporate securities. Our equity investments consist of small, mid, and large cap growth and value funds, as well as international equity. The net pre-tax effect unrealized gain was $225 thousand. Carrying amounts above are recorded in the investments line item within the balance sheet as of June 25, 2016. During 2016, Ardellis investments reported a net realized loss of 26 thousand, which was recorded in interest income on the statement of earnings.</w:t>
      </w:r>
    </w:p>
    <w:p>
      <w:pPr>
        <w:spacing w:after="0" w:line="200" w:lineRule="exact"/>
        <w:rPr>
          <w:sz w:val="20"/>
          <w:szCs w:val="20"/>
          <w:color w:val="auto"/>
        </w:rPr>
      </w:pPr>
    </w:p>
    <w:p>
      <w:pPr>
        <w:spacing w:after="0" w:line="20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5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Revenue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123" w:lineRule="exact"/>
        <w:rPr>
          <w:rFonts w:ascii="Arial" w:cs="Arial" w:eastAsia="Arial" w:hAnsi="Arial"/>
          <w:sz w:val="18"/>
          <w:szCs w:val="18"/>
          <w:b w:val="1"/>
          <w:bCs w:val="1"/>
          <w:color w:val="auto"/>
        </w:rPr>
      </w:pPr>
    </w:p>
    <w:p>
      <w:pPr>
        <w:jc w:val="both"/>
        <w:ind w:left="5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Earnings on construction contracts are reflected in operations using percentage-of-completion accounting, under either cost to cost or units of delivery methods,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Construction contract revenue decreased to approximately $30.9 million, during the second quarter of 2016, from $33.9 million during the same period of 2015. Construction contract revenue was approximately $61.4 million and $58.7 million through the first six months of 2016 and 2015, respectively.</w:t>
      </w:r>
    </w:p>
    <w:p>
      <w:pPr>
        <w:spacing w:after="0" w:line="181" w:lineRule="exact"/>
        <w:rPr>
          <w:rFonts w:ascii="Arial" w:cs="Arial" w:eastAsia="Arial" w:hAnsi="Arial"/>
          <w:sz w:val="18"/>
          <w:szCs w:val="18"/>
          <w:b w:val="1"/>
          <w:bCs w:val="1"/>
          <w:color w:val="auto"/>
        </w:rPr>
      </w:pPr>
    </w:p>
    <w:p>
      <w:pPr>
        <w:jc w:val="both"/>
        <w:ind w:left="5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65"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June 25, 2016</w:t>
            </w: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6"/>
              </w:rPr>
              <w:t>December 26, 2015</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June 27, 2015</w:t>
            </w:r>
          </w:p>
        </w:tc>
      </w:tr>
      <w:tr>
        <w:trPr>
          <w:trHeight w:val="34"/>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and Earnings in Excess of Billings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Billings in Excess of Cost and Earnings</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3,347</w:t>
            </w:r>
          </w:p>
        </w:tc>
      </w:tr>
    </w:tbl>
    <w:p>
      <w:pPr>
        <w:spacing w:after="0" w:line="22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ind w:left="4060"/>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earnings per share (“EPS”) is as follows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5"/>
          </w:tcPr>
          <w:p>
            <w:pPr>
              <w:ind w:left="62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34"/>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June 25, 2016</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June 27, 2015</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June 25, 2016</w:t>
            </w:r>
          </w:p>
        </w:tc>
        <w:tc>
          <w:tcPr>
            <w:tcW w:w="18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June 27, 2015</w:t>
            </w:r>
          </w:p>
        </w:tc>
        <w:tc>
          <w:tcPr>
            <w:tcW w:w="0" w:type="dxa"/>
            <w:vAlign w:val="bottom"/>
          </w:tcPr>
          <w:p>
            <w:pPr>
              <w:spacing w:after="0"/>
              <w:rPr>
                <w:sz w:val="1"/>
                <w:szCs w:val="1"/>
                <w:color w:val="auto"/>
              </w:rPr>
            </w:pPr>
          </w:p>
        </w:tc>
      </w:tr>
      <w:tr>
        <w:trPr>
          <w:trHeight w:val="34"/>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36,138</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2"/>
              </w:rPr>
              <w:t>Adjustment for earnings allocated to non-vested restricted common</w:t>
            </w:r>
          </w:p>
        </w:tc>
        <w:tc>
          <w:tcPr>
            <w:tcW w:w="18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for calculating EPS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Adjustment for non-vested restricted common stock</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for calculating basic EPS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19,889</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Effect of dilutive stock options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for calculating diluted EPS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options were excluded from the computation of diluted EPS for the quarters ended June 25, 2016 or June 27, 2015.</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E.</w:t>
        <w:tab/>
        <w:t>COMMITMENTS, CONTINGENCIES, AND GUARANTEES</w:t>
      </w:r>
    </w:p>
    <w:p>
      <w:pPr>
        <w:spacing w:after="0" w:line="22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Auburndale, FL; and Medley, FL. In addition, a reserve was established for our facility in Thornton, CA to remove certain lead containing materials which existed on the property at the time of purchase.</w:t>
      </w:r>
    </w:p>
    <w:p>
      <w:pPr>
        <w:spacing w:after="0" w:line="178"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On a consolidated basis, we have reserved approximately $3.4 million on June 25, 2016 and June 27, 2015, representing the estimated costs to complete future remediation efforts. These amounts have not been reduced by an insurance receivable.</w:t>
      </w:r>
    </w:p>
    <w:p>
      <w:pPr>
        <w:spacing w:after="0" w:line="170"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Many of our wood treating operations utilize "Subpart W" drip pads, defined as hazardous waste management units by the Environmental Protection Agency. The rules regulating drip pads require that a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$0.6 million. As a result, this amount is recorded in other long-term liabilities on June 25, 2016.</w:t>
      </w:r>
    </w:p>
    <w:p>
      <w:pPr>
        <w:spacing w:after="0" w:line="189"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In February 2014, one of our operations was served with a federal grand jury subpoena from the Southern District of New York. The subpoena was issued in connection with an investigation being conducted by the US Attorney's Office for the Southern District of New York. The subpoena requested documents relating to a developer and construction projects for which our operation had provided materials and labor. Following receipt of the subpoena, the Audit Committee of the Company’s Board of Directors retained outside counsel to conduct an internal investigation and respond to the subpoena. The Company cooperated in all respects with the US Attorney's Office, complied with this subpoena and voluntarily provided additional information. As a result of the internal investigation, in April 2014, two Company employees were terminated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for violating the Company’s Code of Conduct and Business Ethics. In May 2015, those ex-employees were indicted by the grand jury. In April 2016, one of the two former employees pled guilty to four of the charges included in the indictment. In May 2016, the other former employee was found guilty by a jury on four of the charges included in the indictment. The Company has not been named as a target and continues to cooperate with the US Attorney's Office in this matter; however, because of the duration and unique nature of this proceeding, any potential, adverse financial implications to the Company are uncertain.</w:t>
      </w:r>
    </w:p>
    <w:p>
      <w:pPr>
        <w:spacing w:after="0" w:line="188"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In addition, on June 25, 2016,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June 25, 2016, we had outstanding purchase commitments on commenced capital projects of approximately $19.0 million.</w:t>
      </w:r>
    </w:p>
    <w:p>
      <w:pPr>
        <w:spacing w:after="0" w:line="225"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affect on our consolidated financial statements.</w:t>
      </w:r>
    </w:p>
    <w:p>
      <w:pPr>
        <w:spacing w:after="0" w:line="187"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June 25, 2016 we had no outstanding payment and performance bonds for open projects. We had approximately $1.7 million in payment and performance bonds outstanding for completed projects which are still under warranty.</w:t>
      </w:r>
    </w:p>
    <w:p>
      <w:pPr>
        <w:spacing w:after="0" w:line="173"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On June 25, 2016, we had outstanding letters of credit totaling $25.5 million, primarily related to certain insurance contracts and industrial development revenue bonds described further below.</w:t>
      </w:r>
    </w:p>
    <w:p>
      <w:pPr>
        <w:spacing w:after="0" w:line="170" w:lineRule="exact"/>
        <w:rPr>
          <w:sz w:val="20"/>
          <w:szCs w:val="20"/>
          <w:color w:val="auto"/>
        </w:rPr>
      </w:pPr>
    </w:p>
    <w:p>
      <w:pPr>
        <w:jc w:val="both"/>
        <w:ind w:left="500"/>
        <w:spacing w:after="0" w:line="312"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We currently have irrevocable letters of credit outstanding totaling approximately $15.7 million for these types of insurance arrangements. We have reserves recorded on our balance sheet, in accrued liabilities, that reflect our expected future liabilities under these insurance arrangements.</w:t>
      </w:r>
    </w:p>
    <w:p>
      <w:pPr>
        <w:spacing w:after="0" w:line="14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7" w:lineRule="exact"/>
        <w:rPr>
          <w:sz w:val="20"/>
          <w:szCs w:val="20"/>
          <w:color w:val="auto"/>
        </w:rPr>
      </w:pPr>
    </w:p>
    <w:p>
      <w:pPr>
        <w:jc w:val="both"/>
        <w:ind w:left="500" w:right="20"/>
        <w:spacing w:after="0" w:line="286"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2012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66"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We did not enter into any new guarantee arrangements during the second quarter of 2016 which would require us to recognize a liability on our balance sheet.</w:t>
      </w:r>
    </w:p>
    <w:p>
      <w:pPr>
        <w:spacing w:after="0" w:line="166"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We completed the following acquisitions in fiscal 2016 and 2015 which were accounted for using the purchase method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20" w:type="dxa"/>
            <w:vAlign w:val="bottom"/>
            <w:tcBorders>
              <w:top w:val="single" w:sz="8" w:color="auto"/>
              <w:left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840" w:type="dxa"/>
            <w:vAlign w:val="bottom"/>
            <w:tcBorders>
              <w:top w:val="single" w:sz="8" w:color="auto"/>
              <w:right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Intangible</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Net Tangible</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Operating</w:t>
            </w:r>
          </w:p>
        </w:tc>
        <w:tc>
          <w:tcPr>
            <w:tcW w:w="27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Company Name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Acquisition Date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 Price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2720" w:type="dxa"/>
            <w:vAlign w:val="bottom"/>
            <w:tcBorders>
              <w:right w:val="single" w:sz="8" w:color="auto"/>
            </w:tcBorders>
          </w:tcPr>
          <w:p>
            <w:pPr>
              <w:ind w:left="540"/>
              <w:spacing w:after="0"/>
              <w:rPr>
                <w:sz w:val="20"/>
                <w:szCs w:val="20"/>
                <w:color w:val="auto"/>
              </w:rPr>
            </w:pPr>
            <w:r>
              <w:rPr>
                <w:rFonts w:ascii="Arial" w:cs="Arial" w:eastAsia="Arial" w:hAnsi="Arial"/>
                <w:sz w:val="18"/>
                <w:szCs w:val="18"/>
                <w:b w:val="1"/>
                <w:bCs w:val="1"/>
                <w:color w:val="auto"/>
              </w:rPr>
              <w:t>Business Description</w:t>
            </w: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420" w:type="dxa"/>
            <w:vAlign w:val="bottom"/>
            <w:tcBorders>
              <w:left w:val="single" w:sz="8" w:color="auto"/>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24,</w:t>
            </w:r>
          </w:p>
        </w:tc>
        <w:tc>
          <w:tcPr>
            <w:tcW w:w="1840" w:type="dxa"/>
            <w:vAlign w:val="bottom"/>
            <w:tcBorders>
              <w:right w:val="single" w:sz="8" w:color="auto"/>
            </w:tcBorders>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spacing w:after="0"/>
              <w:rPr>
                <w:sz w:val="19"/>
                <w:szCs w:val="19"/>
                <w:color w:val="auto"/>
              </w:rPr>
            </w:pPr>
          </w:p>
        </w:tc>
        <w:tc>
          <w:tcPr>
            <w:tcW w:w="138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 supplier of industrial packaging</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Packnet Ltd</w:t>
            </w:r>
          </w:p>
        </w:tc>
        <w:tc>
          <w:tcPr>
            <w:tcW w:w="14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$9,383</w:t>
            </w:r>
          </w:p>
        </w:tc>
        <w:tc>
          <w:tcPr>
            <w:tcW w:w="136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and services based in Eagan, MN.</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(majority interest)</w:t>
            </w:r>
          </w:p>
        </w:tc>
        <w:tc>
          <w:tcPr>
            <w:tcW w:w="1840" w:type="dxa"/>
            <w:vAlign w:val="bottom"/>
            <w:tcBorders>
              <w:right w:val="single" w:sz="8" w:color="auto"/>
            </w:tcBorders>
            <w:vMerge w:val="continue"/>
            <w:shd w:val="clear" w:color="auto" w:fill="CCEEFF"/>
          </w:tcPr>
          <w:p>
            <w:pPr>
              <w:spacing w:after="0"/>
              <w:rPr>
                <w:sz w:val="9"/>
                <w:szCs w:val="9"/>
                <w:color w:val="auto"/>
              </w:rPr>
            </w:pPr>
          </w:p>
        </w:tc>
        <w:tc>
          <w:tcPr>
            <w:tcW w:w="13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$7,885</w:t>
            </w: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$1,498</w:t>
            </w: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West</w:t>
            </w:r>
          </w:p>
        </w:tc>
        <w:tc>
          <w:tcPr>
            <w:tcW w:w="27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Packnet had annual sales of $9.6</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(“Packnet”)</w:t>
            </w:r>
          </w:p>
        </w:tc>
        <w:tc>
          <w:tcPr>
            <w:tcW w:w="1480" w:type="dxa"/>
            <w:vAlign w:val="bottom"/>
            <w:tcBorders>
              <w:right w:val="single" w:sz="8" w:color="auto"/>
            </w:tcBorders>
            <w:vMerge w:val="continue"/>
            <w:shd w:val="clear" w:color="auto" w:fill="CCEEFF"/>
          </w:tcPr>
          <w:p>
            <w:pPr>
              <w:spacing w:after="0"/>
              <w:rPr>
                <w:sz w:val="9"/>
                <w:szCs w:val="9"/>
                <w:color w:val="auto"/>
              </w:rPr>
            </w:pPr>
          </w:p>
        </w:tc>
        <w:tc>
          <w:tcPr>
            <w:tcW w:w="1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cash paid for asset</w:t>
            </w:r>
          </w:p>
        </w:tc>
        <w:tc>
          <w:tcPr>
            <w:tcW w:w="1360" w:type="dxa"/>
            <w:vAlign w:val="bottom"/>
            <w:tcBorders>
              <w:right w:val="single" w:sz="8" w:color="auto"/>
            </w:tcBorders>
            <w:vMerge w:val="continue"/>
            <w:shd w:val="clear" w:color="auto" w:fill="CCEEFF"/>
          </w:tcPr>
          <w:p>
            <w:pPr>
              <w:spacing w:after="0"/>
              <w:rPr>
                <w:sz w:val="9"/>
                <w:szCs w:val="9"/>
                <w:color w:val="auto"/>
              </w:rPr>
            </w:pPr>
          </w:p>
        </w:tc>
        <w:tc>
          <w:tcPr>
            <w:tcW w:w="1380" w:type="dxa"/>
            <w:vAlign w:val="bottom"/>
            <w:tcBorders>
              <w:right w:val="single" w:sz="8" w:color="auto"/>
            </w:tcBorders>
            <w:vMerge w:val="continue"/>
            <w:shd w:val="clear" w:color="auto" w:fill="CCEEFF"/>
          </w:tcPr>
          <w:p>
            <w:pPr>
              <w:spacing w:after="0"/>
              <w:rPr>
                <w:sz w:val="9"/>
                <w:szCs w:val="9"/>
                <w:color w:val="auto"/>
              </w:rPr>
            </w:pPr>
          </w:p>
        </w:tc>
        <w:tc>
          <w:tcPr>
            <w:tcW w:w="1240" w:type="dxa"/>
            <w:vAlign w:val="bottom"/>
            <w:tcBorders>
              <w:right w:val="single" w:sz="8" w:color="auto"/>
            </w:tcBorders>
            <w:vMerge w:val="continue"/>
            <w:shd w:val="clear" w:color="auto" w:fill="CCEEFF"/>
          </w:tcPr>
          <w:p>
            <w:pPr>
              <w:spacing w:after="0"/>
              <w:rPr>
                <w:sz w:val="9"/>
                <w:szCs w:val="9"/>
                <w:color w:val="auto"/>
              </w:rPr>
            </w:pPr>
          </w:p>
        </w:tc>
        <w:tc>
          <w:tcPr>
            <w:tcW w:w="27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April 15, 2016</w:t>
            </w:r>
          </w:p>
        </w:tc>
        <w:tc>
          <w:tcPr>
            <w:tcW w:w="1840" w:type="dxa"/>
            <w:vAlign w:val="bottom"/>
            <w:tcBorders>
              <w:right w:val="single" w:sz="8" w:color="auto"/>
            </w:tcBorders>
            <w:vMerge w:val="continue"/>
            <w:shd w:val="clear" w:color="auto" w:fill="CCEEFF"/>
          </w:tcPr>
          <w:p>
            <w:pPr>
              <w:spacing w:after="0"/>
              <w:rPr>
                <w:sz w:val="9"/>
                <w:szCs w:val="9"/>
                <w:color w:val="auto"/>
              </w:rPr>
            </w:pPr>
          </w:p>
        </w:tc>
        <w:tc>
          <w:tcPr>
            <w:tcW w:w="1360" w:type="dxa"/>
            <w:vAlign w:val="bottom"/>
            <w:tcBorders>
              <w:right w:val="single" w:sz="8" w:color="auto"/>
            </w:tcBorders>
            <w:shd w:val="clear" w:color="auto" w:fill="CCEEFF"/>
          </w:tcPr>
          <w:p>
            <w:pPr>
              <w:spacing w:after="0"/>
              <w:rPr>
                <w:sz w:val="9"/>
                <w:szCs w:val="9"/>
                <w:color w:val="auto"/>
              </w:rPr>
            </w:pPr>
          </w:p>
        </w:tc>
        <w:tc>
          <w:tcPr>
            <w:tcW w:w="1380" w:type="dxa"/>
            <w:vAlign w:val="bottom"/>
            <w:tcBorders>
              <w:right w:val="single" w:sz="8" w:color="auto"/>
            </w:tcBorders>
            <w:shd w:val="clear" w:color="auto" w:fill="CCEEFF"/>
          </w:tcPr>
          <w:p>
            <w:pPr>
              <w:spacing w:after="0"/>
              <w:rPr>
                <w:sz w:val="9"/>
                <w:szCs w:val="9"/>
                <w:color w:val="auto"/>
              </w:rPr>
            </w:pPr>
          </w:p>
        </w:tc>
        <w:tc>
          <w:tcPr>
            <w:tcW w:w="1240" w:type="dxa"/>
            <w:vAlign w:val="bottom"/>
            <w:tcBorders>
              <w:right w:val="single" w:sz="8" w:color="auto"/>
            </w:tcBorders>
            <w:shd w:val="clear" w:color="auto" w:fill="CCEEFF"/>
          </w:tcPr>
          <w:p>
            <w:pPr>
              <w:spacing w:after="0"/>
              <w:rPr>
                <w:sz w:val="9"/>
                <w:szCs w:val="9"/>
                <w:color w:val="auto"/>
              </w:rPr>
            </w:pPr>
          </w:p>
        </w:tc>
        <w:tc>
          <w:tcPr>
            <w:tcW w:w="27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shd w:val="clear" w:color="auto" w:fill="CCEEFF"/>
          </w:tcPr>
          <w:p>
            <w:pPr>
              <w:spacing w:after="0"/>
              <w:rPr>
                <w:sz w:val="9"/>
                <w:szCs w:val="9"/>
                <w:color w:val="auto"/>
              </w:rPr>
            </w:pPr>
          </w:p>
        </w:tc>
        <w:tc>
          <w:tcPr>
            <w:tcW w:w="1480" w:type="dxa"/>
            <w:vAlign w:val="bottom"/>
            <w:tcBorders>
              <w:right w:val="single" w:sz="8" w:color="auto"/>
            </w:tcBorders>
            <w:vMerge w:val="continue"/>
            <w:shd w:val="clear" w:color="auto" w:fill="CCEEFF"/>
          </w:tcPr>
          <w:p>
            <w:pPr>
              <w:spacing w:after="0"/>
              <w:rPr>
                <w:sz w:val="9"/>
                <w:szCs w:val="9"/>
                <w:color w:val="auto"/>
              </w:rPr>
            </w:pPr>
          </w:p>
        </w:tc>
        <w:tc>
          <w:tcPr>
            <w:tcW w:w="1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360" w:type="dxa"/>
            <w:vAlign w:val="bottom"/>
            <w:tcBorders>
              <w:right w:val="single" w:sz="8" w:color="auto"/>
            </w:tcBorders>
            <w:shd w:val="clear" w:color="auto" w:fill="CCEEFF"/>
          </w:tcPr>
          <w:p>
            <w:pPr>
              <w:spacing w:after="0"/>
              <w:rPr>
                <w:sz w:val="9"/>
                <w:szCs w:val="9"/>
                <w:color w:val="auto"/>
              </w:rPr>
            </w:pPr>
          </w:p>
        </w:tc>
        <w:tc>
          <w:tcPr>
            <w:tcW w:w="1380" w:type="dxa"/>
            <w:vAlign w:val="bottom"/>
            <w:tcBorders>
              <w:right w:val="single" w:sz="8" w:color="auto"/>
            </w:tcBorders>
            <w:shd w:val="clear" w:color="auto" w:fill="CCEEFF"/>
          </w:tcPr>
          <w:p>
            <w:pPr>
              <w:spacing w:after="0"/>
              <w:rPr>
                <w:sz w:val="9"/>
                <w:szCs w:val="9"/>
                <w:color w:val="auto"/>
              </w:rPr>
            </w:pPr>
          </w:p>
        </w:tc>
        <w:tc>
          <w:tcPr>
            <w:tcW w:w="1240" w:type="dxa"/>
            <w:vAlign w:val="bottom"/>
            <w:tcBorders>
              <w:right w:val="single" w:sz="8" w:color="auto"/>
            </w:tcBorders>
            <w:shd w:val="clear" w:color="auto" w:fill="CCEEFF"/>
          </w:tcPr>
          <w:p>
            <w:pPr>
              <w:spacing w:after="0"/>
              <w:rPr>
                <w:sz w:val="9"/>
                <w:szCs w:val="9"/>
                <w:color w:val="auto"/>
              </w:rPr>
            </w:pPr>
          </w:p>
        </w:tc>
        <w:tc>
          <w:tcPr>
            <w:tcW w:w="27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auto"/>
              <w:right w:val="single" w:sz="8" w:color="auto"/>
            </w:tcBorders>
            <w:shd w:val="clear" w:color="auto" w:fill="CCEEFF"/>
          </w:tcPr>
          <w:p>
            <w:pPr>
              <w:spacing w:after="0"/>
              <w:rPr>
                <w:sz w:val="10"/>
                <w:szCs w:val="10"/>
                <w:color w:val="auto"/>
              </w:rPr>
            </w:pP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(minority interest)</w:t>
            </w:r>
          </w:p>
        </w:tc>
        <w:tc>
          <w:tcPr>
            <w:tcW w:w="1840" w:type="dxa"/>
            <w:vAlign w:val="bottom"/>
            <w:tcBorders>
              <w:right w:val="single" w:sz="8" w:color="auto"/>
            </w:tcBorders>
            <w:vMerge w:val="continue"/>
            <w:shd w:val="clear" w:color="auto" w:fill="CCEEFF"/>
          </w:tcPr>
          <w:p>
            <w:pPr>
              <w:spacing w:after="0"/>
              <w:rPr>
                <w:sz w:val="10"/>
                <w:szCs w:val="10"/>
                <w:color w:val="auto"/>
              </w:rPr>
            </w:pPr>
          </w:p>
        </w:tc>
        <w:tc>
          <w:tcPr>
            <w:tcW w:w="1360" w:type="dxa"/>
            <w:vAlign w:val="bottom"/>
            <w:tcBorders>
              <w:right w:val="single" w:sz="8" w:color="auto"/>
            </w:tcBorders>
            <w:shd w:val="clear" w:color="auto" w:fill="CCEEFF"/>
          </w:tcPr>
          <w:p>
            <w:pPr>
              <w:spacing w:after="0"/>
              <w:rPr>
                <w:sz w:val="10"/>
                <w:szCs w:val="10"/>
                <w:color w:val="auto"/>
              </w:rPr>
            </w:pPr>
          </w:p>
        </w:tc>
        <w:tc>
          <w:tcPr>
            <w:tcW w:w="1380" w:type="dxa"/>
            <w:vAlign w:val="bottom"/>
            <w:tcBorders>
              <w:right w:val="single" w:sz="8" w:color="auto"/>
            </w:tcBorders>
            <w:shd w:val="clear" w:color="auto" w:fill="CCEEFF"/>
          </w:tcPr>
          <w:p>
            <w:pPr>
              <w:spacing w:after="0"/>
              <w:rPr>
                <w:sz w:val="10"/>
                <w:szCs w:val="10"/>
                <w:color w:val="auto"/>
              </w:rPr>
            </w:pPr>
          </w:p>
        </w:tc>
        <w:tc>
          <w:tcPr>
            <w:tcW w:w="1240" w:type="dxa"/>
            <w:vAlign w:val="bottom"/>
            <w:tcBorders>
              <w:right w:val="single" w:sz="8" w:color="auto"/>
            </w:tcBorders>
            <w:shd w:val="clear" w:color="auto" w:fill="CCEEFF"/>
          </w:tcPr>
          <w:p>
            <w:pPr>
              <w:spacing w:after="0"/>
              <w:rPr>
                <w:sz w:val="10"/>
                <w:szCs w:val="10"/>
                <w:color w:val="auto"/>
              </w:rPr>
            </w:pPr>
          </w:p>
        </w:tc>
        <w:tc>
          <w:tcPr>
            <w:tcW w:w="272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bottom w:val="single" w:sz="8" w:color="CCEEFF"/>
              <w:right w:val="single" w:sz="8" w:color="auto"/>
            </w:tcBorders>
            <w:shd w:val="clear" w:color="auto" w:fill="CCEEFF"/>
          </w:tcPr>
          <w:p>
            <w:pPr>
              <w:spacing w:after="0"/>
              <w:rPr>
                <w:sz w:val="11"/>
                <w:szCs w:val="11"/>
                <w:color w:val="auto"/>
              </w:rPr>
            </w:pPr>
          </w:p>
        </w:tc>
        <w:tc>
          <w:tcPr>
            <w:tcW w:w="14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840" w:type="dxa"/>
            <w:vAlign w:val="bottom"/>
            <w:tcBorders>
              <w:bottom w:val="single" w:sz="8" w:color="CCEEFF"/>
              <w:right w:val="single" w:sz="8" w:color="auto"/>
            </w:tcBorders>
            <w:shd w:val="clear" w:color="auto" w:fill="CCEEFF"/>
          </w:tcPr>
          <w:p>
            <w:pPr>
              <w:spacing w:after="0"/>
              <w:rPr>
                <w:sz w:val="11"/>
                <w:szCs w:val="11"/>
                <w:color w:val="auto"/>
              </w:rPr>
            </w:pPr>
          </w:p>
        </w:tc>
        <w:tc>
          <w:tcPr>
            <w:tcW w:w="1360" w:type="dxa"/>
            <w:vAlign w:val="bottom"/>
            <w:tcBorders>
              <w:bottom w:val="single" w:sz="8" w:color="CCEEFF"/>
              <w:right w:val="single" w:sz="8" w:color="auto"/>
            </w:tcBorders>
            <w:shd w:val="clear" w:color="auto" w:fill="CCEEFF"/>
          </w:tcPr>
          <w:p>
            <w:pPr>
              <w:spacing w:after="0"/>
              <w:rPr>
                <w:sz w:val="11"/>
                <w:szCs w:val="11"/>
                <w:color w:val="auto"/>
              </w:rPr>
            </w:pPr>
          </w:p>
        </w:tc>
        <w:tc>
          <w:tcPr>
            <w:tcW w:w="1380" w:type="dxa"/>
            <w:vAlign w:val="bottom"/>
            <w:tcBorders>
              <w:bottom w:val="single" w:sz="8" w:color="CCEEFF"/>
              <w:right w:val="single" w:sz="8" w:color="auto"/>
            </w:tcBorders>
            <w:shd w:val="clear" w:color="auto" w:fill="CCEEFF"/>
          </w:tcPr>
          <w:p>
            <w:pPr>
              <w:spacing w:after="0"/>
              <w:rPr>
                <w:sz w:val="11"/>
                <w:szCs w:val="11"/>
                <w:color w:val="auto"/>
              </w:rPr>
            </w:pPr>
          </w:p>
        </w:tc>
        <w:tc>
          <w:tcPr>
            <w:tcW w:w="1240" w:type="dxa"/>
            <w:vAlign w:val="bottom"/>
            <w:tcBorders>
              <w:bottom w:val="single" w:sz="8" w:color="CCEEFF"/>
              <w:right w:val="single" w:sz="8" w:color="auto"/>
            </w:tcBorders>
            <w:shd w:val="clear" w:color="auto" w:fill="CCEEFF"/>
          </w:tcPr>
          <w:p>
            <w:pPr>
              <w:spacing w:after="0"/>
              <w:rPr>
                <w:sz w:val="11"/>
                <w:szCs w:val="11"/>
                <w:color w:val="auto"/>
              </w:rPr>
            </w:pPr>
          </w:p>
        </w:tc>
        <w:tc>
          <w:tcPr>
            <w:tcW w:w="2720" w:type="dxa"/>
            <w:vAlign w:val="bottom"/>
            <w:tcBorders>
              <w:bottom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4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Capital</w:t>
            </w:r>
          </w:p>
        </w:tc>
        <w:tc>
          <w:tcPr>
            <w:tcW w:w="1480" w:type="dxa"/>
            <w:vAlign w:val="bottom"/>
            <w:tcBorders>
              <w:top w:val="single" w:sz="8" w:color="auto"/>
              <w:right w:val="single" w:sz="8" w:color="auto"/>
            </w:tcBorders>
          </w:tcPr>
          <w:p>
            <w:pPr>
              <w:spacing w:after="0"/>
              <w:rPr>
                <w:sz w:val="19"/>
                <w:szCs w:val="19"/>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$1,682</w:t>
            </w:r>
          </w:p>
        </w:tc>
        <w:tc>
          <w:tcPr>
            <w:tcW w:w="1360" w:type="dxa"/>
            <w:vAlign w:val="bottom"/>
            <w:tcBorders>
              <w:top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 producer of doors and trim for</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cash paid for asset</w:t>
            </w:r>
          </w:p>
        </w:tc>
        <w:tc>
          <w:tcPr>
            <w:tcW w:w="13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customers in the greater</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Components &amp;</w:t>
            </w:r>
          </w:p>
        </w:tc>
        <w:tc>
          <w:tcPr>
            <w:tcW w:w="148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April 15, 2016</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purchase</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$1,887</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North</w:t>
            </w: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7"/>
              </w:rPr>
              <w:t>Washington, D.C., metro area and</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Millwork, Inc.</w:t>
            </w:r>
          </w:p>
        </w:tc>
        <w:tc>
          <w:tcPr>
            <w:tcW w:w="148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$205</w:t>
            </w:r>
          </w:p>
        </w:tc>
        <w:tc>
          <w:tcPr>
            <w:tcW w:w="13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Virginia. CCM had approximately</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("CCM")</w:t>
            </w:r>
          </w:p>
        </w:tc>
        <w:tc>
          <w:tcPr>
            <w:tcW w:w="148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assumed liability</w:t>
            </w:r>
          </w:p>
        </w:tc>
        <w:tc>
          <w:tcPr>
            <w:tcW w:w="136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$16.6 million in annual sales.</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420" w:type="dxa"/>
            <w:vAlign w:val="bottom"/>
            <w:tcBorders>
              <w:left w:val="single" w:sz="8" w:color="auto"/>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spacing w:after="0"/>
              <w:rPr>
                <w:sz w:val="19"/>
                <w:szCs w:val="19"/>
                <w:color w:val="auto"/>
              </w:rPr>
            </w:pPr>
          </w:p>
        </w:tc>
        <w:tc>
          <w:tcPr>
            <w:tcW w:w="1840" w:type="dxa"/>
            <w:vAlign w:val="bottom"/>
            <w:tcBorders>
              <w:right w:val="single" w:sz="8" w:color="auto"/>
            </w:tcBorders>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spacing w:after="0"/>
              <w:rPr>
                <w:sz w:val="19"/>
                <w:szCs w:val="19"/>
                <w:color w:val="auto"/>
              </w:rPr>
            </w:pPr>
          </w:p>
        </w:tc>
        <w:tc>
          <w:tcPr>
            <w:tcW w:w="138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A supplier of lumber products to the</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Rapid Wood</w:t>
            </w:r>
          </w:p>
        </w:tc>
        <w:tc>
          <w:tcPr>
            <w:tcW w:w="1480" w:type="dxa"/>
            <w:vAlign w:val="bottom"/>
            <w:tcBorders>
              <w:right w:val="single" w:sz="8" w:color="auto"/>
            </w:tcBorders>
            <w:shd w:val="clear" w:color="auto" w:fill="CCEEFF"/>
          </w:tcPr>
          <w:p>
            <w:pPr>
              <w:spacing w:after="0"/>
              <w:rPr>
                <w:sz w:val="18"/>
                <w:szCs w:val="18"/>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$1,638</w:t>
            </w:r>
          </w:p>
        </w:tc>
        <w:tc>
          <w:tcPr>
            <w:tcW w:w="136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region’s manufactured housing and</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Mfg., LLC</w:t>
            </w:r>
          </w:p>
        </w:tc>
        <w:tc>
          <w:tcPr>
            <w:tcW w:w="14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February 2, 2015</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cash paid for asset</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$789</w:t>
            </w:r>
          </w:p>
        </w:tc>
        <w:tc>
          <w:tcPr>
            <w:tcW w:w="13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$849</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West</w:t>
            </w: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recreational vehicle industries based</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(“Rapid Wood”)</w:t>
            </w:r>
          </w:p>
        </w:tc>
        <w:tc>
          <w:tcPr>
            <w:tcW w:w="1480" w:type="dxa"/>
            <w:vAlign w:val="bottom"/>
            <w:tcBorders>
              <w:right w:val="single" w:sz="8" w:color="auto"/>
            </w:tcBorders>
            <w:shd w:val="clear" w:color="auto" w:fill="CCEEFF"/>
          </w:tcPr>
          <w:p>
            <w:pPr>
              <w:spacing w:after="0"/>
              <w:rPr>
                <w:sz w:val="18"/>
                <w:szCs w:val="18"/>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36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in Caldwell, Idaho. Rapid Wood had</w:t>
            </w:r>
          </w:p>
        </w:tc>
        <w:tc>
          <w:tcPr>
            <w:tcW w:w="0" w:type="dxa"/>
            <w:vAlign w:val="bottom"/>
          </w:tcPr>
          <w:p>
            <w:pPr>
              <w:spacing w:after="0"/>
              <w:rPr>
                <w:sz w:val="1"/>
                <w:szCs w:val="1"/>
                <w:color w:val="auto"/>
              </w:rPr>
            </w:pPr>
          </w:p>
        </w:tc>
      </w:tr>
      <w:tr>
        <w:trPr>
          <w:trHeight w:val="262"/>
        </w:trPr>
        <w:tc>
          <w:tcPr>
            <w:tcW w:w="142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1840" w:type="dxa"/>
            <w:vAlign w:val="bottom"/>
            <w:tcBorders>
              <w:bottom w:val="single" w:sz="8" w:color="CCEEFF"/>
              <w:right w:val="single" w:sz="8" w:color="auto"/>
            </w:tcBorders>
            <w:shd w:val="clear" w:color="auto" w:fill="CCEEFF"/>
          </w:tcPr>
          <w:p>
            <w:pPr>
              <w:spacing w:after="0"/>
              <w:rPr>
                <w:sz w:val="22"/>
                <w:szCs w:val="22"/>
                <w:color w:val="auto"/>
              </w:rPr>
            </w:pPr>
          </w:p>
        </w:tc>
        <w:tc>
          <w:tcPr>
            <w:tcW w:w="1360" w:type="dxa"/>
            <w:vAlign w:val="bottom"/>
            <w:tcBorders>
              <w:bottom w:val="single" w:sz="8" w:color="CCEEFF"/>
              <w:right w:val="single" w:sz="8" w:color="auto"/>
            </w:tcBorders>
            <w:shd w:val="clear" w:color="auto" w:fill="CCEEFF"/>
          </w:tcPr>
          <w:p>
            <w:pPr>
              <w:spacing w:after="0"/>
              <w:rPr>
                <w:sz w:val="22"/>
                <w:szCs w:val="22"/>
                <w:color w:val="auto"/>
              </w:rPr>
            </w:pPr>
          </w:p>
        </w:tc>
        <w:tc>
          <w:tcPr>
            <w:tcW w:w="1380" w:type="dxa"/>
            <w:vAlign w:val="bottom"/>
            <w:tcBorders>
              <w:bottom w:val="single" w:sz="8" w:color="CCEEFF"/>
              <w:right w:val="single" w:sz="8" w:color="auto"/>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2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annual sales of $3.5 million in 2015.</w:t>
            </w:r>
          </w:p>
        </w:tc>
        <w:tc>
          <w:tcPr>
            <w:tcW w:w="0" w:type="dxa"/>
            <w:vAlign w:val="bottom"/>
          </w:tcPr>
          <w:p>
            <w:pPr>
              <w:spacing w:after="0"/>
              <w:rPr>
                <w:sz w:val="1"/>
                <w:szCs w:val="1"/>
                <w:color w:val="auto"/>
              </w:rPr>
            </w:pPr>
          </w:p>
        </w:tc>
      </w:tr>
      <w:tr>
        <w:trPr>
          <w:trHeight w:val="222"/>
        </w:trPr>
        <w:tc>
          <w:tcPr>
            <w:tcW w:w="14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Integra Packaging</w:t>
            </w:r>
          </w:p>
        </w:tc>
        <w:tc>
          <w:tcPr>
            <w:tcW w:w="1480" w:type="dxa"/>
            <w:vAlign w:val="bottom"/>
            <w:tcBorders>
              <w:top w:val="single" w:sz="8" w:color="auto"/>
              <w:right w:val="single" w:sz="8" w:color="auto"/>
            </w:tcBorders>
          </w:tcPr>
          <w:p>
            <w:pPr>
              <w:spacing w:after="0"/>
              <w:rPr>
                <w:sz w:val="19"/>
                <w:szCs w:val="19"/>
                <w:color w:val="auto"/>
              </w:rPr>
            </w:pPr>
          </w:p>
        </w:tc>
        <w:tc>
          <w:tcPr>
            <w:tcW w:w="1840" w:type="dxa"/>
            <w:vAlign w:val="bottom"/>
            <w:tcBorders>
              <w:top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$1,406</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$715</w:t>
            </w:r>
          </w:p>
        </w:tc>
        <w:tc>
          <w:tcPr>
            <w:tcW w:w="1240" w:type="dxa"/>
            <w:vAlign w:val="bottom"/>
            <w:tcBorders>
              <w:top w:val="single" w:sz="8" w:color="auto"/>
              <w:right w:val="single" w:sz="8" w:color="auto"/>
            </w:tcBorders>
          </w:tcPr>
          <w:p>
            <w:pPr>
              <w:spacing w:after="0"/>
              <w:rPr>
                <w:sz w:val="19"/>
                <w:szCs w:val="19"/>
                <w:color w:val="auto"/>
              </w:rPr>
            </w:pPr>
          </w:p>
        </w:tc>
        <w:tc>
          <w:tcPr>
            <w:tcW w:w="2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An Australian-based manufacturer</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$1,102</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(The Company</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(The Company</w:t>
            </w: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and distributor of industrial wood</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Proprietary, Ltd</w:t>
            </w:r>
          </w:p>
        </w:tc>
        <w:tc>
          <w:tcPr>
            <w:tcW w:w="148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January 16, 2015</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cash paid for 51.94%</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portion of</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portion of Net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All Other</w:t>
            </w: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specialty packaging products.</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(“Integra</w:t>
            </w:r>
          </w:p>
        </w:tc>
        <w:tc>
          <w:tcPr>
            <w:tcW w:w="148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stock purchase</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Intangible Assets</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Tangible Assets</w:t>
            </w: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2"/>
              </w:rPr>
              <w:t>Integra Packaging had annual sales</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Packaging”)</w:t>
            </w:r>
          </w:p>
        </w:tc>
        <w:tc>
          <w:tcPr>
            <w:tcW w:w="148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$730 or 51.94%)</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$372 or 51.94%)</w:t>
            </w:r>
          </w:p>
        </w:tc>
        <w:tc>
          <w:tcPr>
            <w:tcW w:w="1240" w:type="dxa"/>
            <w:vAlign w:val="bottom"/>
            <w:tcBorders>
              <w:right w:val="single" w:sz="8" w:color="auto"/>
            </w:tcBorders>
          </w:tcPr>
          <w:p>
            <w:pPr>
              <w:spacing w:after="0"/>
              <w:rPr>
                <w:sz w:val="10"/>
                <w:szCs w:val="10"/>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 $7.6 million in 2015.</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intangible assets for each acquisition were finalized and allocated to their respective identifiable intangible asset and goodwill accounts during 2016.</w:t>
      </w:r>
    </w:p>
    <w:p>
      <w:pPr>
        <w:spacing w:after="0" w:line="200" w:lineRule="exact"/>
        <w:rPr>
          <w:sz w:val="20"/>
          <w:szCs w:val="20"/>
          <w:color w:val="auto"/>
        </w:rPr>
      </w:pPr>
    </w:p>
    <w:p>
      <w:pPr>
        <w:spacing w:after="0" w:line="260"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500"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23" w:lineRule="exact"/>
        <w:rPr>
          <w:rFonts w:ascii="Arial" w:cs="Arial" w:eastAsia="Arial" w:hAnsi="Arial"/>
          <w:sz w:val="18"/>
          <w:szCs w:val="18"/>
          <w:b w:val="1"/>
          <w:bCs w:val="1"/>
          <w:color w:val="auto"/>
        </w:rPr>
      </w:pPr>
    </w:p>
    <w:p>
      <w:pPr>
        <w:ind w:left="50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operates manufacturing, treating and distribution facilities throughout North America, but primarily in the United States. The Company manages the operations of its individual locations primarily through a geographic reporting structure under which each location is included in a region and regions are included in our North, South, and West divisions. The exceptions to this geographic reporting and management structure are (a) the Company's Alternative Materials Division, which offers a portfolio of non-wood products and distributes those products nation-wide and (b) the Company's distribution unit (referred to as UFPD) which distributes a variety of products to the manufactured housing industry and is accounted for as a reporting unit within the North segment.</w:t>
      </w:r>
    </w:p>
    <w:p>
      <w:pPr>
        <w:spacing w:after="0" w:line="193" w:lineRule="exact"/>
        <w:rPr>
          <w:rFonts w:ascii="Arial" w:cs="Arial" w:eastAsia="Arial" w:hAnsi="Arial"/>
          <w:sz w:val="18"/>
          <w:szCs w:val="18"/>
          <w:b w:val="1"/>
          <w:bCs w:val="1"/>
          <w:color w:val="auto"/>
        </w:rPr>
      </w:pPr>
    </w:p>
    <w:p>
      <w:pPr>
        <w:ind w:left="50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w:t>
      </w:r>
    </w:p>
    <w:p>
      <w:pPr>
        <w:ind w:left="500" w:right="5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Our Alternative Materials and International divisions have been included in the “All Other” column of the table below. The “Corporate” column includes unallocated administrative costs and certain incentive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40"/>
          </w:cols>
          <w:pgMar w:left="240" w:top="121"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4640" w:type="dxa"/>
            <w:vAlign w:val="bottom"/>
            <w:gridSpan w:val="8"/>
          </w:tcPr>
          <w:p>
            <w:pPr>
              <w:ind w:left="900"/>
              <w:spacing w:after="0"/>
              <w:rPr>
                <w:sz w:val="20"/>
                <w:szCs w:val="20"/>
                <w:color w:val="auto"/>
              </w:rPr>
            </w:pPr>
            <w:r>
              <w:rPr>
                <w:rFonts w:ascii="Arial" w:cs="Arial" w:eastAsia="Arial" w:hAnsi="Arial"/>
                <w:sz w:val="18"/>
                <w:szCs w:val="18"/>
                <w:b w:val="1"/>
                <w:bCs w:val="1"/>
                <w:color w:val="auto"/>
              </w:rPr>
              <w:t>UNIVERSAL FOREST PRODUCTS, INC.</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21"/>
        </w:trPr>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20" w:type="dxa"/>
            <w:vAlign w:val="bottom"/>
            <w:gridSpan w:val="8"/>
          </w:tcPr>
          <w:p>
            <w:pPr>
              <w:ind w:left="40"/>
              <w:spacing w:after="0"/>
              <w:rPr>
                <w:sz w:val="20"/>
                <w:szCs w:val="20"/>
                <w:color w:val="auto"/>
              </w:rPr>
            </w:pPr>
            <w:r>
              <w:rPr>
                <w:rFonts w:ascii="Arial" w:cs="Arial" w:eastAsia="Arial" w:hAnsi="Arial"/>
                <w:sz w:val="18"/>
                <w:szCs w:val="18"/>
                <w:color w:val="auto"/>
                <w:w w:val="89"/>
              </w:rPr>
              <w:t>Three Months Ended June 25, 2016</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North</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South</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3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288,185</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194,425</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62,864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872,093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14,638</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9,860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6,535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52,048</w:t>
            </w: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profit</w:t>
            </w: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19,136</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53,665</w:t>
            </w:r>
          </w:p>
        </w:tc>
      </w:tr>
      <w:tr>
        <w:trPr>
          <w:trHeight w:val="594"/>
        </w:trPr>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20" w:type="dxa"/>
            <w:vAlign w:val="bottom"/>
            <w:gridSpan w:val="8"/>
          </w:tcPr>
          <w:p>
            <w:pPr>
              <w:ind w:left="40"/>
              <w:spacing w:after="0"/>
              <w:rPr>
                <w:sz w:val="20"/>
                <w:szCs w:val="20"/>
                <w:color w:val="auto"/>
              </w:rPr>
            </w:pPr>
            <w:r>
              <w:rPr>
                <w:rFonts w:ascii="Arial" w:cs="Arial" w:eastAsia="Arial" w:hAnsi="Arial"/>
                <w:sz w:val="18"/>
                <w:szCs w:val="18"/>
                <w:color w:val="auto"/>
                <w:w w:val="89"/>
              </w:rPr>
              <w:t>Three Months Ended June 27, 2015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North</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South</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3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281,333</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185,497</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61,830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838,171</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14,510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42,156</w:t>
            </w: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profit</w:t>
            </w: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16,394</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44,188</w:t>
            </w:r>
          </w:p>
        </w:tc>
      </w:tr>
      <w:tr>
        <w:trPr>
          <w:trHeight w:val="594"/>
        </w:trPr>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7"/>
          </w:tcPr>
          <w:p>
            <w:pPr>
              <w:ind w:left="40"/>
              <w:spacing w:after="0"/>
              <w:rPr>
                <w:sz w:val="20"/>
                <w:szCs w:val="20"/>
                <w:color w:val="auto"/>
              </w:rPr>
            </w:pPr>
            <w:r>
              <w:rPr>
                <w:rFonts w:ascii="Arial" w:cs="Arial" w:eastAsia="Arial" w:hAnsi="Arial"/>
                <w:sz w:val="18"/>
                <w:szCs w:val="18"/>
                <w:color w:val="auto"/>
                <w:w w:val="92"/>
              </w:rPr>
              <w:t>Six Months Ended June 25, 2016</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North</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South</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3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490,910</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359,524</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99,603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1,554,244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27,752</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11,985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102,059</w:t>
            </w: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profit (loss)</w:t>
            </w: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28,425</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8,582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85,575</w:t>
            </w:r>
          </w:p>
        </w:tc>
      </w:tr>
      <w:tr>
        <w:trPr>
          <w:trHeight w:val="594"/>
        </w:trPr>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7"/>
          </w:tcPr>
          <w:p>
            <w:pPr>
              <w:ind w:left="40"/>
              <w:spacing w:after="0"/>
              <w:rPr>
                <w:sz w:val="20"/>
                <w:szCs w:val="20"/>
                <w:color w:val="auto"/>
              </w:rPr>
            </w:pPr>
            <w:r>
              <w:rPr>
                <w:rFonts w:ascii="Arial" w:cs="Arial" w:eastAsia="Arial" w:hAnsi="Arial"/>
                <w:sz w:val="18"/>
                <w:szCs w:val="18"/>
                <w:color w:val="auto"/>
                <w:w w:val="92"/>
              </w:rPr>
              <w:t>Six Months Ended June 27, 2015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North</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South</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3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460,832</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349,692</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93,581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1,471,195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24,319</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14,803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72,687</w:t>
            </w:r>
          </w:p>
        </w:tc>
      </w:tr>
      <w:tr>
        <w:trPr>
          <w:trHeight w:val="27"/>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operating profit</w:t>
            </w: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19,105</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62,051</w:t>
            </w:r>
          </w:p>
        </w:tc>
      </w:tr>
      <w:tr>
        <w:trPr>
          <w:trHeight w:val="27"/>
        </w:trPr>
        <w:tc>
          <w:tcPr>
            <w:tcW w:w="3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jc w:val="both"/>
        <w:ind w:left="5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Effective tax rates differ from statutory federal income tax rates, primarily due to provisions for state and local income taxes and permanent tax differences. Our effective tax rate was 35.3% in the second quarter of 2016 compared to 37.4% for same period of 2015. Our effective tax rate was 35.0% in the first six months of 2016 compared to 37.0% in 2015, primarily due to the extension of the research &amp; development tax credit along with other credits that Congress did not extend until the end of 2015, which are not reflected in the 2015 second quarter and first six month's tax rates.</w:t>
      </w:r>
    </w:p>
    <w:p>
      <w:pPr>
        <w:spacing w:after="0" w:line="150" w:lineRule="exact"/>
        <w:rPr>
          <w:rFonts w:ascii="Arial" w:cs="Arial" w:eastAsia="Arial" w:hAnsi="Arial"/>
          <w:sz w:val="18"/>
          <w:szCs w:val="18"/>
          <w:b w:val="1"/>
          <w:bCs w:val="1"/>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500" w:firstLine="648"/>
        <w:spacing w:after="0" w:line="264" w:lineRule="auto"/>
        <w:rPr>
          <w:sz w:val="20"/>
          <w:szCs w:val="20"/>
          <w:color w:val="auto"/>
        </w:rPr>
      </w:pPr>
      <w:r>
        <w:rPr>
          <w:rFonts w:ascii="Arial" w:cs="Arial" w:eastAsia="Arial" w:hAnsi="Arial"/>
          <w:sz w:val="18"/>
          <w:szCs w:val="18"/>
          <w:color w:val="auto"/>
        </w:rPr>
        <w:t>Subsequent to our financial statement close date of June 25, 2016 and prior to our filing date of July 27, 2016, we completed the acquisition of Idaho Western Inc., for approximately $11 million. Idaho Western Inc. had $21 million in 2015 annual sales and supplies customers in the Northwest with products ranging from lumber and plywood to siding and doors.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Universal Forest Products, Inc. is a holding company that provides capital, management and administrative resources to subsidiaries that supply wood, wood composite and other products to three markets: retail, industrial, and construction.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Founded in 1955, the Company is headquartered in Grand Rapids, Mich., with affiliates throughout North America and Australia. For more about Universal Forest Products, go to </w:t>
      </w:r>
      <w:r>
        <w:rPr>
          <w:rFonts w:ascii="Arial" w:cs="Arial" w:eastAsia="Arial" w:hAnsi="Arial"/>
          <w:sz w:val="18"/>
          <w:szCs w:val="18"/>
          <w:u w:val="single" w:color="auto"/>
          <w:color w:val="0000FF"/>
        </w:rPr>
        <w:t>www.ufpi.com</w:t>
      </w:r>
      <w:r>
        <w:rPr>
          <w:rFonts w:ascii="Arial" w:cs="Arial" w:eastAsia="Arial" w:hAnsi="Arial"/>
          <w:sz w:val="18"/>
          <w:szCs w:val="18"/>
          <w:color w:val="auto"/>
        </w:rPr>
        <w: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second quarter of 2016 were impacted by the following:</w:t>
      </w:r>
    </w:p>
    <w:p>
      <w:pPr>
        <w:spacing w:after="0" w:line="387" w:lineRule="exact"/>
        <w:rPr>
          <w:sz w:val="20"/>
          <w:szCs w:val="20"/>
          <w:color w:val="auto"/>
        </w:rPr>
      </w:pPr>
    </w:p>
    <w:p>
      <w:pPr>
        <w:jc w:val="both"/>
        <w:ind w:left="340" w:hanging="318"/>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gross sales increased by 4% compared to the second quarter of 2015, which was comprised of a 3% increase in unit sales and a 1% increase in selling prices due to the commodity lumber market (See Historical Lumber Prices). Our unit sales increased to the retail and construction markets and more than offset a decline in unit sales to the industrial market.</w:t>
      </w:r>
    </w:p>
    <w:p>
      <w:pPr>
        <w:spacing w:after="0" w:line="127" w:lineRule="exact"/>
        <w:rPr>
          <w:rFonts w:ascii="Arial" w:cs="Arial" w:eastAsia="Arial" w:hAnsi="Arial"/>
          <w:sz w:val="18"/>
          <w:szCs w:val="18"/>
          <w:color w:val="auto"/>
        </w:rPr>
      </w:pPr>
    </w:p>
    <w:p>
      <w:pPr>
        <w:jc w:val="both"/>
        <w:ind w:left="340" w:hanging="318"/>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profits increased by over 21%, and our operating profit as a percentage of net sales increased to 6.2% from 5.3%, comparing the second quarter of 2016 and 2015, respectively. These improvements primarily resulted from a combination of organic unit sales growth and leveraging fixed costs, favorable improvements in product sales mix, and opportunistic buying resulting in lower lumber costs relative to our selling prices in certain product lines.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The following table presents the Random Lengths framing lumber composite price: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5620" w:type="dxa"/>
            <w:vAlign w:val="bottom"/>
            <w:gridSpan w:val="2"/>
          </w:tcPr>
          <w:p>
            <w:pPr>
              <w:jc w:val="right"/>
              <w:ind w:right="1520"/>
              <w:spacing w:after="0"/>
              <w:rPr>
                <w:sz w:val="20"/>
                <w:szCs w:val="20"/>
                <w:color w:val="auto"/>
              </w:rPr>
            </w:pPr>
            <w:r>
              <w:rPr>
                <w:rFonts w:ascii="Arial" w:cs="Arial" w:eastAsia="Arial" w:hAnsi="Arial"/>
                <w:sz w:val="18"/>
                <w:szCs w:val="18"/>
                <w:b w:val="1"/>
                <w:bCs w:val="1"/>
                <w:color w:val="auto"/>
              </w:rPr>
              <w:t>UNIVERSAL FOREST PRODUCTS, INC.</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07"/>
        </w:trPr>
        <w:tc>
          <w:tcPr>
            <w:tcW w:w="32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4"/>
          </w:tcPr>
          <w:p>
            <w:pPr>
              <w:jc w:val="right"/>
              <w:ind w:right="250"/>
              <w:spacing w:after="0"/>
              <w:rPr>
                <w:sz w:val="20"/>
                <w:szCs w:val="20"/>
                <w:color w:val="auto"/>
              </w:rPr>
            </w:pPr>
            <w:r>
              <w:rPr>
                <w:rFonts w:ascii="Arial" w:cs="Arial" w:eastAsia="Arial" w:hAnsi="Arial"/>
                <w:sz w:val="18"/>
                <w:szCs w:val="18"/>
                <w:color w:val="auto"/>
                <w:w w:val="94"/>
              </w:rPr>
              <w:t>Random Lengths Composite</w:t>
            </w:r>
          </w:p>
        </w:tc>
      </w:tr>
      <w:tr>
        <w:trPr>
          <w:trHeight w:val="230"/>
        </w:trPr>
        <w:tc>
          <w:tcPr>
            <w:tcW w:w="32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4"/>
          </w:tcPr>
          <w:p>
            <w:pPr>
              <w:jc w:val="right"/>
              <w:ind w:right="690"/>
              <w:spacing w:after="0"/>
              <w:rPr>
                <w:sz w:val="20"/>
                <w:szCs w:val="20"/>
                <w:color w:val="auto"/>
              </w:rPr>
            </w:pPr>
            <w:r>
              <w:rPr>
                <w:rFonts w:ascii="Arial" w:cs="Arial" w:eastAsia="Arial" w:hAnsi="Arial"/>
                <w:sz w:val="18"/>
                <w:szCs w:val="18"/>
                <w:color w:val="auto"/>
              </w:rPr>
              <w:t>Average $/MBF</w:t>
            </w:r>
          </w:p>
        </w:tc>
      </w:tr>
      <w:tr>
        <w:trPr>
          <w:trHeight w:val="34"/>
        </w:trPr>
        <w:tc>
          <w:tcPr>
            <w:tcW w:w="3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28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34"/>
        </w:trPr>
        <w:tc>
          <w:tcPr>
            <w:tcW w:w="32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w:t>
            </w:r>
          </w:p>
        </w:tc>
        <w:tc>
          <w:tcPr>
            <w:tcW w:w="5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February</w:t>
            </w:r>
          </w:p>
        </w:tc>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3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w:t>
            </w:r>
          </w:p>
        </w:tc>
        <w:tc>
          <w:tcPr>
            <w:tcW w:w="5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April</w:t>
            </w:r>
          </w:p>
        </w:tc>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334</w:t>
            </w:r>
          </w:p>
        </w:tc>
      </w:tr>
      <w:tr>
        <w:trPr>
          <w:trHeight w:val="27"/>
        </w:trPr>
        <w:tc>
          <w:tcPr>
            <w:tcW w:w="3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w:t>
            </w:r>
          </w:p>
        </w:tc>
        <w:tc>
          <w:tcPr>
            <w:tcW w:w="5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June</w:t>
            </w:r>
          </w:p>
        </w:tc>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3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3280" w:type="dxa"/>
            <w:vAlign w:val="bottom"/>
            <w:shd w:val="clear" w:color="auto" w:fill="CCEEFF"/>
          </w:tcPr>
          <w:p>
            <w:pPr>
              <w:spacing w:after="0"/>
              <w:rPr>
                <w:sz w:val="24"/>
                <w:szCs w:val="24"/>
                <w:color w:val="auto"/>
              </w:rPr>
            </w:pPr>
          </w:p>
        </w:tc>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Second quarter average</w:t>
            </w:r>
          </w:p>
        </w:tc>
        <w:tc>
          <w:tcPr>
            <w:tcW w:w="5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
        </w:trPr>
        <w:tc>
          <w:tcPr>
            <w:tcW w:w="3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Year-to-date average</w:t>
            </w:r>
          </w:p>
        </w:tc>
        <w:tc>
          <w:tcPr>
            <w:tcW w:w="5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97"/>
        </w:trPr>
        <w:tc>
          <w:tcPr>
            <w:tcW w:w="32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percentage change</w:t>
            </w:r>
          </w:p>
        </w:tc>
        <w:tc>
          <w:tcPr>
            <w:tcW w:w="5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Year-to-date percentage change</w:t>
            </w:r>
          </w:p>
        </w:tc>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comprises approximately 46% and 45% of total lumber purchases through the first six months of 2016 and 2015, respectively.</w:t>
      </w:r>
    </w:p>
    <w:p>
      <w:pPr>
        <w:spacing w:after="0" w:line="200" w:lineRule="exact"/>
        <w:rPr>
          <w:sz w:val="20"/>
          <w:szCs w:val="20"/>
          <w:color w:val="auto"/>
        </w:rPr>
      </w:pPr>
    </w:p>
    <w:p>
      <w:pPr>
        <w:spacing w:after="0" w:line="349"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Random Lengths SYP</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Average $/MBF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22860</wp:posOffset>
            </wp:positionV>
            <wp:extent cx="17494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34"/>
        </w:trPr>
        <w:tc>
          <w:tcPr>
            <w:tcW w:w="8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February</w:t>
            </w:r>
          </w:p>
        </w:tc>
        <w:tc>
          <w:tcPr>
            <w:tcW w:w="3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April</w:t>
            </w:r>
          </w:p>
        </w:tc>
        <w:tc>
          <w:tcPr>
            <w:tcW w:w="3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June</w:t>
            </w:r>
          </w:p>
        </w:tc>
        <w:tc>
          <w:tcPr>
            <w:tcW w:w="3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86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Second quarter average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Year-to-date average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97"/>
        </w:trPr>
        <w:tc>
          <w:tcPr>
            <w:tcW w:w="8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percentage change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Year-to-date percentage change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Our material costs as a percentage of sales were 66.9% and 69.8% as of June 25, 2016, and June 27, 2015, respectively, and lumber comprises approximately 59% of material costs.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5" w:name="page16"/>
    <w:bookmarkEnd w:id="15"/>
    <w:p>
      <w:pPr>
        <w:ind w:left="4060"/>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387" w:lineRule="exact"/>
        <w:rPr>
          <w:sz w:val="20"/>
          <w:szCs w:val="20"/>
          <w:color w:val="auto"/>
        </w:rPr>
      </w:pPr>
    </w:p>
    <w:p>
      <w:pPr>
        <w:ind w:left="340" w:right="20" w:hanging="332"/>
        <w:spacing w:after="0" w:line="29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w:t>
      </w:r>
      <w:r>
        <w:rPr>
          <w:rFonts w:ascii="Arial" w:cs="Arial" w:eastAsia="Arial" w:hAnsi="Arial"/>
          <w:sz w:val="16"/>
          <w:szCs w:val="16"/>
          <w:color w:val="auto"/>
        </w:rPr>
        <w:t xml:space="preserve"> These products include value-added products such as deck components and fencing sold to retail customers, as well as trusses, wall panels and other components sold to the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with our suppliers for these sales commitments. Also, the time period and quantity limitations generally allow us to re-price our products for changes in lumber costs from our suppliers.</w:t>
      </w:r>
    </w:p>
    <w:p>
      <w:pPr>
        <w:spacing w:after="0" w:line="104" w:lineRule="exact"/>
        <w:rPr>
          <w:rFonts w:ascii="Arial" w:cs="Arial" w:eastAsia="Arial" w:hAnsi="Arial"/>
          <w:sz w:val="16"/>
          <w:szCs w:val="16"/>
          <w:color w:val="auto"/>
        </w:rPr>
      </w:pPr>
    </w:p>
    <w:p>
      <w:pPr>
        <w:ind w:left="340" w:right="100" w:hanging="332"/>
        <w:spacing w:after="0" w:line="30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For these products, our margins are exposed to changes in the trend of lumber prices.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trend of lumber prices have their greatest impact on the following products:</w:t>
      </w:r>
    </w:p>
    <w:p>
      <w:pPr>
        <w:spacing w:after="0" w:line="171" w:lineRule="exact"/>
        <w:rPr>
          <w:sz w:val="20"/>
          <w:szCs w:val="20"/>
          <w:color w:val="auto"/>
        </w:rPr>
      </w:pPr>
    </w:p>
    <w:p>
      <w:pPr>
        <w:ind w:left="340" w:right="40" w:hanging="332"/>
        <w:spacing w:after="0" w:line="25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20%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 Factors” section of our annual report on form 10-K, filed with the United States</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and Exchange Commission.</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Period 1</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Period 2</w:t>
            </w:r>
          </w:p>
        </w:tc>
      </w:tr>
      <w:tr>
        <w:trPr>
          <w:trHeight w:val="34"/>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Lumber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Conversion cost</w:t>
            </w:r>
          </w:p>
        </w:tc>
        <w:tc>
          <w:tcPr>
            <w:tcW w:w="2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w:t>
            </w:r>
          </w:p>
        </w:tc>
      </w:tr>
      <w:tr>
        <w:trPr>
          <w:trHeight w:val="34"/>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Product cost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Adder</w:t>
            </w:r>
          </w:p>
        </w:tc>
        <w:tc>
          <w:tcPr>
            <w:tcW w:w="2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w:t>
            </w:r>
          </w:p>
        </w:tc>
      </w:tr>
      <w:tr>
        <w:trPr>
          <w:trHeight w:val="34"/>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Sell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is apparent from the preceding example, the level of lumber prices does not impact our overall profits, but does impact our margins. Gross margins are negatively impacted during periods of high lumber prices; conversely, we experience margin improvement when lumber prices are relatively low.</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completed one business acquisition during the first six months of 2016 and two during all of 2015. The annual revenue attributable to the acquisitions completed in 2016 and 2015 was approximately $16.6 million and $11.1 million, respectively. These business combinations were not significant to our operating results individually or in aggregate and thus pro forma results for 2015 are not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203200</wp:posOffset>
            </wp:positionV>
            <wp:extent cx="38760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76040" cy="1714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3160" w:type="dxa"/>
            <w:vAlign w:val="bottom"/>
            <w:gridSpan w:val="2"/>
          </w:tcPr>
          <w:p>
            <w:pPr>
              <w:jc w:val="right"/>
              <w:ind w:right="770"/>
              <w:spacing w:after="0"/>
              <w:rPr>
                <w:sz w:val="20"/>
                <w:szCs w:val="20"/>
                <w:color w:val="auto"/>
              </w:rPr>
            </w:pPr>
            <w:r>
              <w:rPr>
                <w:rFonts w:ascii="Arial" w:cs="Arial" w:eastAsia="Arial" w:hAnsi="Arial"/>
                <w:sz w:val="18"/>
                <w:szCs w:val="18"/>
                <w:color w:val="auto"/>
              </w:rPr>
              <w:t>Three Months Ended</w:t>
            </w:r>
          </w:p>
        </w:tc>
        <w:tc>
          <w:tcPr>
            <w:tcW w:w="2940" w:type="dxa"/>
            <w:vAlign w:val="bottom"/>
            <w:gridSpan w:val="2"/>
          </w:tcPr>
          <w:p>
            <w:pPr>
              <w:jc w:val="right"/>
              <w:ind w:right="750"/>
              <w:spacing w:after="0"/>
              <w:rPr>
                <w:sz w:val="20"/>
                <w:szCs w:val="20"/>
                <w:color w:val="auto"/>
              </w:rPr>
            </w:pPr>
            <w:r>
              <w:rPr>
                <w:rFonts w:ascii="Arial" w:cs="Arial" w:eastAsia="Arial" w:hAnsi="Arial"/>
                <w:sz w:val="18"/>
                <w:szCs w:val="18"/>
                <w:color w:val="auto"/>
              </w:rPr>
              <w:t>Six Months Ended</w:t>
            </w:r>
          </w:p>
        </w:tc>
      </w:tr>
      <w:tr>
        <w:trPr>
          <w:trHeight w:val="34"/>
        </w:trPr>
        <w:tc>
          <w:tcPr>
            <w:tcW w:w="53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5320" w:type="dxa"/>
            <w:vAlign w:val="bottom"/>
          </w:tcPr>
          <w:p>
            <w:pPr>
              <w:spacing w:after="0"/>
              <w:rPr>
                <w:sz w:val="21"/>
                <w:szCs w:val="21"/>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June 25, 2016</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w w:val="98"/>
              </w:rPr>
              <w:t>June 27, 2015</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w w:val="99"/>
              </w:rPr>
              <w:t>June 25, 2016</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w w:val="99"/>
              </w:rPr>
              <w:t>June 27, 2015</w:t>
            </w:r>
          </w:p>
        </w:tc>
      </w:tr>
      <w:tr>
        <w:trPr>
          <w:trHeight w:val="34"/>
        </w:trPr>
        <w:tc>
          <w:tcPr>
            <w:tcW w:w="53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8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84.9</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86.6</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84.9</w:t>
            </w: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87.0</w:t>
            </w: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15.1</w:t>
            </w:r>
          </w:p>
        </w:tc>
        <w:tc>
          <w:tcPr>
            <w:tcW w:w="1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13.4</w:t>
            </w:r>
          </w:p>
        </w:tc>
        <w:tc>
          <w:tcPr>
            <w:tcW w:w="1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15.1</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8.9</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8.2</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9.6</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8.8</w:t>
            </w:r>
          </w:p>
        </w:tc>
      </w:tr>
      <w:tr>
        <w:trPr>
          <w:trHeight w:val="27"/>
        </w:trPr>
        <w:tc>
          <w:tcPr>
            <w:tcW w:w="5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disposition and impairment of assets</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6.2</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5.3</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5.5</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4.2</w:t>
            </w:r>
          </w:p>
        </w:tc>
      </w:tr>
      <w:tr>
        <w:trPr>
          <w:trHeight w:val="27"/>
        </w:trPr>
        <w:tc>
          <w:tcPr>
            <w:tcW w:w="5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6.1</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5.1</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5.4</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4.0</w:t>
            </w:r>
          </w:p>
        </w:tc>
      </w:tr>
      <w:tr>
        <w:trPr>
          <w:trHeight w:val="27"/>
        </w:trPr>
        <w:tc>
          <w:tcPr>
            <w:tcW w:w="5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2.1</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1.9</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3.5</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2.6</w:t>
            </w:r>
          </w:p>
        </w:tc>
      </w:tr>
      <w:tr>
        <w:trPr>
          <w:trHeight w:val="27"/>
        </w:trPr>
        <w:tc>
          <w:tcPr>
            <w:tcW w:w="5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earnings attributable to noncontrolling interest</w:t>
            </w:r>
          </w:p>
        </w:tc>
        <w:tc>
          <w:tcPr>
            <w:tcW w:w="1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64"/>
        </w:trPr>
        <w:tc>
          <w:tcPr>
            <w:tcW w:w="5320" w:type="dxa"/>
            <w:vAlign w:val="bottom"/>
          </w:tcPr>
          <w:p>
            <w:pPr>
              <w:ind w:left="40"/>
              <w:spacing w:after="0"/>
              <w:rPr>
                <w:sz w:val="20"/>
                <w:szCs w:val="20"/>
                <w:color w:val="auto"/>
              </w:rPr>
            </w:pPr>
            <w:r>
              <w:rPr>
                <w:rFonts w:ascii="Arial" w:cs="Arial" w:eastAsia="Arial" w:hAnsi="Arial"/>
                <w:sz w:val="18"/>
                <w:szCs w:val="18"/>
                <w:color w:val="auto"/>
              </w:rPr>
              <w:t>Net earnings attributable to controlling interest</w:t>
            </w: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3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engineered wood components, structural lumber, and other products for manufactured housing, residential and commercial construction; and specialty wood packaging, components and packing materials for various industries. Our long-term sales objectives include:</w:t>
      </w:r>
    </w:p>
    <w:p>
      <w:pPr>
        <w:spacing w:after="0" w:line="289" w:lineRule="exact"/>
        <w:rPr>
          <w:sz w:val="20"/>
          <w:szCs w:val="20"/>
          <w:color w:val="auto"/>
        </w:rPr>
      </w:pPr>
    </w:p>
    <w:p>
      <w:pPr>
        <w:ind w:left="340" w:right="6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Diversifying our end market sales mix by increasing sales of specialty wood packaging to industrial users, increasing our penetration of the commercial construction market, increasing our sales of engineered wood components and complimentary products for custom home, multi-family, military and light commercial construction, and increasing our market share with independent retailers.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117" w:lineRule="exact"/>
        <w:rPr>
          <w:rFonts w:ascii="Arial" w:cs="Arial" w:eastAsia="Arial" w:hAnsi="Arial"/>
          <w:sz w:val="18"/>
          <w:szCs w:val="18"/>
          <w:color w:val="auto"/>
        </w:rPr>
      </w:pPr>
    </w:p>
    <w:p>
      <w:pPr>
        <w:ind w:left="340" w:right="80" w:hanging="332"/>
        <w:spacing w:after="0" w:line="25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sales of “value-added” products, which primarily consist of fencing, decking, lattice, and other specialty products sold to the 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which comprises approximately 20% of our total sales, is not presently included in value-added sales.</w:t>
      </w:r>
    </w:p>
    <w:p>
      <w:pPr>
        <w:spacing w:after="0" w:line="80" w:lineRule="exact"/>
        <w:rPr>
          <w:rFonts w:ascii="Arial" w:cs="Arial" w:eastAsia="Arial" w:hAnsi="Arial"/>
          <w:sz w:val="18"/>
          <w:szCs w:val="18"/>
          <w:color w:val="auto"/>
        </w:rPr>
      </w:pPr>
    </w:p>
    <w:p>
      <w:pPr>
        <w:ind w:left="340" w:right="200" w:hanging="332"/>
        <w:spacing w:after="0" w:line="286"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Developing new products and expanding our product offering for existing customers. New product sales were $91.2 million in the second quarter of 2016 compared to $83.6 million during the second quarter of 2015. New product sales year-to-date for 2016 and 2015 were $160.7 million and $135.6 million, respectively. Certain prior year product reclassifications resulted in an increase in new product sales in 2015.</w:t>
      </w:r>
    </w:p>
    <w:p>
      <w:pPr>
        <w:spacing w:after="0" w:line="57" w:lineRule="exact"/>
        <w:rPr>
          <w:rFonts w:ascii="Arial" w:cs="Arial" w:eastAsia="Arial" w:hAnsi="Arial"/>
          <w:sz w:val="17"/>
          <w:szCs w:val="17"/>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our gross sales and percentage change in gross sales by market classification.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60" w:type="dxa"/>
            <w:vAlign w:val="bottom"/>
            <w:gridSpan w:val="6"/>
          </w:tcPr>
          <w:p>
            <w:pPr>
              <w:ind w:left="60"/>
              <w:spacing w:after="0"/>
              <w:rPr>
                <w:sz w:val="20"/>
                <w:szCs w:val="20"/>
                <w:color w:val="auto"/>
              </w:rPr>
            </w:pPr>
            <w:r>
              <w:rPr>
                <w:rFonts w:ascii="Arial" w:cs="Arial" w:eastAsia="Arial" w:hAnsi="Arial"/>
                <w:sz w:val="18"/>
                <w:szCs w:val="18"/>
                <w:b w:val="1"/>
                <w:bCs w:val="1"/>
                <w:color w:val="auto"/>
              </w:rPr>
              <w:t>UNIVERSAL FOREST PRODUCTS, INC.</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85"/>
        </w:trPr>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77"/>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Three Months Ended</w:t>
            </w: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Six Months Ended</w:t>
            </w:r>
          </w:p>
        </w:tc>
        <w:tc>
          <w:tcPr>
            <w:tcW w:w="1480" w:type="dxa"/>
            <w:vAlign w:val="bottom"/>
            <w:tcBorders>
              <w:bottom w:val="single" w:sz="8" w:color="auto"/>
            </w:tcBorders>
          </w:tcPr>
          <w:p>
            <w:pPr>
              <w:spacing w:after="0"/>
              <w:rPr>
                <w:sz w:val="24"/>
                <w:szCs w:val="24"/>
                <w:color w:val="auto"/>
              </w:rPr>
            </w:pPr>
          </w:p>
        </w:tc>
      </w:tr>
      <w:tr>
        <w:trPr>
          <w:trHeight w:val="216"/>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Market Classification</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2"/>
              </w:rPr>
              <w:t>June 25, 2016</w:t>
            </w:r>
          </w:p>
        </w:tc>
        <w:tc>
          <w:tcPr>
            <w:tcW w:w="2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June 27, 2015</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 Change</w:t>
            </w:r>
          </w:p>
        </w:tc>
        <w:tc>
          <w:tcPr>
            <w:tcW w:w="18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1"/>
              </w:rPr>
              <w:t>June 25, 2016</w:t>
            </w:r>
          </w:p>
        </w:tc>
        <w:tc>
          <w:tcPr>
            <w:tcW w:w="2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1"/>
              </w:rPr>
              <w:t>June 27, 2015</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 Change</w:t>
            </w:r>
          </w:p>
        </w:tc>
      </w:tr>
      <w:tr>
        <w:trPr>
          <w:trHeight w:val="41"/>
        </w:trPr>
        <w:tc>
          <w:tcPr>
            <w:tcW w:w="40" w:type="dxa"/>
            <w:vAlign w:val="bottom"/>
            <w:tcBorders>
              <w:bottom w:val="single" w:sz="8" w:color="CCEEFF"/>
            </w:tcBorders>
          </w:tcPr>
          <w:p>
            <w:pPr>
              <w:spacing w:after="0"/>
              <w:rPr>
                <w:sz w:val="3"/>
                <w:szCs w:val="3"/>
                <w:color w:val="auto"/>
              </w:rPr>
            </w:pPr>
          </w:p>
        </w:tc>
        <w:tc>
          <w:tcPr>
            <w:tcW w:w="1540" w:type="dxa"/>
            <w:vAlign w:val="bottom"/>
            <w:tcBorders>
              <w:top w:val="single" w:sz="8" w:color="auto"/>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406,738</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378,357</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677,481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609,804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231,388</w:t>
            </w:r>
          </w:p>
        </w:tc>
        <w:tc>
          <w:tcPr>
            <w:tcW w:w="2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238,372</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435,632</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448,388</w:t>
            </w: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4"/>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249,261</w:t>
            </w:r>
          </w:p>
        </w:tc>
        <w:tc>
          <w:tcPr>
            <w:tcW w:w="2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234,112</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468,138</w:t>
            </w: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434,418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77"/>
        </w:trPr>
        <w:tc>
          <w:tcPr>
            <w:tcW w:w="25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Gross Sales</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887,387</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850,841</w:t>
            </w:r>
          </w:p>
        </w:tc>
        <w:tc>
          <w:tcPr>
            <w:tcW w:w="1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1,581,251</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1,492,610</w:t>
            </w:r>
          </w:p>
        </w:tc>
        <w:tc>
          <w:tcPr>
            <w:tcW w:w="14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5.9</w:t>
            </w:r>
          </w:p>
        </w:tc>
      </w:tr>
      <w:tr>
        <w:trPr>
          <w:trHeight w:val="277"/>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Sales Allowances</w:t>
            </w: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(15,294)</w:t>
            </w:r>
          </w:p>
        </w:tc>
        <w:tc>
          <w:tcPr>
            <w:tcW w:w="2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(12,670)</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(27,007)</w:t>
            </w: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(21,415)</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57"/>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872,093</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838,171</w:t>
            </w:r>
          </w:p>
        </w:tc>
        <w:tc>
          <w:tcPr>
            <w:tcW w:w="18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1,554,244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1,471,195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0"/>
        </w:trPr>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Note: During 2016, certain customers were reclassified to a different market. Prior year information has been restated to reflect these changes.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sales in the second quarter of 2016 increased over 4% compared to the same period of 2015, due to a 3% increase in unit sales and a 1% increase in selling prices primarily due to the Lumber Market.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sales in the first six months of 2016 increased 6% compared to the same period of 2015, due to a 7% increase in unit sales offset by a 1% decrease in overall selling prices primarily due to the Lumber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gross sales by market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r>
        <w:rPr>
          <w:rFonts w:ascii="Arial" w:cs="Arial" w:eastAsia="Arial" w:hAnsi="Arial"/>
          <w:sz w:val="18"/>
          <w:szCs w:val="18"/>
          <w:color w:val="auto"/>
        </w:rPr>
        <w: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sales to the retail market increased 7.5% in the second quarter of 2016 compared to the same period of 2015, due to a 5% increase in unit sales and a 3% increase in selling prices. Within this market, sales to our big box customers increased over 8% and sales to other retailers increased almost 6%. Our retail customers have benefited from improving consumer demand, as evidenced by their reported increases in same store sales. In addition, we gained market share with certain customers and increased our sales of new products with these customers. Our rate of unit sales growth declined from our first quarter to our second quarter in 2016, which we believe was due to the impact of favorable weather early in the year driving demand.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sales to the retail market increased by over 11% in the first six months of 2016 compared to the same period of 2015, due to a 10% increase in unit sales and a 1% increase in overall selling prices. Within this market, sales to our big box customers increased over 12% while our sales to other retailers increased 9% due to the same factors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r>
        <w:rPr>
          <w:rFonts w:ascii="Arial" w:cs="Arial" w:eastAsia="Arial" w:hAnsi="Arial"/>
          <w:sz w:val="18"/>
          <w:szCs w:val="18"/>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sales to the industrial market decreased approximately 3% in the second quarter of 2016 compared to the same period of 2015, resulting from a 2% decrease in unit sales and a 1% decrease in selling prices. We believe that demand of our existing customers has softened in 2016 as evidenced by a reported decline in U.S. industrial production due, in part, to a strong U.S. dollar and reduction of exports. In addition, we have been more selective in the business that we pursue by being more focused on higher margin value-added products.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Gross sales to the industrial market decreased approximately 3% in the first six months of 2016 compared to the same period of 2015, due to a 1% increase in unit sales offset by a 4% decrease in selling prices. The overall decrease was primarily due to the same factors discussed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Gross sales to the construction market increased over 6% in the second quarter of 2016 compared to 2015. The increase was due to a 5% increase in unit sales and a 1% increase in our selling prices. Our increase in unit sales was driven by a 10% increase to residential construction customers, a 4% increase to commercial construction customers, offset by a 1% decrease to manufactured housing customers. By comparison (and based upon various industry publications):</w:t>
      </w:r>
    </w:p>
    <w:p>
      <w:pPr>
        <w:spacing w:after="0" w:line="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Non-residential construction activity in April and May increased approximately 1.6%.</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National housing starts increased approximately 6.7% in the period from March through May 2016 (our sales trail housing starts by about a month) compared to the same period of 2015.</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of HUD-code homes in April and May 2016 were up 13.3% compared to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Modular home production increased by 11.7% in the first quarter of 2016 compared to the same period in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7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Gross sales to the construction market increased approximately 8% in the first six months of 2016 compared to the same period of 2015, due to a 9% increase in unit sales, offset by a 1% decrease in selling prices. Our increase in unit sales was primarily due to the same reasons discussed above.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 Value-added products generally carry higher gross margins than our commodity-based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203200</wp:posOffset>
            </wp:positionV>
            <wp:extent cx="4081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1780" cy="1714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3260" w:type="dxa"/>
            <w:vAlign w:val="bottom"/>
            <w:gridSpan w:val="3"/>
          </w:tcPr>
          <w:p>
            <w:pPr>
              <w:ind w:left="820"/>
              <w:spacing w:after="0"/>
              <w:rPr>
                <w:sz w:val="20"/>
                <w:szCs w:val="20"/>
                <w:color w:val="auto"/>
              </w:rPr>
            </w:pPr>
            <w:r>
              <w:rPr>
                <w:rFonts w:ascii="Arial" w:cs="Arial" w:eastAsia="Arial" w:hAnsi="Arial"/>
                <w:sz w:val="18"/>
                <w:szCs w:val="18"/>
                <w:color w:val="auto"/>
              </w:rPr>
              <w:t>Three Months Ended</w:t>
            </w:r>
          </w:p>
        </w:tc>
        <w:tc>
          <w:tcPr>
            <w:tcW w:w="3160" w:type="dxa"/>
            <w:vAlign w:val="bottom"/>
            <w:gridSpan w:val="2"/>
          </w:tcPr>
          <w:p>
            <w:pPr>
              <w:jc w:val="right"/>
              <w:ind w:right="810"/>
              <w:spacing w:after="0"/>
              <w:rPr>
                <w:sz w:val="20"/>
                <w:szCs w:val="20"/>
                <w:color w:val="auto"/>
              </w:rPr>
            </w:pPr>
            <w:r>
              <w:rPr>
                <w:rFonts w:ascii="Arial" w:cs="Arial" w:eastAsia="Arial" w:hAnsi="Arial"/>
                <w:sz w:val="18"/>
                <w:szCs w:val="18"/>
                <w:color w:val="auto"/>
              </w:rPr>
              <w:t>Six Months Ended</w:t>
            </w:r>
          </w:p>
        </w:tc>
      </w:tr>
      <w:tr>
        <w:trPr>
          <w:trHeight w:val="34"/>
        </w:trPr>
        <w:tc>
          <w:tcPr>
            <w:tcW w:w="50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5000" w:type="dxa"/>
            <w:vAlign w:val="bottom"/>
          </w:tcPr>
          <w:p>
            <w:pPr>
              <w:spacing w:after="0"/>
              <w:rPr>
                <w:sz w:val="21"/>
                <w:szCs w:val="21"/>
                <w:color w:val="auto"/>
              </w:rPr>
            </w:pP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June 25, 2016</w:t>
            </w: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rPr>
              <w:t>June 27, 2015</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June 25, 2016</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June 27, 2015</w:t>
            </w:r>
          </w:p>
        </w:tc>
      </w:tr>
      <w:tr>
        <w:trPr>
          <w:trHeight w:val="34"/>
        </w:trPr>
        <w:tc>
          <w:tcPr>
            <w:tcW w:w="50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Value-Added</w:t>
            </w: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60.6%</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Commodity-Based</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39.7%</w:t>
            </w:r>
          </w:p>
        </w:tc>
        <w:tc>
          <w:tcPr>
            <w:tcW w:w="14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39.4%</w:t>
            </w:r>
          </w:p>
        </w:tc>
        <w:tc>
          <w:tcPr>
            <w:tcW w:w="1460" w:type="dxa"/>
            <w:vAlign w:val="bottom"/>
          </w:tcPr>
          <w:p>
            <w:pPr>
              <w:jc w:val="right"/>
              <w:spacing w:after="0"/>
              <w:rPr>
                <w:sz w:val="20"/>
                <w:szCs w:val="20"/>
                <w:color w:val="auto"/>
              </w:rPr>
            </w:pPr>
            <w:r>
              <w:rPr>
                <w:rFonts w:ascii="Arial" w:cs="Arial" w:eastAsia="Arial" w:hAnsi="Arial"/>
                <w:sz w:val="18"/>
                <w:szCs w:val="18"/>
                <w:color w:val="auto"/>
              </w:rPr>
              <w:t>41.3%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gross margin increased to 15.1% from 13.4% comparing the second quarter of 2016 to the same period of 2015. Our gross profit dollars increased by $19.0 million, or 16.9%, which compares favorably to our 3% increase in unit sales. The improvement in our profitability in the second quarter of 2016 was attributable to the following factors:</w:t>
      </w:r>
    </w:p>
    <w:p>
      <w:pPr>
        <w:spacing w:after="0" w:line="181" w:lineRule="exact"/>
        <w:rPr>
          <w:sz w:val="20"/>
          <w:szCs w:val="20"/>
          <w:color w:val="auto"/>
        </w:rPr>
      </w:pPr>
    </w:p>
    <w:p>
      <w:pPr>
        <w:ind w:left="500" w:hanging="316"/>
        <w:spacing w:after="0" w:line="258"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$2.1 million of our gross profit increase was due to unit sales growth and a slight improvement in margin on sales to our residential construction customers.</w:t>
      </w:r>
    </w:p>
    <w:p>
      <w:pPr>
        <w:spacing w:after="0" w:line="1" w:lineRule="exact"/>
        <w:rPr>
          <w:rFonts w:ascii="Arial" w:cs="Arial" w:eastAsia="Arial" w:hAnsi="Arial"/>
          <w:sz w:val="18"/>
          <w:szCs w:val="18"/>
          <w:color w:val="auto"/>
        </w:rPr>
      </w:pPr>
    </w:p>
    <w:p>
      <w:pPr>
        <w:ind w:left="500" w:hanging="316"/>
        <w:spacing w:after="0" w:line="250"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$11.4 million of our gross profit increase was attributable to our unit sales growth to the retail market and an improvement in margin on these sales due, in part, to new products.</w:t>
      </w:r>
    </w:p>
    <w:p>
      <w:pPr>
        <w:ind w:left="500" w:right="20" w:hanging="316"/>
        <w:spacing w:after="0" w:line="290"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$2.5 million of our gross profit improvement was due to margin improvements on our sales to the industrial market resulting from improvements in our sales mix of more value-added products and lower lumber costs from opportunistic buying relative to our selling prices.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gross profit margin increased to 15.1% from 13.0% comparing the first six months of 2016 to the same period of 2015. Our gross profit dollars increased by $42.2 million, or 22.0%, which compares favorably to our 7% increase in unit sales. This improvement is primarily due to the same factors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("SG&amp;A") expenses increased by approximately $9.3 million, or 13.6%, in the second quarter of 2016 compared to the same period of 2015, while we reported a 3% increase in unit sales. The increase in SG&amp;A was primarily due to a $2.9 million increase in compensation and benefit costs, a $4.2 million increase in incentive and accrued bonus compensation resulting from an improvement in our profitability, and several other smaller increases driven, in part, by our unit sales growth.</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("SG&amp;A") expenses increased by approximately $18.5 million, or 14.2%, in the first six months of 2016 compared to the same period of 2015, while we reported a 7% increase in unit sales. SG&amp;A expenses were impacted in the first six months of 2016 by the same factors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"core" SG&amp;A expenses, excluding accrued bonus expense, were $62.4 million and $64.2 million in the first and second quarters of 2016,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interest costs were lower in the second quarter of 2016 compared to the same period of 2015, due to lower debt levels in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state and local income taxes and permanent tax differences. Our effective tax rate was 35.3% in the second quarter of 2016 compared to 37.4% for same period of 2015. Our effective tax rate was 35.0% in the first six months of 2016 compared to 37.0% in 2015, primarily due to the extension of the research &amp; development tax credit along with other credits that Congress did not extend until the end of 2015, which are not reflected in the 2015 second quarter and first six month's tax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our net sales and earnings from operations by reportable segment.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Net Sales</w:t>
            </w: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color w:val="auto"/>
                <w:w w:val="90"/>
              </w:rPr>
              <w:t>Earnings from Operations</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gridSpan w:val="3"/>
          </w:tcPr>
          <w:p>
            <w:pPr>
              <w:jc w:val="right"/>
              <w:ind w:right="270"/>
              <w:spacing w:after="0"/>
              <w:rPr>
                <w:sz w:val="20"/>
                <w:szCs w:val="20"/>
                <w:color w:val="auto"/>
              </w:rPr>
            </w:pPr>
            <w:r>
              <w:rPr>
                <w:rFonts w:ascii="Arial" w:cs="Arial" w:eastAsia="Arial" w:hAnsi="Arial"/>
                <w:sz w:val="18"/>
                <w:szCs w:val="18"/>
                <w:color w:val="auto"/>
                <w:w w:val="90"/>
              </w:rPr>
              <w:t>Three Months Ended</w:t>
            </w:r>
          </w:p>
        </w:tc>
        <w:tc>
          <w:tcPr>
            <w:tcW w:w="1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Three Months Ended</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6"/>
              </w:rPr>
              <w:t>June 25, 2016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6"/>
              </w:rPr>
              <w:t>June 27, 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85"/>
              </w:rPr>
              <w:t>Change</w:t>
            </w:r>
          </w:p>
        </w:tc>
        <w:tc>
          <w:tcPr>
            <w:tcW w:w="112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 Change</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w w:val="85"/>
              </w:rPr>
              <w:t>June 25, 2016</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w w:val="85"/>
              </w:rPr>
              <w:t>June 27, 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88"/>
              </w:rPr>
              <w:t>Change</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34"/>
        </w:trPr>
        <w:tc>
          <w:tcPr>
            <w:tcW w:w="2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North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288,185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281,333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6,852</w:t>
            </w:r>
          </w:p>
        </w:tc>
        <w:tc>
          <w:tcPr>
            <w:tcW w:w="11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2,742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43"/>
        </w:trPr>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South</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194,425</w:t>
            </w:r>
          </w:p>
        </w:tc>
        <w:tc>
          <w:tcPr>
            <w:tcW w:w="180" w:type="dxa"/>
            <w:vAlign w:val="bottom"/>
          </w:tcPr>
          <w:p>
            <w:pPr>
              <w:spacing w:after="0"/>
              <w:rPr>
                <w:sz w:val="21"/>
                <w:szCs w:val="21"/>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185,497</w:t>
            </w:r>
          </w:p>
        </w:tc>
        <w:tc>
          <w:tcPr>
            <w:tcW w:w="2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8,928</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13,794</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7,997</w:t>
            </w:r>
          </w:p>
        </w:tc>
        <w:tc>
          <w:tcPr>
            <w:tcW w:w="2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5,797</w:t>
            </w:r>
          </w:p>
        </w:tc>
        <w:tc>
          <w:tcPr>
            <w:tcW w:w="1160" w:type="dxa"/>
            <w:vAlign w:val="bottom"/>
          </w:tcPr>
          <w:p>
            <w:pPr>
              <w:jc w:val="right"/>
              <w:spacing w:after="0"/>
              <w:rPr>
                <w:sz w:val="20"/>
                <w:szCs w:val="20"/>
                <w:color w:val="auto"/>
              </w:rPr>
            </w:pPr>
            <w:r>
              <w:rPr>
                <w:rFonts w:ascii="Arial" w:cs="Arial" w:eastAsia="Arial" w:hAnsi="Arial"/>
                <w:sz w:val="18"/>
                <w:szCs w:val="18"/>
                <w:color w:val="auto"/>
              </w:rPr>
              <w:t>72.5 %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West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326,619</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309,511</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17,108</w:t>
            </w:r>
          </w:p>
        </w:tc>
        <w:tc>
          <w:tcPr>
            <w:tcW w:w="11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21,153</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18,272</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2,881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43"/>
        </w:trPr>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62,864</w:t>
            </w: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61,830</w:t>
            </w:r>
          </w:p>
        </w:tc>
        <w:tc>
          <w:tcPr>
            <w:tcW w:w="2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6,021</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2,997</w:t>
            </w:r>
          </w:p>
        </w:tc>
        <w:tc>
          <w:tcPr>
            <w:tcW w:w="2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3,024</w:t>
            </w:r>
          </w:p>
        </w:tc>
        <w:tc>
          <w:tcPr>
            <w:tcW w:w="1160" w:type="dxa"/>
            <w:vAlign w:val="bottom"/>
          </w:tcPr>
          <w:p>
            <w:pPr>
              <w:jc w:val="right"/>
              <w:spacing w:after="0"/>
              <w:rPr>
                <w:sz w:val="20"/>
                <w:szCs w:val="20"/>
                <w:color w:val="auto"/>
              </w:rPr>
            </w:pPr>
            <w:r>
              <w:rPr>
                <w:rFonts w:ascii="Arial" w:cs="Arial" w:eastAsia="Arial" w:hAnsi="Arial"/>
                <w:sz w:val="18"/>
                <w:szCs w:val="18"/>
                <w:color w:val="auto"/>
              </w:rPr>
              <w:t>100.9 %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400" w:type="dxa"/>
            <w:vAlign w:val="bottom"/>
            <w:tcBorders>
              <w:bottom w:val="single" w:sz="8" w:color="CCEEFF"/>
            </w:tcBorders>
            <w:gridSpan w:val="2"/>
            <w:shd w:val="clear" w:color="auto" w:fill="CCEEFF"/>
          </w:tcPr>
          <w:p>
            <w:pPr>
              <w:jc w:val="right"/>
              <w:ind w:right="14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(4,967)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7"/>
        </w:trPr>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838,171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33,922</w:t>
            </w:r>
          </w:p>
        </w:tc>
        <w:tc>
          <w:tcPr>
            <w:tcW w:w="11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53,665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44,188</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9,477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Net Sales</w:t>
            </w: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3"/>
            <w:vMerge w:val="restart"/>
          </w:tcPr>
          <w:p>
            <w:pPr>
              <w:jc w:val="center"/>
              <w:ind w:right="90"/>
              <w:spacing w:after="0"/>
              <w:rPr>
                <w:sz w:val="20"/>
                <w:szCs w:val="20"/>
                <w:color w:val="auto"/>
              </w:rPr>
            </w:pPr>
            <w:r>
              <w:rPr>
                <w:rFonts w:ascii="Arial" w:cs="Arial" w:eastAsia="Arial" w:hAnsi="Arial"/>
                <w:sz w:val="18"/>
                <w:szCs w:val="18"/>
                <w:color w:val="auto"/>
                <w:w w:val="90"/>
              </w:rPr>
              <w:t>Earnings from Operations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gridSpan w:val="3"/>
            <w:vMerge w:val="continue"/>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gridSpan w:val="3"/>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7"/>
              </w:rPr>
              <w:t>Six Months Ended</w:t>
            </w:r>
          </w:p>
        </w:tc>
        <w:tc>
          <w:tcPr>
            <w:tcW w:w="1120" w:type="dxa"/>
            <w:vAlign w:val="bottom"/>
            <w:tcBorders>
              <w:top w:val="single" w:sz="8" w:color="auto"/>
              <w:right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3"/>
          </w:tcPr>
          <w:p>
            <w:pPr>
              <w:jc w:val="center"/>
              <w:ind w:right="90"/>
              <w:spacing w:after="0"/>
              <w:rPr>
                <w:sz w:val="20"/>
                <w:szCs w:val="20"/>
                <w:color w:val="auto"/>
              </w:rPr>
            </w:pPr>
            <w:r>
              <w:rPr>
                <w:rFonts w:ascii="Arial" w:cs="Arial" w:eastAsia="Arial" w:hAnsi="Arial"/>
                <w:sz w:val="18"/>
                <w:szCs w:val="18"/>
                <w:color w:val="auto"/>
                <w:w w:val="91"/>
              </w:rPr>
              <w:t>Six Months Ended</w:t>
            </w: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4"/>
              </w:rPr>
              <w:t>June 25, 2016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6"/>
              </w:rPr>
              <w:t>June 27, 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8"/>
              </w:rPr>
              <w:t>Change</w:t>
            </w:r>
          </w:p>
        </w:tc>
        <w:tc>
          <w:tcPr>
            <w:tcW w:w="112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 Change</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w w:val="85"/>
              </w:rPr>
              <w:t>June 25, 2016</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w w:val="85"/>
              </w:rPr>
              <w:t>June 27, 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88"/>
              </w:rPr>
              <w:t>Change</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34"/>
        </w:trPr>
        <w:tc>
          <w:tcPr>
            <w:tcW w:w="2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North</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490,910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460,832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30,078</w:t>
            </w:r>
          </w:p>
        </w:tc>
        <w:tc>
          <w:tcPr>
            <w:tcW w:w="11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9,320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43"/>
        </w:trPr>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South</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359,524</w:t>
            </w:r>
          </w:p>
        </w:tc>
        <w:tc>
          <w:tcPr>
            <w:tcW w:w="180" w:type="dxa"/>
            <w:vAlign w:val="bottom"/>
          </w:tcPr>
          <w:p>
            <w:pPr>
              <w:spacing w:after="0"/>
              <w:rPr>
                <w:sz w:val="21"/>
                <w:szCs w:val="21"/>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349,692</w:t>
            </w:r>
          </w:p>
        </w:tc>
        <w:tc>
          <w:tcPr>
            <w:tcW w:w="2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9,832</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25,930</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13,999</w:t>
            </w:r>
          </w:p>
        </w:tc>
        <w:tc>
          <w:tcPr>
            <w:tcW w:w="2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11,931</w:t>
            </w:r>
          </w:p>
        </w:tc>
        <w:tc>
          <w:tcPr>
            <w:tcW w:w="1160" w:type="dxa"/>
            <w:vAlign w:val="bottom"/>
          </w:tcPr>
          <w:p>
            <w:pPr>
              <w:jc w:val="right"/>
              <w:spacing w:after="0"/>
              <w:rPr>
                <w:sz w:val="20"/>
                <w:szCs w:val="20"/>
                <w:color w:val="auto"/>
              </w:rPr>
            </w:pPr>
            <w:r>
              <w:rPr>
                <w:rFonts w:ascii="Arial" w:cs="Arial" w:eastAsia="Arial" w:hAnsi="Arial"/>
                <w:sz w:val="18"/>
                <w:szCs w:val="18"/>
                <w:color w:val="auto"/>
              </w:rPr>
              <w:t>85.2 %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West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604,207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567,090</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37,117</w:t>
            </w:r>
          </w:p>
        </w:tc>
        <w:tc>
          <w:tcPr>
            <w:tcW w:w="11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38,472</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28,790</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9,682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43"/>
        </w:trPr>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99,603</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93,581</w:t>
            </w:r>
          </w:p>
        </w:tc>
        <w:tc>
          <w:tcPr>
            <w:tcW w:w="2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6,022</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8,582</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1,850</w:t>
            </w:r>
          </w:p>
        </w:tc>
        <w:tc>
          <w:tcPr>
            <w:tcW w:w="2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6,732</w:t>
            </w:r>
          </w:p>
        </w:tc>
        <w:tc>
          <w:tcPr>
            <w:tcW w:w="1160" w:type="dxa"/>
            <w:vAlign w:val="bottom"/>
          </w:tcPr>
          <w:p>
            <w:pPr>
              <w:jc w:val="right"/>
              <w:spacing w:after="0"/>
              <w:rPr>
                <w:sz w:val="20"/>
                <w:szCs w:val="20"/>
                <w:color w:val="auto"/>
              </w:rPr>
            </w:pPr>
            <w:r>
              <w:rPr>
                <w:rFonts w:ascii="Arial" w:cs="Arial" w:eastAsia="Arial" w:hAnsi="Arial"/>
                <w:sz w:val="18"/>
                <w:szCs w:val="18"/>
                <w:color w:val="auto"/>
              </w:rPr>
              <w:t>363.9 %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380" w:type="dxa"/>
            <w:vAlign w:val="bottom"/>
            <w:tcBorders>
              <w:bottom w:val="single" w:sz="8" w:color="CCEEFF"/>
            </w:tcBorders>
            <w:shd w:val="clear" w:color="auto" w:fill="CCEEFF"/>
          </w:tcPr>
          <w:p>
            <w:pPr>
              <w:jc w:val="right"/>
              <w:ind w:right="3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2"/>
              </w:rPr>
              <w:t>(14,141)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0" w:type="dxa"/>
            <w:vAlign w:val="bottom"/>
          </w:tcPr>
          <w:p>
            <w:pPr>
              <w:spacing w:after="0"/>
              <w:rPr>
                <w:sz w:val="1"/>
                <w:szCs w:val="1"/>
                <w:color w:val="auto"/>
              </w:rPr>
            </w:pPr>
          </w:p>
        </w:tc>
      </w:tr>
      <w:tr>
        <w:trPr>
          <w:trHeight w:val="277"/>
        </w:trPr>
        <w:tc>
          <w:tcPr>
            <w:tcW w:w="2380" w:type="dxa"/>
            <w:vAlign w:val="bottom"/>
          </w:tcPr>
          <w:p>
            <w:pPr>
              <w:jc w:val="right"/>
              <w:ind w:right="3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1,554,244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1,471,195</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83,049</w:t>
            </w:r>
          </w:p>
        </w:tc>
        <w:tc>
          <w:tcPr>
            <w:tcW w:w="11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85,575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62,051</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23,524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1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Corporate primarily represents over (under) allocated administrative costs and accrued bonus expense. During the first six months of 2015, Corporate had a more significant over allocation of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238125</wp:posOffset>
            </wp:positionV>
            <wp:extent cx="55486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North Segment by Market</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620" w:type="dxa"/>
            <w:vAlign w:val="bottom"/>
            <w:gridSpan w:val="3"/>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1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Six Months Ended</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Market Classification</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w w:val="92"/>
              </w:rPr>
              <w:t>June 25, 2016</w:t>
            </w:r>
          </w:p>
        </w:tc>
        <w:tc>
          <w:tcPr>
            <w:tcW w:w="26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June 27, 2015</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June 25, 2016</w:t>
            </w: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June 27, 2015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41"/>
        </w:trPr>
        <w:tc>
          <w:tcPr>
            <w:tcW w:w="2620" w:type="dxa"/>
            <w:vAlign w:val="bottom"/>
            <w:gridSpan w:val="3"/>
            <w:vMerge w:val="restart"/>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20" w:type="dxa"/>
            <w:vAlign w:val="bottom"/>
            <w:gridSpan w:val="3"/>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152,643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147,755</w:t>
            </w:r>
          </w:p>
        </w:tc>
        <w:tc>
          <w:tcPr>
            <w:tcW w:w="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237,447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214,715</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33,523</w:t>
            </w:r>
          </w:p>
        </w:tc>
        <w:tc>
          <w:tcPr>
            <w:tcW w:w="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60,986</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63,003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109,739</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105,600</w:t>
            </w:r>
          </w:p>
        </w:tc>
        <w:tc>
          <w:tcPr>
            <w:tcW w:w="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202,004</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191,114</w:t>
            </w:r>
          </w:p>
        </w:tc>
        <w:tc>
          <w:tcPr>
            <w:tcW w:w="14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4"/>
        </w:trPr>
        <w:tc>
          <w:tcPr>
            <w:tcW w:w="2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Gross Sales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294,385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286,878</w:t>
            </w:r>
          </w:p>
        </w:tc>
        <w:tc>
          <w:tcPr>
            <w:tcW w:w="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500,437</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468,832</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Sales Allowances</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(6,200)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w:t>
            </w:r>
          </w:p>
        </w:tc>
        <w:tc>
          <w:tcPr>
            <w:tcW w:w="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4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7"/>
        </w:trPr>
        <w:tc>
          <w:tcPr>
            <w:tcW w:w="2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281,333</w:t>
            </w:r>
          </w:p>
        </w:tc>
        <w:tc>
          <w:tcPr>
            <w:tcW w:w="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490,910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460,832</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vMerge w:val="restart"/>
          </w:tcPr>
          <w:p>
            <w:pPr>
              <w:jc w:val="right"/>
              <w:ind w:right="1110"/>
              <w:spacing w:after="0"/>
              <w:rPr>
                <w:sz w:val="20"/>
                <w:szCs w:val="20"/>
                <w:color w:val="auto"/>
              </w:rPr>
            </w:pPr>
            <w:r>
              <w:rPr>
                <w:rFonts w:ascii="Arial" w:cs="Arial" w:eastAsia="Arial" w:hAnsi="Arial"/>
                <w:sz w:val="18"/>
                <w:szCs w:val="18"/>
                <w:color w:val="auto"/>
                <w:w w:val="89"/>
              </w:rPr>
              <w:t>19</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Net sales attributable to the North reportable segment increased in the second quarter of 2016 compared to 2015 due to increases in sales to our retail and construction markets, offset by a decrease in sales to our industrial customers due to the same factors discussed under "Gross Sales".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Earnings from operations for the North reportable segment increased in the second quarter of 2016 by $2.7 million, or 16.7%, due to the growth in our sales to retail and construction customers and margin improvements achieved due to a more favorable product sales mix, a decline in lumber costs on products we sell with fixed selling prices to industrial customers, and being more selective in the business we pursue as we focus on higher margin, value-added products. These improvements were offset by a 9.4% increase in our SG&amp;A expenses from 2015 to 2016.</w:t>
      </w:r>
    </w:p>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Net sales attributable to the North reportable segment increased in the first six months of 2016 compared to 2015 due to an increase in sales to our retail and construction markets, offset by a decrease in sales to our industrial customers due to the same factors discussed under "Gross Sales".</w:t>
      </w:r>
    </w:p>
    <w:p>
      <w:pPr>
        <w:spacing w:after="0" w:line="14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Earnings from operations for the North reportable segment increased in the first six months of of 2016 by $9.3 million, or 48.8%, due to the growth in our sales to retail and construction customers and margin improvements due to the same factors discussed above. These improvements were offset by a 9.0% increase in our SG&amp;A expenses from 2015 to 2016.</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gridSpan w:val="5"/>
          </w:tcPr>
          <w:p>
            <w:pPr>
              <w:spacing w:after="0"/>
              <w:rPr>
                <w:sz w:val="20"/>
                <w:szCs w:val="20"/>
                <w:color w:val="auto"/>
              </w:rPr>
            </w:pPr>
            <w:r>
              <w:rPr>
                <w:rFonts w:ascii="Arial" w:cs="Arial" w:eastAsia="Arial" w:hAnsi="Arial"/>
                <w:sz w:val="18"/>
                <w:szCs w:val="18"/>
                <w:color w:val="auto"/>
              </w:rPr>
              <w:t>South</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South Segment by Market</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4"/>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6"/>
              </w:rPr>
              <w:t>Three Months Ended</w:t>
            </w: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Six Months Ended</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Market Classification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June 25, 2016</w:t>
            </w:r>
          </w:p>
        </w:tc>
        <w:tc>
          <w:tcPr>
            <w:tcW w:w="18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June 27, 2015</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 Change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w w:val="89"/>
              </w:rPr>
              <w:t>June 25, 2016</w:t>
            </w:r>
          </w:p>
        </w:tc>
        <w:tc>
          <w:tcPr>
            <w:tcW w:w="14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June 27, 2015</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2520" w:type="dxa"/>
            <w:vAlign w:val="bottom"/>
            <w:gridSpan w:val="4"/>
            <w:vMerge w:val="restart"/>
          </w:tcPr>
          <w:p>
            <w:pPr>
              <w:ind w:left="20"/>
              <w:spacing w:after="0"/>
              <w:rPr>
                <w:sz w:val="20"/>
                <w:szCs w:val="20"/>
                <w:color w:val="auto"/>
              </w:rPr>
            </w:pPr>
            <w:r>
              <w:rPr>
                <w:rFonts w:ascii="Arial" w:cs="Arial" w:eastAsia="Arial" w:hAnsi="Arial"/>
                <w:sz w:val="18"/>
                <w:szCs w:val="18"/>
                <w:color w:val="auto"/>
              </w:rPr>
              <w:t>Retail</w:t>
            </w: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20" w:type="dxa"/>
            <w:vAlign w:val="bottom"/>
            <w:gridSpan w:val="4"/>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92,123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87,120</w:t>
            </w:r>
          </w:p>
        </w:tc>
        <w:tc>
          <w:tcPr>
            <w:tcW w:w="280" w:type="dxa"/>
            <w:vAlign w:val="bottom"/>
          </w:tcPr>
          <w:p>
            <w:pPr>
              <w:spacing w:after="0"/>
              <w:rPr>
                <w:sz w:val="21"/>
                <w:szCs w:val="21"/>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5.7 %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163,982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157,934</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65,162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66,830</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125,249</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131,028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25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41,180</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35,038</w:t>
            </w:r>
          </w:p>
        </w:tc>
        <w:tc>
          <w:tcPr>
            <w:tcW w:w="2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17.5 %</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77,432</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66,995</w:t>
            </w:r>
          </w:p>
        </w:tc>
        <w:tc>
          <w:tcPr>
            <w:tcW w:w="2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5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Gross Sales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198,465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188,988</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366,663</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355,957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25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Sales Allowances</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2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15.7 %</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2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5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185,497</w:t>
            </w:r>
          </w:p>
        </w:tc>
        <w:tc>
          <w:tcPr>
            <w:tcW w:w="2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4.8 % $</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359,524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349,692</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Net sales attributable to the South reportable segment increased in the second quarter of 2016 compared to 2015 due to an increase in sales to our retail and construction markets, offset by a decrease in sales to our industrial customers due to the same factors discussed under "Gross Sales".</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Earnings from operations for the South reportable segment increased in the second quarter of 2016 by $5.8 million, or 72.5%, due to the growth in our sales to retail and construction customers and margin improvements resulting from improvements in our sales mix of more higher margin, value-added products.</w:t>
      </w:r>
    </w:p>
    <w:p>
      <w:pPr>
        <w:spacing w:after="0" w:line="12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Net sales attributable to the South reportable segment increased in the first six months of 2016 compared to 2015 due to an increase in sales to our retail and construction markets, offset by a decrease in sales to our industrial customers due to the same factors discussed under "Gross Sales".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Earnings from operations for the South reportable segment increased in the first six months of of 2016 by $11.9 million, or 85.2%, due to the growth in our sales to retail and construction customers and margin improvements due to the same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80" w:type="dxa"/>
            <w:vAlign w:val="bottom"/>
            <w:gridSpan w:val="6"/>
          </w:tcPr>
          <w:p>
            <w:pPr>
              <w:ind w:left="80"/>
              <w:spacing w:after="0"/>
              <w:rPr>
                <w:sz w:val="20"/>
                <w:szCs w:val="20"/>
                <w:color w:val="auto"/>
              </w:rPr>
            </w:pPr>
            <w:r>
              <w:rPr>
                <w:rFonts w:ascii="Arial" w:cs="Arial" w:eastAsia="Arial" w:hAnsi="Arial"/>
                <w:sz w:val="18"/>
                <w:szCs w:val="18"/>
                <w:b w:val="1"/>
                <w:bCs w:val="1"/>
                <w:color w:val="auto"/>
              </w:rPr>
              <w:t>UNIVERSAL FOREST PRODUCTS, INC.</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West Segment by Market</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20" w:type="dxa"/>
            <w:vAlign w:val="bottom"/>
            <w:gridSpan w:val="3"/>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7"/>
              </w:rPr>
              <w:t>Three Months Ended</w:t>
            </w: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Six Months Ended</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Market Classification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June 25, 2016</w:t>
            </w:r>
          </w:p>
        </w:tc>
        <w:tc>
          <w:tcPr>
            <w:tcW w:w="1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June 27, 2015</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 Change</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1"/>
              </w:rPr>
              <w:t>June 25, 2016</w:t>
            </w:r>
          </w:p>
        </w:tc>
        <w:tc>
          <w:tcPr>
            <w:tcW w:w="12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June 27, 2015</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41"/>
        </w:trPr>
        <w:tc>
          <w:tcPr>
            <w:tcW w:w="2520" w:type="dxa"/>
            <w:vAlign w:val="bottom"/>
            <w:gridSpan w:val="3"/>
            <w:vMerge w:val="restart"/>
          </w:tcPr>
          <w:p>
            <w:pPr>
              <w:ind w:left="20"/>
              <w:spacing w:after="0"/>
              <w:rPr>
                <w:sz w:val="20"/>
                <w:szCs w:val="20"/>
                <w:color w:val="auto"/>
              </w:rPr>
            </w:pPr>
            <w:r>
              <w:rPr>
                <w:rFonts w:ascii="Arial" w:cs="Arial" w:eastAsia="Arial" w:hAnsi="Arial"/>
                <w:sz w:val="18"/>
                <w:szCs w:val="18"/>
                <w:color w:val="auto"/>
              </w:rPr>
              <w:t>Retail</w:t>
            </w: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520" w:type="dxa"/>
            <w:vAlign w:val="bottom"/>
            <w:gridSpan w:val="3"/>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114,216</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98,534</w:t>
            </w:r>
          </w:p>
        </w:tc>
        <w:tc>
          <w:tcPr>
            <w:tcW w:w="30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15.9 % $</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199,495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170,081</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118,786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121,351</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224,304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227,721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4"/>
        </w:trPr>
        <w:tc>
          <w:tcPr>
            <w:tcW w:w="25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98,339</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93,472</w:t>
            </w:r>
          </w:p>
        </w:tc>
        <w:tc>
          <w:tcPr>
            <w:tcW w:w="3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5.2 %</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188,702</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176,308</w:t>
            </w:r>
          </w:p>
        </w:tc>
        <w:tc>
          <w:tcPr>
            <w:tcW w:w="2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Gross Sales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331,341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313,357</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612,501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574,110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84"/>
        </w:trPr>
        <w:tc>
          <w:tcPr>
            <w:tcW w:w="25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Sales Allowances</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3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22.8 %</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(8,294)</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(7,020)</w:t>
            </w:r>
          </w:p>
        </w:tc>
        <w:tc>
          <w:tcPr>
            <w:tcW w:w="2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57"/>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326,619</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309,511</w:t>
            </w:r>
          </w:p>
        </w:tc>
        <w:tc>
          <w:tcPr>
            <w:tcW w:w="3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5.5 % $</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604,207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567,090</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Net sales attributable to the West reportable segment increased in the second quarter of 2016 compared to 2015 due to an increase in sales to our retail and construction markets, offset by a decrease in sales to our industrial customers due to the same factors discussed under "Gross Sales".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Earnings from operations for the West reportable segment increased in the second quarter of 2016 by $2.9 million, or 15.8%, due to the growth in our sales to retail and construction customers and margin improvements. Our margin improved due to a more favorable product sales mix, a decline in lumber costs on products we sell with fixed selling prices to our industrial customers, and being more selective in the business we pursue as we focus on higher margin, value-added products. These improvements were offset by a 6.5% increase in SG&amp;A expenses.</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Net sales attributable to the West reportable segment increased in the first six months of 2016 compared to 2015 due to an increase in sales to our retail and construction markets, offset by a decrease in sales to our industrial customers due to the same factors discussed under "Gross Sales".</w:t>
      </w:r>
    </w:p>
    <w:p>
      <w:pPr>
        <w:spacing w:after="0" w:line="14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Earnings from operations for the West reportable segment increased in the first six months of of 2016 by $9.7 million, or 33.6%, due to the growth in our sales to retail and construction customers and margin improvements due to the same factors discussed above. These improvements were offset by a 8.4% increase in SG&amp;A expenses during the first six months of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238125</wp:posOffset>
            </wp:positionV>
            <wp:extent cx="5608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8320" cy="17145"/>
                    </a:xfrm>
                    <a:prstGeom prst="rect">
                      <a:avLst/>
                    </a:prstGeom>
                    <a:noFill/>
                  </pic:spPr>
                </pic:pic>
              </a:graphicData>
            </a:graphic>
          </wp:anchor>
        </w:drawing>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All Other Segment by Market</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20" w:type="dxa"/>
            <w:vAlign w:val="bottom"/>
            <w:gridSpan w:val="3"/>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6"/>
              </w:rPr>
              <w:t>Three Months Ended</w:t>
            </w: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Six Months Ended</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Market Classification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June 25, 2016</w:t>
            </w:r>
          </w:p>
        </w:tc>
        <w:tc>
          <w:tcPr>
            <w:tcW w:w="18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June 27, 2015</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 Change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w w:val="89"/>
              </w:rPr>
              <w:t>June 25, 2016</w:t>
            </w:r>
          </w:p>
        </w:tc>
        <w:tc>
          <w:tcPr>
            <w:tcW w:w="14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June 27, 2015</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41"/>
        </w:trPr>
        <w:tc>
          <w:tcPr>
            <w:tcW w:w="2520" w:type="dxa"/>
            <w:vAlign w:val="bottom"/>
            <w:gridSpan w:val="3"/>
            <w:vMerge w:val="restart"/>
          </w:tcPr>
          <w:p>
            <w:pPr>
              <w:ind w:left="20"/>
              <w:spacing w:after="0"/>
              <w:rPr>
                <w:sz w:val="20"/>
                <w:szCs w:val="20"/>
                <w:color w:val="auto"/>
              </w:rPr>
            </w:pPr>
            <w:r>
              <w:rPr>
                <w:rFonts w:ascii="Arial" w:cs="Arial" w:eastAsia="Arial" w:hAnsi="Arial"/>
                <w:sz w:val="18"/>
                <w:szCs w:val="18"/>
                <w:color w:val="auto"/>
              </w:rPr>
              <w:t>Retail</w:t>
            </w: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520" w:type="dxa"/>
            <w:vAlign w:val="bottom"/>
            <w:gridSpan w:val="3"/>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47,756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44,949</w:t>
            </w:r>
          </w:p>
        </w:tc>
        <w:tc>
          <w:tcPr>
            <w:tcW w:w="280" w:type="dxa"/>
            <w:vAlign w:val="bottom"/>
          </w:tcPr>
          <w:p>
            <w:pPr>
              <w:spacing w:after="0"/>
              <w:rPr>
                <w:sz w:val="21"/>
                <w:szCs w:val="21"/>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6.2 %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76,557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67,074</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16,668</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25,093</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26,636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4"/>
        </w:trPr>
        <w:tc>
          <w:tcPr>
            <w:tcW w:w="25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50.0 %</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Gross Sales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63,196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61,619</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101,650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93,711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84"/>
        </w:trPr>
        <w:tc>
          <w:tcPr>
            <w:tcW w:w="25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Sales Allowances</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w:t>
            </w:r>
          </w:p>
        </w:tc>
        <w:tc>
          <w:tcPr>
            <w:tcW w:w="2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(257.3)%</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1,474.6 %</w:t>
            </w:r>
          </w:p>
        </w:tc>
        <w:tc>
          <w:tcPr>
            <w:tcW w:w="0" w:type="dxa"/>
            <w:vAlign w:val="bottom"/>
          </w:tcPr>
          <w:p>
            <w:pPr>
              <w:spacing w:after="0"/>
              <w:rPr>
                <w:sz w:val="1"/>
                <w:szCs w:val="1"/>
                <w:color w:val="auto"/>
              </w:rPr>
            </w:pPr>
          </w:p>
        </w:tc>
      </w:tr>
      <w:tr>
        <w:trPr>
          <w:trHeight w:val="257"/>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61,830</w:t>
            </w:r>
          </w:p>
        </w:tc>
        <w:tc>
          <w:tcPr>
            <w:tcW w:w="2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1.7 % $</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99,603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93,581</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sales attributable to the All Other reportable segment increased in the second quarter of 2016 compared to 2015 due to a $2.8 million increase in sales to our retail market by our Consumer Products reporting unit, offset by a $1.2 million decrease in sales to our industrial customers by our Australian and Mexican subsidiaries.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Earnings from operations for the All Other reportable segment increased in the second quarter of 2016 by $3.0 million due to the growth in our sales to retail customers, margin improvements, and a decline in SG&amp;A. Margin improvements were achieved through selective timing of raw material purchases, production efficiencies, and a decline in freight costs. SG&amp;A expenses for the quarter decreased by 10.0% primarily due to gained integration efficiencies by our Australian subsidiary.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sales attributable to the All Other reportable segment increased in the first six months of 2016 compared to 2015 due to a $9.5 million increase in sales to our retail market by our Consumer Products operations, offset by a $1.5 million decrease in sales to our industrial customers by our Australian and Mexican subsidiaries.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Earnings from operations for the All Other reportable segment increased in the first six months of of 2016 by $6.7 million due to the same factors discussed above.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w w:val="96"/>
              </w:rPr>
              <w:t>The table below presents, for the periods indicated, a summary of our cash flow statement (in thousands):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594"/>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4"/>
          </w:tcPr>
          <w:p>
            <w:pPr>
              <w:jc w:val="right"/>
              <w:ind w:right="890"/>
              <w:spacing w:after="0"/>
              <w:rPr>
                <w:sz w:val="20"/>
                <w:szCs w:val="20"/>
                <w:color w:val="auto"/>
              </w:rPr>
            </w:pPr>
            <w:r>
              <w:rPr>
                <w:rFonts w:ascii="Arial" w:cs="Arial" w:eastAsia="Arial" w:hAnsi="Arial"/>
                <w:sz w:val="18"/>
                <w:szCs w:val="18"/>
                <w:color w:val="auto"/>
              </w:rPr>
              <w:t>Six Months Ended</w:t>
            </w:r>
          </w:p>
        </w:tc>
      </w:tr>
      <w:tr>
        <w:trPr>
          <w:trHeight w:val="34"/>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June 25, 2016</w:t>
            </w:r>
          </w:p>
        </w:tc>
        <w:tc>
          <w:tcPr>
            <w:tcW w:w="220" w:type="dxa"/>
            <w:vAlign w:val="bottom"/>
          </w:tcPr>
          <w:p>
            <w:pPr>
              <w:spacing w:after="0"/>
              <w:rPr>
                <w:sz w:val="21"/>
                <w:szCs w:val="21"/>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2"/>
              </w:rPr>
              <w:t>June 27, 2015</w:t>
            </w:r>
          </w:p>
        </w:tc>
      </w:tr>
      <w:tr>
        <w:trPr>
          <w:trHeight w:val="34"/>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from operating activities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(26,898)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34"/>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87,756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August. Consequently, our working capital increases during our first and second quarter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decreased to 48 days in the first six months of 2016 from 56 days in the first six months of 2015.</w:t>
      </w:r>
    </w:p>
    <w:p>
      <w:pPr>
        <w:spacing w:after="0" w:line="343"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4"/>
          </w:tcPr>
          <w:p>
            <w:pPr>
              <w:jc w:val="right"/>
              <w:ind w:right="870"/>
              <w:spacing w:after="0"/>
              <w:rPr>
                <w:sz w:val="20"/>
                <w:szCs w:val="20"/>
                <w:color w:val="auto"/>
              </w:rPr>
            </w:pPr>
            <w:r>
              <w:rPr>
                <w:rFonts w:ascii="Arial" w:cs="Arial" w:eastAsia="Arial" w:hAnsi="Arial"/>
                <w:sz w:val="18"/>
                <w:szCs w:val="18"/>
                <w:color w:val="auto"/>
              </w:rPr>
              <w:t>Six Months Ended</w:t>
            </w:r>
          </w:p>
        </w:tc>
      </w:tr>
      <w:tr>
        <w:trPr>
          <w:trHeight w:val="34"/>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3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June 25, 2016</w:t>
            </w:r>
          </w:p>
        </w:tc>
        <w:tc>
          <w:tcPr>
            <w:tcW w:w="220" w:type="dxa"/>
            <w:vAlign w:val="bottom"/>
          </w:tcPr>
          <w:p>
            <w:pPr>
              <w:spacing w:after="0"/>
              <w:rPr>
                <w:sz w:val="21"/>
                <w:szCs w:val="21"/>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2"/>
              </w:rPr>
              <w:t>June 27, 2015</w:t>
            </w:r>
          </w:p>
        </w:tc>
      </w:tr>
      <w:tr>
        <w:trPr>
          <w:trHeight w:val="34"/>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Days of sales outstanding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Days supply of inventory</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Days payables outstanding</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Days in cash cycle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Improvements in our days supply of inventory in 2016 was due, in part, to strong customer demand and certain improvements in inventory management. During the first six months of 2015 we carried higher levels of safety stock inventory due to inclement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weather early in the year and expected industry transportation challenges. The 17% improvement in our days supply of inventory during the first six months of 2016 was due, in part, to strong customer demand, particularly in our retail market which typically requires a greater investment in inventory than our other markets, and certain improvements in inventory management. Each of our operating segments achieved significant improvements in their days supply of inventory. Our North, West, and South segments improved their days supply of inventory by 15%, 19%, and 16%, respectively, through the first six months of 2016.</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six months of 2016, our cash flows from operating activities was $40.0 million, which was comprised of net earnings of $54.5 million and $21.4 million of non-cash expenses, offset by a $35.9 million seasonal increase in working capital since the end of December 2015. The increase in our working capital primarily consisted of a 43% increase in our accounts receivable, since the end of December 2015, due to higher sales levels in June of 2016 compared to December 2015, offset by a 33% increase on our accounts payable, since the end of December 2015, due to a higher level of purchases in June 2016 compared to December 2015 as we prepared for our primary selling season.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Purchases of property, plant, and equipment comprised most of our cash used in investing activities during the first six months of 2016 and totaled $24.3 million. We currently plan to spend $70 to $75 million in 2016 on these and similar capital items. Outstanding purchase commitments on existing capital projects totaled approximately $19.0 million on June 25, 2016. We intend to fund capital expenditures and purchase commitments through our operating cash flows for the balance of the year.</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the Company continues to evaluate businesses to acquire that are complimentary to our existing Retail, Industrial, and Construction businesses, as well as new businesses that offer attractive growth and return on investment opportunities. Our current objective is to deploy approximately $100 million to $200 million of capital in 2016 to fund acquisitions. While a variety of factors beyond our control impact our ability to achieve this goal, we are actively evaluating and considering a number of targeted acquisition opportunities.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flows from financing activities primarily consisted of $8.5 million for dividends paid in June at $0.42 per share and $1.7 million of distributions to our partners that own a non-controlling interest in certain of our subsidiaries.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June 25, 2016, we had no outstanding balance on our $295 million revolving credit facility. The revolving credit facility also supports letters of credit totaling approximately $9.8 million on June 25, 2016, thus, we have $285 million in remaining availability on our revolver after considering letters of credit. Additionally, we have $150 million in availability under a "shelf agreement" for long term debt with a current lender.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June 25, 2016.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26, 2015.</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r>
        <w:rPr>
          <w:rFonts w:ascii="Arial" w:cs="Arial" w:eastAsia="Arial" w:hAnsi="Arial"/>
          <w:sz w:val="18"/>
          <w:szCs w:val="18"/>
          <w:color w:val="auto"/>
        </w:rPr>
        <w:t>.</w:t>
      </w:r>
    </w:p>
    <w:p>
      <w:pPr>
        <w:spacing w:after="0" w:line="387" w:lineRule="exact"/>
        <w:rPr>
          <w:sz w:val="20"/>
          <w:szCs w:val="20"/>
          <w:color w:val="auto"/>
        </w:rPr>
      </w:pPr>
    </w:p>
    <w:p>
      <w:pPr>
        <w:jc w:val="both"/>
        <w:ind w:left="660" w:right="300" w:hanging="314"/>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June 25, 2016 (the “Evaluation Date”), have concluded that, as of such date, our disclosure controls and procedures were effective.</w:t>
      </w:r>
    </w:p>
    <w:p>
      <w:pPr>
        <w:spacing w:after="0" w:line="92" w:lineRule="exact"/>
        <w:rPr>
          <w:rFonts w:ascii="Arial" w:cs="Arial" w:eastAsia="Arial" w:hAnsi="Arial"/>
          <w:sz w:val="16"/>
          <w:szCs w:val="16"/>
          <w:color w:val="auto"/>
        </w:rPr>
      </w:pPr>
    </w:p>
    <w:p>
      <w:pPr>
        <w:ind w:left="660" w:right="320" w:hanging="314"/>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June 25, 2016, there were no changes in our internal control over financial reporting that materially affected, or is reasonably likely to materially affect, our internal control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387"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Fiscal Month</w:t>
            </w: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(a)</w:t>
            </w: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(b)</w:t>
            </w:r>
          </w:p>
        </w:tc>
        <w:tc>
          <w:tcPr>
            <w:tcW w:w="1360" w:type="dxa"/>
            <w:vAlign w:val="bottom"/>
            <w:gridSpan w:val="2"/>
          </w:tcPr>
          <w:p>
            <w:pPr>
              <w:ind w:left="520"/>
              <w:spacing w:after="0"/>
              <w:rPr>
                <w:sz w:val="20"/>
                <w:szCs w:val="20"/>
                <w:color w:val="auto"/>
              </w:rPr>
            </w:pPr>
            <w:r>
              <w:rPr>
                <w:rFonts w:ascii="Arial" w:cs="Arial" w:eastAsia="Arial" w:hAnsi="Arial"/>
                <w:sz w:val="18"/>
                <w:szCs w:val="18"/>
                <w:color w:val="auto"/>
              </w:rPr>
              <w:t>(c)</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(d)</w:t>
            </w:r>
          </w:p>
        </w:tc>
      </w:tr>
      <w:tr>
        <w:trPr>
          <w:trHeight w:val="55"/>
        </w:trPr>
        <w:tc>
          <w:tcPr>
            <w:tcW w:w="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508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27 - April 30, 2016</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2,869,603</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May 1 - May 28, 2016</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2,869,603</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May 29 – June 25, 2016</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2,869,603</w:t>
            </w:r>
          </w:p>
        </w:tc>
      </w:tr>
      <w:tr>
        <w:trPr>
          <w:trHeight w:val="27"/>
        </w:trPr>
        <w:tc>
          <w:tcPr>
            <w:tcW w:w="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November 14, 2001, the Board of Directors approved a share repurchase program (which succeeded a previous program) allowing us to repurchase up to 2.5 million shares of our common stock. On October 14, 2011, our Board authorized an additional 2 million shares to be repurchased under our share repurchase program. The total number of shares that may be repurchased under the program is approximately 3 million shares.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387" w:lineRule="exact"/>
        <w:rPr>
          <w:sz w:val="20"/>
          <w:szCs w:val="20"/>
          <w:color w:val="auto"/>
        </w:rPr>
      </w:pPr>
    </w:p>
    <w:p>
      <w:pPr>
        <w:ind w:left="720" w:hanging="68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333" w:lineRule="exact"/>
        <w:rPr>
          <w:rFonts w:ascii="Arial" w:cs="Arial" w:eastAsia="Arial" w:hAnsi="Arial"/>
          <w:sz w:val="18"/>
          <w:szCs w:val="18"/>
          <w:color w:val="auto"/>
        </w:rPr>
      </w:pPr>
    </w:p>
    <w:p>
      <w:pPr>
        <w:ind w:left="1420" w:right="40" w:hanging="696"/>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278" w:lineRule="exact"/>
        <w:rPr>
          <w:rFonts w:ascii="Arial" w:cs="Arial" w:eastAsia="Arial" w:hAnsi="Arial"/>
          <w:sz w:val="18"/>
          <w:szCs w:val="18"/>
          <w:color w:val="auto"/>
        </w:rPr>
      </w:pPr>
    </w:p>
    <w:p>
      <w:pPr>
        <w:ind w:left="1420" w:right="40" w:hanging="696"/>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278" w:lineRule="exact"/>
        <w:rPr>
          <w:rFonts w:ascii="Arial" w:cs="Arial" w:eastAsia="Arial" w:hAnsi="Arial"/>
          <w:sz w:val="18"/>
          <w:szCs w:val="18"/>
          <w:color w:val="auto"/>
        </w:rPr>
      </w:pPr>
    </w:p>
    <w:p>
      <w:pPr>
        <w:ind w:left="720" w:hanging="68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333" w:lineRule="exact"/>
        <w:rPr>
          <w:rFonts w:ascii="Arial" w:cs="Arial" w:eastAsia="Arial" w:hAnsi="Arial"/>
          <w:sz w:val="18"/>
          <w:szCs w:val="18"/>
          <w:color w:val="auto"/>
        </w:rPr>
      </w:pPr>
    </w:p>
    <w:p>
      <w:pPr>
        <w:ind w:left="1420" w:right="40" w:hanging="696"/>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278" w:lineRule="exact"/>
        <w:rPr>
          <w:rFonts w:ascii="Arial" w:cs="Arial" w:eastAsia="Arial" w:hAnsi="Arial"/>
          <w:sz w:val="18"/>
          <w:szCs w:val="18"/>
          <w:color w:val="auto"/>
        </w:rPr>
      </w:pPr>
    </w:p>
    <w:p>
      <w:pPr>
        <w:ind w:left="1420" w:right="40" w:hanging="696"/>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-2094865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-1614170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(INS)</w:t>
            </w:r>
          </w:p>
        </w:tc>
        <w:tc>
          <w:tcPr>
            <w:tcW w:w="10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(SCH)</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Schema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(CAL)</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(LAB)</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135"/>
        </w:trPr>
        <w:tc>
          <w:tcPr>
            <w:tcW w:w="13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500" w:type="dxa"/>
            <w:vAlign w:val="bottom"/>
          </w:tcPr>
          <w:p>
            <w:pPr>
              <w:spacing w:after="0"/>
              <w:rPr>
                <w:sz w:val="11"/>
                <w:szCs w:val="11"/>
                <w:color w:val="auto"/>
              </w:rPr>
            </w:pPr>
          </w:p>
        </w:tc>
      </w:tr>
      <w:tr>
        <w:trPr>
          <w:trHeight w:val="122"/>
        </w:trPr>
        <w:tc>
          <w:tcPr>
            <w:tcW w:w="1300" w:type="dxa"/>
            <w:vAlign w:val="bottom"/>
            <w:shd w:val="clear" w:color="auto" w:fill="828282"/>
          </w:tcPr>
          <w:p>
            <w:pPr>
              <w:spacing w:after="0"/>
              <w:rPr>
                <w:sz w:val="10"/>
                <w:szCs w:val="10"/>
                <w:color w:val="auto"/>
              </w:rPr>
            </w:pPr>
          </w:p>
        </w:tc>
        <w:tc>
          <w:tcPr>
            <w:tcW w:w="3620" w:type="dxa"/>
            <w:vAlign w:val="bottom"/>
            <w:shd w:val="clear" w:color="auto" w:fill="828282"/>
          </w:tcPr>
          <w:p>
            <w:pPr>
              <w:spacing w:after="0"/>
              <w:rPr>
                <w:sz w:val="10"/>
                <w:szCs w:val="10"/>
                <w:color w:val="auto"/>
              </w:rPr>
            </w:pPr>
          </w:p>
        </w:tc>
        <w:tc>
          <w:tcPr>
            <w:tcW w:w="6500" w:type="dxa"/>
            <w:vAlign w:val="bottom"/>
          </w:tcPr>
          <w:p>
            <w:pPr>
              <w:spacing w:after="0"/>
              <w:rPr>
                <w:sz w:val="10"/>
                <w:szCs w:val="10"/>
                <w:color w:val="auto"/>
              </w:rPr>
            </w:pPr>
          </w:p>
        </w:tc>
      </w:tr>
    </w:tbl>
    <w:p>
      <w:pPr>
        <w:spacing w:after="0" w:line="20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July 27,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July 27, 2016</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33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31750</wp:posOffset>
            </wp:positionV>
            <wp:extent cx="33274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3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31750</wp:posOffset>
            </wp:positionV>
            <wp:extent cx="33274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4920" w:space="720"/>
            <w:col w:w="5780"/>
          </w:cols>
          <w:pgMar w:left="240" w:top="121"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333" w:lineRule="exact"/>
        <w:rPr>
          <w:sz w:val="20"/>
          <w:szCs w:val="20"/>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333" w:lineRule="exact"/>
        <w:rPr>
          <w:rFonts w:ascii="Arial" w:cs="Arial" w:eastAsia="Arial" w:hAnsi="Arial"/>
          <w:sz w:val="18"/>
          <w:szCs w:val="18"/>
          <w:color w:val="auto"/>
        </w:rPr>
      </w:pPr>
    </w:p>
    <w:p>
      <w:pPr>
        <w:ind w:left="1880" w:right="40" w:hanging="575"/>
        <w:spacing w:after="0" w:line="277" w:lineRule="auto"/>
        <w:tabs>
          <w:tab w:leader="none" w:pos="1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278" w:lineRule="exact"/>
        <w:rPr>
          <w:rFonts w:ascii="Arial" w:cs="Arial" w:eastAsia="Arial" w:hAnsi="Arial"/>
          <w:sz w:val="18"/>
          <w:szCs w:val="18"/>
          <w:color w:val="auto"/>
        </w:rPr>
      </w:pPr>
    </w:p>
    <w:p>
      <w:pPr>
        <w:ind w:left="1880" w:right="40" w:hanging="575"/>
        <w:spacing w:after="0" w:line="277" w:lineRule="auto"/>
        <w:tabs>
          <w:tab w:leader="none" w:pos="1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278" w:lineRule="exact"/>
        <w:rPr>
          <w:rFonts w:ascii="Arial" w:cs="Arial" w:eastAsia="Arial" w:hAnsi="Arial"/>
          <w:sz w:val="18"/>
          <w:szCs w:val="18"/>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333" w:lineRule="exact"/>
        <w:rPr>
          <w:rFonts w:ascii="Arial" w:cs="Arial" w:eastAsia="Arial" w:hAnsi="Arial"/>
          <w:sz w:val="18"/>
          <w:szCs w:val="18"/>
          <w:color w:val="auto"/>
        </w:rPr>
      </w:pPr>
    </w:p>
    <w:p>
      <w:pPr>
        <w:ind w:left="1880" w:right="40" w:hanging="575"/>
        <w:spacing w:after="0" w:line="277" w:lineRule="auto"/>
        <w:tabs>
          <w:tab w:leader="none" w:pos="1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278" w:lineRule="exact"/>
        <w:rPr>
          <w:rFonts w:ascii="Arial" w:cs="Arial" w:eastAsia="Arial" w:hAnsi="Arial"/>
          <w:sz w:val="18"/>
          <w:szCs w:val="18"/>
          <w:color w:val="auto"/>
        </w:rPr>
      </w:pPr>
    </w:p>
    <w:p>
      <w:pPr>
        <w:ind w:left="1880" w:right="40" w:hanging="575"/>
        <w:spacing w:after="0" w:line="277" w:lineRule="auto"/>
        <w:tabs>
          <w:tab w:leader="none" w:pos="1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-2094865</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-1614170</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(INS)</w:t>
            </w:r>
          </w:p>
        </w:tc>
        <w:tc>
          <w:tcPr>
            <w:tcW w:w="9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XBRL Instance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(SCH)</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Schema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(CAL)</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(LAB)</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135"/>
        </w:trPr>
        <w:tc>
          <w:tcPr>
            <w:tcW w:w="15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500" w:type="dxa"/>
            <w:vAlign w:val="bottom"/>
          </w:tcPr>
          <w:p>
            <w:pPr>
              <w:spacing w:after="0"/>
              <w:rPr>
                <w:sz w:val="11"/>
                <w:szCs w:val="11"/>
                <w:color w:val="auto"/>
              </w:rPr>
            </w:pPr>
          </w:p>
        </w:tc>
      </w:tr>
      <w:tr>
        <w:trPr>
          <w:trHeight w:val="122"/>
        </w:trPr>
        <w:tc>
          <w:tcPr>
            <w:tcW w:w="1540" w:type="dxa"/>
            <w:vAlign w:val="bottom"/>
            <w:shd w:val="clear" w:color="auto" w:fill="828282"/>
          </w:tcPr>
          <w:p>
            <w:pPr>
              <w:spacing w:after="0"/>
              <w:rPr>
                <w:sz w:val="10"/>
                <w:szCs w:val="10"/>
                <w:color w:val="auto"/>
              </w:rPr>
            </w:pPr>
          </w:p>
        </w:tc>
        <w:tc>
          <w:tcPr>
            <w:tcW w:w="3380" w:type="dxa"/>
            <w:vAlign w:val="bottom"/>
            <w:shd w:val="clear" w:color="auto" w:fill="828282"/>
          </w:tcPr>
          <w:p>
            <w:pPr>
              <w:spacing w:after="0"/>
              <w:rPr>
                <w:sz w:val="10"/>
                <w:szCs w:val="10"/>
                <w:color w:val="auto"/>
              </w:rPr>
            </w:pPr>
          </w:p>
        </w:tc>
        <w:tc>
          <w:tcPr>
            <w:tcW w:w="6500" w:type="dxa"/>
            <w:vAlign w:val="bottom"/>
          </w:tcPr>
          <w:p>
            <w:pPr>
              <w:spacing w:after="0"/>
              <w:rPr>
                <w:sz w:val="10"/>
                <w:szCs w:val="10"/>
                <w:color w:val="auto"/>
              </w:rPr>
            </w:pPr>
          </w:p>
        </w:tc>
      </w:tr>
    </w:tbl>
    <w:p>
      <w:pPr>
        <w:spacing w:after="0" w:line="20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239"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211" w:lineRule="exact"/>
        <w:rPr>
          <w:rFonts w:ascii="Arial" w:cs="Arial" w:eastAsia="Arial" w:hAnsi="Arial"/>
          <w:sz w:val="18"/>
          <w:szCs w:val="18"/>
          <w:color w:val="auto"/>
        </w:rPr>
      </w:pPr>
    </w:p>
    <w:p>
      <w:pPr>
        <w:jc w:val="both"/>
        <w:ind w:left="500" w:hanging="492"/>
        <w:spacing w:after="0" w:line="29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500" w:hanging="492"/>
        <w:spacing w:after="0" w:line="309"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jc w:val="both"/>
        <w:ind w:left="500" w:hanging="492"/>
        <w:spacing w:after="0" w:line="29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jc w:val="both"/>
        <w:ind w:left="820" w:hanging="326"/>
        <w:spacing w:after="0" w:line="295"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jc w:val="both"/>
        <w:ind w:left="820" w:hanging="326"/>
        <w:spacing w:after="0" w:line="295"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8"/>
          <w:szCs w:val="18"/>
          <w:color w:val="auto"/>
        </w:rPr>
      </w:pPr>
    </w:p>
    <w:p>
      <w:pPr>
        <w:ind w:left="820" w:right="20" w:hanging="326"/>
        <w:spacing w:after="0" w:line="341" w:lineRule="auto"/>
        <w:tabs>
          <w:tab w:leader="none" w:pos="8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jc w:val="both"/>
        <w:ind w:left="820" w:hanging="326"/>
        <w:spacing w:after="0" w:line="295"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500" w:hanging="492"/>
        <w:spacing w:after="0" w:line="341"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6" w:lineRule="exact"/>
        <w:rPr>
          <w:rFonts w:ascii="Arial" w:cs="Arial" w:eastAsia="Arial" w:hAnsi="Arial"/>
          <w:sz w:val="17"/>
          <w:szCs w:val="17"/>
          <w:color w:val="auto"/>
        </w:rPr>
      </w:pPr>
    </w:p>
    <w:p>
      <w:pPr>
        <w:ind w:left="820" w:hanging="326"/>
        <w:spacing w:after="0" w:line="309"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820" w:right="20" w:hanging="326"/>
        <w:spacing w:after="0" w:line="309"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ind w:left="140"/>
        <w:spacing w:after="0"/>
        <w:tabs>
          <w:tab w:leader="none" w:pos="57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27, 2016</w:t>
      </w:r>
      <w:r>
        <w:rPr>
          <w:sz w:val="20"/>
          <w:szCs w:val="20"/>
          <w:color w:val="auto"/>
        </w:rPr>
        <w:tab/>
      </w:r>
      <w:r>
        <w:rPr>
          <w:rFonts w:ascii="Arial" w:cs="Arial" w:eastAsia="Arial" w:hAnsi="Arial"/>
          <w:sz w:val="16"/>
          <w:szCs w:val="16"/>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Matthew J. Missad,</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 and Principal Executive Officer</w:t>
      </w:r>
    </w:p>
    <w:p>
      <w:pPr>
        <w:sectPr>
          <w:pgSz w:w="11900" w:h="16838" w:orient="portrait"/>
          <w:cols w:equalWidth="0" w:num="1">
            <w:col w:w="11420"/>
          </w:cols>
          <w:pgMar w:left="240" w:top="58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39"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211" w:lineRule="exact"/>
        <w:rPr>
          <w:rFonts w:ascii="Arial" w:cs="Arial" w:eastAsia="Arial" w:hAnsi="Arial"/>
          <w:sz w:val="18"/>
          <w:szCs w:val="18"/>
          <w:color w:val="auto"/>
        </w:rPr>
      </w:pPr>
    </w:p>
    <w:p>
      <w:pPr>
        <w:jc w:val="both"/>
        <w:ind w:left="500" w:hanging="492"/>
        <w:spacing w:after="0" w:line="295"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500" w:hanging="492"/>
        <w:spacing w:after="0" w:line="309"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jc w:val="both"/>
        <w:ind w:left="500" w:hanging="492"/>
        <w:spacing w:after="0" w:line="295"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jc w:val="both"/>
        <w:ind w:left="820" w:hanging="326"/>
        <w:spacing w:after="0" w:line="295"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jc w:val="both"/>
        <w:ind w:left="820" w:hanging="326"/>
        <w:spacing w:after="0" w:line="295"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8"/>
          <w:szCs w:val="18"/>
          <w:color w:val="auto"/>
        </w:rPr>
      </w:pPr>
    </w:p>
    <w:p>
      <w:pPr>
        <w:ind w:left="820" w:right="20" w:hanging="326"/>
        <w:spacing w:after="0" w:line="341" w:lineRule="auto"/>
        <w:tabs>
          <w:tab w:leader="none" w:pos="8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jc w:val="both"/>
        <w:ind w:left="820" w:hanging="326"/>
        <w:spacing w:after="0" w:line="295"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500" w:hanging="492"/>
        <w:spacing w:after="0" w:line="341"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6" w:lineRule="exact"/>
        <w:rPr>
          <w:rFonts w:ascii="Arial" w:cs="Arial" w:eastAsia="Arial" w:hAnsi="Arial"/>
          <w:sz w:val="17"/>
          <w:szCs w:val="17"/>
          <w:color w:val="auto"/>
        </w:rPr>
      </w:pPr>
    </w:p>
    <w:p>
      <w:pPr>
        <w:ind w:left="820" w:hanging="326"/>
        <w:spacing w:after="0" w:line="309"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820" w:right="20" w:hanging="326"/>
        <w:spacing w:after="0" w:line="309"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ind w:left="40"/>
        <w:spacing w:after="0"/>
        <w:tabs>
          <w:tab w:leader="none" w:pos="56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27, 2016</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662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Michael R. Cole</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 and Principal Accounting Officer</w:t>
      </w:r>
    </w:p>
    <w:p>
      <w:pPr>
        <w:sectPr>
          <w:pgSz w:w="11900" w:h="16838" w:orient="portrait"/>
          <w:cols w:equalWidth="0" w:num="1">
            <w:col w:w="11420"/>
          </w:cols>
          <w:pgMar w:left="240" w:top="58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1220" w:hanging="564"/>
        <w:spacing w:after="0" w:line="27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25, 2016, which this statement accompanies, fully complies with requirements of Section 13(a) or 15(d) of the Securities Exchange Act of 1934; and</w:t>
      </w:r>
    </w:p>
    <w:p>
      <w:pPr>
        <w:spacing w:after="0" w:line="170" w:lineRule="exact"/>
        <w:rPr>
          <w:rFonts w:ascii="Arial" w:cs="Arial" w:eastAsia="Arial" w:hAnsi="Arial"/>
          <w:sz w:val="18"/>
          <w:szCs w:val="18"/>
          <w:color w:val="auto"/>
        </w:rPr>
      </w:pPr>
    </w:p>
    <w:p>
      <w:pPr>
        <w:ind w:left="1220" w:hanging="564"/>
        <w:spacing w:after="0" w:line="27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June 25, 2016 fairly presents, in all material respects, the financial condition and results of operations of Universal Forest Products, Inc.</w:t>
      </w:r>
    </w:p>
    <w:p>
      <w:pPr>
        <w:spacing w:after="0" w:line="200" w:lineRule="exact"/>
        <w:rPr>
          <w:sz w:val="20"/>
          <w:szCs w:val="20"/>
          <w:color w:val="auto"/>
        </w:rPr>
      </w:pPr>
    </w:p>
    <w:p>
      <w:pPr>
        <w:spacing w:after="0" w:line="34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UNIVERSAL FOREST PRODUCTS, INC.</w:t>
      </w:r>
    </w:p>
    <w:p>
      <w:pPr>
        <w:spacing w:after="0" w:line="333" w:lineRule="exact"/>
        <w:rPr>
          <w:sz w:val="20"/>
          <w:szCs w:val="20"/>
          <w:color w:val="auto"/>
        </w:rPr>
      </w:pPr>
    </w:p>
    <w:p>
      <w:pPr>
        <w:ind w:left="40"/>
        <w:spacing w:after="0"/>
        <w:tabs>
          <w:tab w:leader="none" w:pos="54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27, 2016</w:t>
      </w:r>
      <w:r>
        <w:rPr>
          <w:sz w:val="20"/>
          <w:szCs w:val="20"/>
          <w:color w:val="auto"/>
        </w:rPr>
        <w:tab/>
      </w:r>
      <w:r>
        <w:rPr>
          <w:rFonts w:ascii="Arial" w:cs="Arial" w:eastAsia="Arial" w:hAnsi="Arial"/>
          <w:sz w:val="16"/>
          <w:szCs w:val="16"/>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31750</wp:posOffset>
            </wp:positionV>
            <wp:extent cx="37903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Matthew J. Missad,</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00" w:lineRule="exact"/>
        <w:rPr>
          <w:sz w:val="20"/>
          <w:szCs w:val="20"/>
          <w:color w:val="auto"/>
        </w:rPr>
      </w:pPr>
    </w:p>
    <w:p>
      <w:pPr>
        <w:spacing w:after="0" w:line="2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11420"/>
          </w:cols>
          <w:pgMar w:left="240" w:top="58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1220" w:hanging="564"/>
        <w:spacing w:after="0" w:line="277"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25, 2016, which this statement accompanies, fully complies with requirements of Section 13(a) or 15(d) of the Securities Exchange Act of 1934; and</w:t>
      </w:r>
    </w:p>
    <w:p>
      <w:pPr>
        <w:spacing w:after="0" w:line="170" w:lineRule="exact"/>
        <w:rPr>
          <w:rFonts w:ascii="Arial" w:cs="Arial" w:eastAsia="Arial" w:hAnsi="Arial"/>
          <w:sz w:val="18"/>
          <w:szCs w:val="18"/>
          <w:color w:val="auto"/>
        </w:rPr>
      </w:pPr>
    </w:p>
    <w:p>
      <w:pPr>
        <w:ind w:left="1220" w:hanging="564"/>
        <w:spacing w:after="0" w:line="277"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June 25, 2016 fairly presents, in all material respects, the financial condition and results of operations of Universal Forest Products, Inc.</w:t>
      </w: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UNIVERSAL FOREST PRODUCTS, INC.</w:t>
      </w:r>
    </w:p>
    <w:p>
      <w:pPr>
        <w:spacing w:after="0" w:line="333" w:lineRule="exact"/>
        <w:rPr>
          <w:sz w:val="20"/>
          <w:szCs w:val="20"/>
          <w:color w:val="auto"/>
        </w:rPr>
      </w:pPr>
    </w:p>
    <w:p>
      <w:pPr>
        <w:ind w:left="40"/>
        <w:spacing w:after="0"/>
        <w:tabs>
          <w:tab w:leader="none" w:pos="548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27, 2016</w:t>
      </w:r>
      <w:r>
        <w:rPr>
          <w:sz w:val="20"/>
          <w:szCs w:val="20"/>
          <w:color w:val="auto"/>
        </w:rPr>
        <w:tab/>
      </w:r>
      <w:r>
        <w:rPr>
          <w:rFonts w:ascii="Arial" w:cs="Arial" w:eastAsia="Arial" w:hAnsi="Arial"/>
          <w:sz w:val="16"/>
          <w:szCs w:val="16"/>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31750</wp:posOffset>
            </wp:positionV>
            <wp:extent cx="37820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R. Cole,</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and Principal Financial Officer</w:t>
      </w:r>
    </w:p>
    <w:p>
      <w:pPr>
        <w:spacing w:after="0" w:line="200" w:lineRule="exact"/>
        <w:rPr>
          <w:sz w:val="20"/>
          <w:szCs w:val="20"/>
          <w:color w:val="auto"/>
        </w:rPr>
      </w:pPr>
    </w:p>
    <w:p>
      <w:pPr>
        <w:spacing w:after="0" w:line="2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upperLetter"/>
      <w:start w:val="1"/>
    </w:lvl>
  </w:abstractNum>
  <w:abstractNum w:abstractNumId="3">
    <w:nsid w:val="7FDCC233"/>
    <w:multiLevelType w:val="hybridMultilevel"/>
    <w:lvl w:ilvl="0">
      <w:lvlJc w:val="left"/>
      <w:lvlText w:val="%1."/>
      <w:numFmt w:val="upperLetter"/>
      <w:start w:val="3"/>
    </w:lvl>
  </w:abstractNum>
  <w:abstractNum w:abstractNumId="4">
    <w:nsid w:val="1BEFD79F"/>
    <w:multiLevelType w:val="hybridMultilevel"/>
    <w:lvl w:ilvl="0">
      <w:lvlJc w:val="left"/>
      <w:lvlText w:val="%1."/>
      <w:numFmt w:val="upperLetter"/>
      <w:start w:val="4"/>
    </w:lvl>
  </w:abstractNum>
  <w:abstractNum w:abstractNumId="5">
    <w:nsid w:val="41A7C4C9"/>
    <w:multiLevelType w:val="hybridMultilevel"/>
    <w:lvl w:ilvl="0">
      <w:lvlJc w:val="left"/>
      <w:lvlText w:val="%1."/>
      <w:numFmt w:val="upperLetter"/>
      <w:start w:val="6"/>
    </w:lvl>
  </w:abstractNum>
  <w:abstractNum w:abstractNumId="6">
    <w:nsid w:val="6B68079A"/>
    <w:multiLevelType w:val="hybridMultilevel"/>
    <w:lvl w:ilvl="0">
      <w:lvlJc w:val="left"/>
      <w:lvlText w:val="%1."/>
      <w:numFmt w:val="upperLetter"/>
      <w:start w:val="7"/>
    </w:lvl>
  </w:abstractNum>
  <w:abstractNum w:abstractNumId="7">
    <w:nsid w:val="4E6AFB66"/>
    <w:multiLevelType w:val="hybridMultilevel"/>
    <w:lvl w:ilvl="0">
      <w:lvlJc w:val="left"/>
      <w:lvlText w:val="%1."/>
      <w:numFmt w:val="upperLetter"/>
      <w:start w:val="8"/>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31"/>
    </w:lvl>
    <w:lvl w:ilvl="1">
      <w:lvlJc w:val="left"/>
      <w:lvlText w:val="(%2)"/>
      <w:numFmt w:val="lowerLetter"/>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31"/>
    </w:lvl>
    <w:lvl w:ilvl="1">
      <w:lvlJc w:val="left"/>
      <w:lvlText w:val="(%2)"/>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2019-12-29T11:39:49Z</dcterms:created>
  <dcterms:modified xsi:type="dcterms:W3CDTF">2019-12-29T11:39:49Z</dcterms:modified>
</cp:coreProperties>
</file>