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ectPr>
          <w:pgSz w:w="11900" w:h="16838" w:orient="portrait"/>
          <w:cols w:equalWidth="0" w:num="1">
            <w:col w:w="10239"/>
          </w:cols>
          <w:pgMar w:left="220" w:top="225" w:right="1440" w:bottom="1440" w:gutter="0" w:footer="0" w:header="0"/>
        </w:sectPr>
      </w:pP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7" w:lineRule="exact"/>
        <w:rPr>
          <w:sz w:val="24"/>
          <w:szCs w:val="24"/>
          <w:color w:val="auto"/>
        </w:rPr>
      </w:pPr>
    </w:p>
    <w:p>
      <w:pPr>
        <w:sectPr>
          <w:pgSz w:w="11900" w:h="16838" w:orient="portrait"/>
          <w:cols w:equalWidth="0" w:num="2">
            <w:col w:w="280" w:space="520"/>
            <w:col w:w="9439"/>
          </w:cols>
          <w:pgMar w:left="220" w:top="225"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5"/>
          <w:szCs w:val="15"/>
          <w:color w:val="auto"/>
        </w:rPr>
        <w:t>For the quarterly period ended September 23, 2000</w:t>
      </w:r>
    </w:p>
    <w:p>
      <w:pPr>
        <w:ind w:left="41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800" w:right="3579" w:hanging="790"/>
        <w:spacing w:after="0" w:line="234" w:lineRule="auto"/>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0-22684</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UNIVERSAL FOREST PRODUCTS,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p>
      <w:pPr>
        <w:ind w:left="1840"/>
        <w:spacing w:after="0"/>
        <w:tabs>
          <w:tab w:leader="none" w:pos="5320" w:val="left"/>
        </w:tabs>
        <w:rPr>
          <w:sz w:val="20"/>
          <w:szCs w:val="20"/>
          <w:color w:val="auto"/>
        </w:rPr>
      </w:pPr>
      <w:r>
        <w:rPr>
          <w:rFonts w:ascii="Courier New" w:cs="Courier New" w:eastAsia="Courier New" w:hAnsi="Courier New"/>
          <w:sz w:val="15"/>
          <w:szCs w:val="15"/>
          <w:color w:val="auto"/>
        </w:rPr>
        <w:t>Michigan</w:t>
      </w:r>
      <w:r>
        <w:rPr>
          <w:sz w:val="20"/>
          <w:szCs w:val="20"/>
          <w:color w:val="auto"/>
        </w:rPr>
        <w:tab/>
      </w:r>
      <w:r>
        <w:rPr>
          <w:rFonts w:ascii="Courier New" w:cs="Courier New" w:eastAsia="Courier New" w:hAnsi="Courier New"/>
          <w:sz w:val="14"/>
          <w:szCs w:val="14"/>
          <w:color w:val="auto"/>
        </w:rPr>
        <w:t>38-1465835</w:t>
      </w:r>
    </w:p>
    <w:p>
      <w:pPr>
        <w:ind w:left="1140"/>
        <w:spacing w:after="0"/>
        <w:tabs>
          <w:tab w:leader="none" w:pos="4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1140"/>
        <w:spacing w:after="0"/>
        <w:tabs>
          <w:tab w:leader="none" w:pos="498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ind w:left="1140"/>
        <w:spacing w:after="0"/>
        <w:tabs>
          <w:tab w:leader="none" w:pos="4800"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Number)</w:t>
      </w:r>
    </w:p>
    <w:p>
      <w:pPr>
        <w:spacing w:after="0" w:line="335" w:lineRule="exact"/>
        <w:rPr>
          <w:sz w:val="24"/>
          <w:szCs w:val="24"/>
          <w:color w:val="auto"/>
        </w:rPr>
      </w:pPr>
    </w:p>
    <w:p>
      <w:pPr>
        <w:ind w:left="1140"/>
        <w:spacing w:after="0"/>
        <w:tabs>
          <w:tab w:leader="none" w:pos="5680" w:val="left"/>
        </w:tabs>
        <w:rPr>
          <w:sz w:val="20"/>
          <w:szCs w:val="20"/>
          <w:color w:val="auto"/>
        </w:rPr>
      </w:pPr>
      <w:r>
        <w:rPr>
          <w:rFonts w:ascii="Courier New" w:cs="Courier New" w:eastAsia="Courier New" w:hAnsi="Courier New"/>
          <w:sz w:val="15"/>
          <w:szCs w:val="15"/>
          <w:color w:val="auto"/>
        </w:rPr>
        <w:t>2801 East Beltline NE, Grand Rapids, Michigan</w:t>
      </w:r>
      <w:r>
        <w:rPr>
          <w:sz w:val="20"/>
          <w:szCs w:val="20"/>
          <w:color w:val="auto"/>
        </w:rPr>
        <w:tab/>
      </w:r>
      <w:r>
        <w:rPr>
          <w:rFonts w:ascii="Courier New" w:cs="Courier New" w:eastAsia="Courier New" w:hAnsi="Courier New"/>
          <w:sz w:val="14"/>
          <w:szCs w:val="14"/>
          <w:color w:val="auto"/>
        </w:rPr>
        <w:t>49525</w:t>
      </w:r>
    </w:p>
    <w:p>
      <w:pPr>
        <w:ind w:left="1140"/>
        <w:spacing w:after="0"/>
        <w:tabs>
          <w:tab w:leader="none" w:pos="5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1140"/>
        <w:spacing w:after="0"/>
        <w:tabs>
          <w:tab w:leader="none" w:pos="550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41"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Registrant's telephone number, including area code (616) 364-6161</w:t>
      </w:r>
    </w:p>
    <w:p>
      <w:pPr>
        <w:spacing w:after="0" w:line="3" w:lineRule="exact"/>
        <w:rPr>
          <w:sz w:val="24"/>
          <w:szCs w:val="24"/>
          <w:color w:val="auto"/>
        </w:rPr>
      </w:pPr>
    </w:p>
    <w:p>
      <w:pPr>
        <w:ind w:left="570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NONE</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ind w:left="980"/>
        <w:spacing w:after="0" w:line="238" w:lineRule="auto"/>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341"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342" w:lineRule="exact"/>
        <w:rPr>
          <w:sz w:val="24"/>
          <w:szCs w:val="24"/>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Indicate the number of shares of each of the issuer's classes of common stock, as of the latest practicable date:</w:t>
      </w:r>
    </w:p>
    <w:p>
      <w:pPr>
        <w:sectPr>
          <w:pgSz w:w="11900" w:h="16838" w:orient="portrait"/>
          <w:cols w:equalWidth="0" w:num="1">
            <w:col w:w="10239"/>
          </w:cols>
          <w:pgMar w:left="220" w:top="225" w:right="1440" w:bottom="1440" w:gutter="0" w:footer="0" w:header="0"/>
          <w:type w:val="continuous"/>
        </w:sectPr>
      </w:pPr>
    </w:p>
    <w:p>
      <w:pPr>
        <w:spacing w:after="0" w:line="167" w:lineRule="exact"/>
        <w:rPr>
          <w:sz w:val="24"/>
          <w:szCs w:val="24"/>
          <w:color w:val="auto"/>
        </w:rPr>
      </w:pPr>
    </w:p>
    <w:p>
      <w:pPr>
        <w:jc w:val="center"/>
        <w:ind w:left="200"/>
        <w:spacing w:after="0"/>
        <w:rPr>
          <w:sz w:val="20"/>
          <w:szCs w:val="20"/>
          <w:color w:val="auto"/>
        </w:rPr>
      </w:pPr>
      <w:r>
        <w:rPr>
          <w:rFonts w:ascii="Courier New" w:cs="Courier New" w:eastAsia="Courier New" w:hAnsi="Courier New"/>
          <w:sz w:val="15"/>
          <w:szCs w:val="15"/>
          <w:color w:val="auto"/>
        </w:rPr>
        <w:t>Class</w:t>
      </w:r>
    </w:p>
    <w:p>
      <w:pPr>
        <w:spacing w:after="0" w:line="5" w:lineRule="exact"/>
        <w:rPr>
          <w:sz w:val="24"/>
          <w:szCs w:val="24"/>
          <w:color w:val="auto"/>
        </w:rPr>
      </w:pPr>
    </w:p>
    <w:p>
      <w:pPr>
        <w:jc w:val="center"/>
        <w:ind w:left="3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4"/>
          <w:szCs w:val="24"/>
          <w:color w:val="auto"/>
        </w:rPr>
      </w:pPr>
    </w:p>
    <w:p>
      <w:pPr>
        <w:jc w:val="center"/>
        <w:ind w:left="300"/>
        <w:spacing w:after="0"/>
        <w:rPr>
          <w:sz w:val="20"/>
          <w:szCs w:val="20"/>
          <w:color w:val="auto"/>
        </w:rPr>
      </w:pPr>
      <w:r>
        <w:rPr>
          <w:rFonts w:ascii="Courier New" w:cs="Courier New" w:eastAsia="Courier New" w:hAnsi="Courier New"/>
          <w:sz w:val="14"/>
          <w:szCs w:val="14"/>
          <w:color w:val="auto"/>
        </w:rPr>
        <w:t>Common stock, no par value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as of November 1, 2000</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19,982,025</w:t>
      </w:r>
    </w:p>
    <w:p>
      <w:pPr>
        <w:spacing w:after="0" w:line="200" w:lineRule="exact"/>
        <w:rPr>
          <w:sz w:val="24"/>
          <w:szCs w:val="24"/>
          <w:color w:val="auto"/>
        </w:rPr>
      </w:pPr>
    </w:p>
    <w:p>
      <w:pPr>
        <w:sectPr>
          <w:pgSz w:w="11900" w:h="16838" w:orient="portrait"/>
          <w:cols w:equalWidth="0" w:num="2">
            <w:col w:w="3220" w:space="720"/>
            <w:col w:w="6299"/>
          </w:cols>
          <w:pgMar w:left="220" w:top="225" w:right="1440" w:bottom="1440" w:gutter="0" w:footer="0" w:header="0"/>
          <w:type w:val="continuous"/>
        </w:sectPr>
      </w:pPr>
    </w:p>
    <w:p>
      <w:pPr>
        <w:spacing w:after="0" w:line="309" w:lineRule="exact"/>
        <w:rPr>
          <w:sz w:val="24"/>
          <w:szCs w:val="24"/>
          <w:color w:val="auto"/>
        </w:rPr>
      </w:pPr>
    </w:p>
    <w:p>
      <w:pPr>
        <w:ind w:left="2980"/>
        <w:spacing w:after="0"/>
        <w:rPr>
          <w:sz w:val="20"/>
          <w:szCs w:val="20"/>
          <w:color w:val="auto"/>
        </w:rPr>
      </w:pPr>
      <w:r>
        <w:rPr>
          <w:rFonts w:ascii="Courier New" w:cs="Courier New" w:eastAsia="Courier New" w:hAnsi="Courier New"/>
          <w:sz w:val="14"/>
          <w:szCs w:val="14"/>
          <w:color w:val="auto"/>
        </w:rPr>
        <w:t>Page 1 of 26</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6040" w:type="dxa"/>
            <w:vAlign w:val="bottom"/>
          </w:tcPr>
          <w:p>
            <w:pPr>
              <w:jc w:val="right"/>
              <w:ind w:right="3467"/>
              <w:spacing w:after="0"/>
              <w:rPr>
                <w:sz w:val="20"/>
                <w:szCs w:val="20"/>
                <w:color w:val="auto"/>
              </w:rPr>
            </w:pPr>
            <w:r>
              <w:rPr>
                <w:rFonts w:ascii="Courier New" w:cs="Courier New" w:eastAsia="Courier New" w:hAnsi="Courier New"/>
                <w:sz w:val="15"/>
                <w:szCs w:val="15"/>
                <w:color w:val="auto"/>
              </w:rPr>
              <w:t>INDEX</w:t>
            </w:r>
          </w:p>
        </w:tc>
        <w:tc>
          <w:tcPr>
            <w:tcW w:w="920" w:type="dxa"/>
            <w:vAlign w:val="bottom"/>
          </w:tcPr>
          <w:p>
            <w:pPr>
              <w:spacing w:after="0"/>
              <w:rPr>
                <w:sz w:val="14"/>
                <w:szCs w:val="14"/>
                <w:color w:val="auto"/>
              </w:rPr>
            </w:pPr>
          </w:p>
        </w:tc>
      </w:tr>
      <w:tr>
        <w:trPr>
          <w:trHeight w:val="841"/>
        </w:trPr>
        <w:tc>
          <w:tcPr>
            <w:tcW w:w="1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168"/>
        </w:trPr>
        <w:tc>
          <w:tcPr>
            <w:tcW w:w="12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FINANCIAL INFORMATION.</w:t>
            </w:r>
          </w:p>
        </w:tc>
        <w:tc>
          <w:tcPr>
            <w:tcW w:w="920" w:type="dxa"/>
            <w:vAlign w:val="bottom"/>
          </w:tcPr>
          <w:p>
            <w:pPr>
              <w:spacing w:after="0"/>
              <w:rPr>
                <w:sz w:val="24"/>
                <w:szCs w:val="24"/>
                <w:color w:val="auto"/>
              </w:rPr>
            </w:pPr>
          </w:p>
        </w:tc>
      </w:tr>
      <w:tr>
        <w:trPr>
          <w:trHeight w:val="336"/>
        </w:trPr>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Item 1.</w:t>
            </w: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Financial Statements.</w:t>
            </w:r>
          </w:p>
        </w:tc>
        <w:tc>
          <w:tcPr>
            <w:tcW w:w="920" w:type="dxa"/>
            <w:vAlign w:val="bottom"/>
          </w:tcPr>
          <w:p>
            <w:pPr>
              <w:spacing w:after="0"/>
              <w:rPr>
                <w:sz w:val="24"/>
                <w:szCs w:val="24"/>
                <w:color w:val="auto"/>
              </w:rPr>
            </w:pPr>
          </w:p>
        </w:tc>
      </w:tr>
      <w:tr>
        <w:trPr>
          <w:trHeight w:val="336"/>
        </w:trPr>
        <w:tc>
          <w:tcPr>
            <w:tcW w:w="12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Consolidated Condensed Balance Sheets at September 23, 2000</w:t>
            </w:r>
          </w:p>
        </w:tc>
        <w:tc>
          <w:tcPr>
            <w:tcW w:w="9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December 25, 1999.</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12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Consolidated Condensed Statements of Earnings for the Three and</w:t>
            </w:r>
          </w:p>
        </w:tc>
        <w:tc>
          <w:tcPr>
            <w:tcW w:w="9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Nine Months Ended September 23, 2000 and September 25, 1999.</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12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Consolidated Condensed Statements of Shareholders' Equity for</w:t>
            </w:r>
          </w:p>
        </w:tc>
        <w:tc>
          <w:tcPr>
            <w:tcW w:w="9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Nine Months Ended September 23, 2000 and September 25,</w:t>
            </w:r>
          </w:p>
        </w:tc>
        <w:tc>
          <w:tcPr>
            <w:tcW w:w="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5-6</w:t>
            </w:r>
          </w:p>
        </w:tc>
      </w:tr>
      <w:tr>
        <w:trPr>
          <w:trHeight w:val="336"/>
        </w:trPr>
        <w:tc>
          <w:tcPr>
            <w:tcW w:w="12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Consolidated Condensed Statements of Cash Flows for the Nine</w:t>
            </w:r>
          </w:p>
        </w:tc>
        <w:tc>
          <w:tcPr>
            <w:tcW w:w="9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Months Ended September 23, 2000 and September 25, 1999.</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w:t>
            </w:r>
          </w:p>
        </w:tc>
      </w:tr>
      <w:tr>
        <w:trPr>
          <w:trHeight w:val="336"/>
        </w:trPr>
        <w:tc>
          <w:tcPr>
            <w:tcW w:w="12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Notes to Consolidated Condensed Financial Statements.</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8-12</w:t>
            </w:r>
          </w:p>
        </w:tc>
      </w:tr>
      <w:tr>
        <w:trPr>
          <w:trHeight w:val="336"/>
        </w:trPr>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Item 2.</w:t>
            </w: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9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Condition and Results of Operations.</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13-22</w:t>
            </w:r>
          </w:p>
        </w:tc>
      </w:tr>
      <w:tr>
        <w:trPr>
          <w:trHeight w:val="336"/>
        </w:trPr>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Item 3.</w:t>
            </w: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w:t>
            </w:r>
          </w:p>
        </w:tc>
      </w:tr>
      <w:tr>
        <w:trPr>
          <w:trHeight w:val="505"/>
        </w:trPr>
        <w:tc>
          <w:tcPr>
            <w:tcW w:w="12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OTHER INFORMATION.</w:t>
            </w:r>
          </w:p>
        </w:tc>
        <w:tc>
          <w:tcPr>
            <w:tcW w:w="920" w:type="dxa"/>
            <w:vAlign w:val="bottom"/>
          </w:tcPr>
          <w:p>
            <w:pPr>
              <w:spacing w:after="0"/>
              <w:rPr>
                <w:sz w:val="24"/>
                <w:szCs w:val="24"/>
                <w:color w:val="auto"/>
              </w:rPr>
            </w:pPr>
          </w:p>
        </w:tc>
      </w:tr>
      <w:tr>
        <w:trPr>
          <w:trHeight w:val="336"/>
        </w:trPr>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Item 1.</w:t>
            </w: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Legal Proceedings - NONE.</w:t>
            </w:r>
          </w:p>
        </w:tc>
        <w:tc>
          <w:tcPr>
            <w:tcW w:w="920" w:type="dxa"/>
            <w:vAlign w:val="bottom"/>
          </w:tcPr>
          <w:p>
            <w:pPr>
              <w:spacing w:after="0"/>
              <w:rPr>
                <w:sz w:val="24"/>
                <w:szCs w:val="24"/>
                <w:color w:val="auto"/>
              </w:rPr>
            </w:pPr>
          </w:p>
        </w:tc>
      </w:tr>
      <w:tr>
        <w:trPr>
          <w:trHeight w:val="336"/>
        </w:trPr>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Item 2.</w:t>
            </w: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Changes in Securities.</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w:t>
            </w:r>
          </w:p>
        </w:tc>
      </w:tr>
      <w:tr>
        <w:trPr>
          <w:trHeight w:val="336"/>
        </w:trPr>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Item 3.</w:t>
            </w: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Defaults Upon Senior Securities - NONE.</w:t>
            </w:r>
          </w:p>
        </w:tc>
        <w:tc>
          <w:tcPr>
            <w:tcW w:w="920" w:type="dxa"/>
            <w:vAlign w:val="bottom"/>
          </w:tcPr>
          <w:p>
            <w:pPr>
              <w:spacing w:after="0"/>
              <w:rPr>
                <w:sz w:val="24"/>
                <w:szCs w:val="24"/>
                <w:color w:val="auto"/>
              </w:rPr>
            </w:pPr>
          </w:p>
        </w:tc>
      </w:tr>
      <w:tr>
        <w:trPr>
          <w:trHeight w:val="336"/>
        </w:trPr>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Item 4.</w:t>
            </w: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Submission of Matters to a Vote of Security Holders - NONE</w:t>
            </w:r>
          </w:p>
        </w:tc>
        <w:tc>
          <w:tcPr>
            <w:tcW w:w="920" w:type="dxa"/>
            <w:vAlign w:val="bottom"/>
          </w:tcPr>
          <w:p>
            <w:pPr>
              <w:spacing w:after="0"/>
              <w:rPr>
                <w:sz w:val="24"/>
                <w:szCs w:val="24"/>
                <w:color w:val="auto"/>
              </w:rPr>
            </w:pPr>
          </w:p>
        </w:tc>
      </w:tr>
      <w:tr>
        <w:trPr>
          <w:trHeight w:val="336"/>
        </w:trPr>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Item 5.</w:t>
            </w: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Other Information - NONE.</w:t>
            </w:r>
          </w:p>
        </w:tc>
        <w:tc>
          <w:tcPr>
            <w:tcW w:w="920" w:type="dxa"/>
            <w:vAlign w:val="bottom"/>
          </w:tcPr>
          <w:p>
            <w:pPr>
              <w:spacing w:after="0"/>
              <w:rPr>
                <w:sz w:val="24"/>
                <w:szCs w:val="24"/>
                <w:color w:val="auto"/>
              </w:rPr>
            </w:pPr>
          </w:p>
        </w:tc>
      </w:tr>
      <w:tr>
        <w:trPr>
          <w:trHeight w:val="336"/>
        </w:trPr>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Item 6.</w:t>
            </w: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Exhibits and Reports on Form 8-K.</w:t>
            </w:r>
          </w:p>
        </w:tc>
        <w:tc>
          <w:tcPr>
            <w:tcW w:w="920" w:type="dxa"/>
            <w:vAlign w:val="bottom"/>
          </w:tcPr>
          <w:p>
            <w:pPr>
              <w:spacing w:after="0"/>
              <w:rPr>
                <w:sz w:val="24"/>
                <w:szCs w:val="24"/>
                <w:color w:val="auto"/>
              </w:rPr>
            </w:pPr>
          </w:p>
        </w:tc>
      </w:tr>
      <w:tr>
        <w:trPr>
          <w:trHeight w:val="336"/>
        </w:trPr>
        <w:tc>
          <w:tcPr>
            <w:tcW w:w="12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(a) Exhibit Index.</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w:t>
            </w:r>
          </w:p>
        </w:tc>
      </w:tr>
      <w:tr>
        <w:trPr>
          <w:trHeight w:val="336"/>
        </w:trPr>
        <w:tc>
          <w:tcPr>
            <w:tcW w:w="128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Courier New" w:cs="Courier New" w:eastAsia="Courier New" w:hAnsi="Courier New"/>
                <w:sz w:val="15"/>
                <w:szCs w:val="15"/>
                <w:color w:val="auto"/>
              </w:rPr>
              <w:t>(b) No reports were filed on Form 8-K during</w:t>
            </w:r>
          </w:p>
        </w:tc>
        <w:tc>
          <w:tcPr>
            <w:tcW w:w="92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040" w:type="dxa"/>
            <w:vAlign w:val="bottom"/>
          </w:tcPr>
          <w:p>
            <w:pPr>
              <w:jc w:val="right"/>
              <w:ind w:right="3467"/>
              <w:spacing w:after="0" w:line="168" w:lineRule="exact"/>
              <w:rPr>
                <w:sz w:val="20"/>
                <w:szCs w:val="20"/>
                <w:color w:val="auto"/>
              </w:rPr>
            </w:pPr>
            <w:r>
              <w:rPr>
                <w:rFonts w:ascii="Courier New" w:cs="Courier New" w:eastAsia="Courier New" w:hAnsi="Courier New"/>
                <w:sz w:val="15"/>
                <w:szCs w:val="15"/>
                <w:color w:val="auto"/>
              </w:rPr>
              <w:t>the third quarter.</w:t>
            </w:r>
          </w:p>
        </w:tc>
        <w:tc>
          <w:tcPr>
            <w:tcW w:w="920" w:type="dxa"/>
            <w:vAlign w:val="bottom"/>
          </w:tcPr>
          <w:p>
            <w:pPr>
              <w:spacing w:after="0"/>
              <w:rPr>
                <w:sz w:val="14"/>
                <w:szCs w:val="14"/>
                <w:color w:val="auto"/>
              </w:rPr>
            </w:pPr>
          </w:p>
        </w:tc>
      </w:tr>
      <w:tr>
        <w:trPr>
          <w:trHeight w:val="841"/>
        </w:trPr>
        <w:tc>
          <w:tcPr>
            <w:tcW w:w="1280" w:type="dxa"/>
            <w:vAlign w:val="bottom"/>
          </w:tcPr>
          <w:p>
            <w:pPr>
              <w:spacing w:after="0"/>
              <w:rPr>
                <w:sz w:val="24"/>
                <w:szCs w:val="24"/>
                <w:color w:val="auto"/>
              </w:rPr>
            </w:pPr>
          </w:p>
        </w:tc>
        <w:tc>
          <w:tcPr>
            <w:tcW w:w="6040" w:type="dxa"/>
            <w:vAlign w:val="bottom"/>
          </w:tcPr>
          <w:p>
            <w:pPr>
              <w:ind w:left="2220"/>
              <w:spacing w:after="0"/>
              <w:rPr>
                <w:sz w:val="20"/>
                <w:szCs w:val="20"/>
                <w:color w:val="auto"/>
              </w:rPr>
            </w:pPr>
            <w:r>
              <w:rPr>
                <w:rFonts w:ascii="Courier New" w:cs="Courier New" w:eastAsia="Courier New" w:hAnsi="Courier New"/>
                <w:sz w:val="15"/>
                <w:szCs w:val="15"/>
                <w:color w:val="auto"/>
              </w:rPr>
              <w:t>2</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UNIVERSAL FOREST PRODUCTS, INC.</w:t>
      </w:r>
    </w:p>
    <w:p>
      <w:pPr>
        <w:jc w:val="center"/>
        <w:ind w:right="4440"/>
        <w:spacing w:after="0" w:line="237" w:lineRule="auto"/>
        <w:rPr>
          <w:sz w:val="20"/>
          <w:szCs w:val="20"/>
          <w:color w:val="auto"/>
        </w:rPr>
      </w:pPr>
      <w:r>
        <w:rPr>
          <w:rFonts w:ascii="Courier New" w:cs="Courier New" w:eastAsia="Courier New" w:hAnsi="Courier New"/>
          <w:sz w:val="15"/>
          <w:szCs w:val="15"/>
          <w:color w:val="auto"/>
        </w:rPr>
        <w:t>CONSOLIDATED CONDENSED BALANCE SHEETS</w:t>
      </w:r>
    </w:p>
    <w:p>
      <w:pPr>
        <w:jc w:val="center"/>
        <w:ind w:right="4440"/>
        <w:spacing w:after="0" w:line="238" w:lineRule="auto"/>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8"/>
        </w:trPr>
        <w:tc>
          <w:tcPr>
            <w:tcW w:w="828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share data)</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505"/>
        </w:trPr>
        <w:tc>
          <w:tcPr>
            <w:tcW w:w="8280" w:type="dxa"/>
            <w:vAlign w:val="bottom"/>
          </w:tcPr>
          <w:p>
            <w:pPr>
              <w:spacing w:after="0"/>
              <w:rPr>
                <w:sz w:val="24"/>
                <w:szCs w:val="24"/>
                <w:color w:val="auto"/>
              </w:rPr>
            </w:pPr>
          </w:p>
        </w:tc>
        <w:tc>
          <w:tcPr>
            <w:tcW w:w="188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September 23,</w:t>
            </w:r>
          </w:p>
        </w:tc>
        <w:tc>
          <w:tcPr>
            <w:tcW w:w="1380" w:type="dxa"/>
            <w:vAlign w:val="bottom"/>
            <w:gridSpan w:val="2"/>
          </w:tcPr>
          <w:p>
            <w:pPr>
              <w:jc w:val="center"/>
              <w:ind w:left="267"/>
              <w:spacing w:after="0"/>
              <w:rPr>
                <w:sz w:val="20"/>
                <w:szCs w:val="20"/>
                <w:color w:val="auto"/>
              </w:rPr>
            </w:pPr>
            <w:r>
              <w:rPr>
                <w:rFonts w:ascii="Courier New" w:cs="Courier New" w:eastAsia="Courier New" w:hAnsi="Courier New"/>
                <w:sz w:val="15"/>
                <w:szCs w:val="15"/>
                <w:color w:val="auto"/>
                <w:w w:val="96"/>
              </w:rPr>
              <w:t>December 25,</w:t>
            </w:r>
          </w:p>
        </w:tc>
      </w:tr>
      <w:tr>
        <w:trPr>
          <w:trHeight w:val="168"/>
        </w:trPr>
        <w:tc>
          <w:tcPr>
            <w:tcW w:w="8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660" w:type="dxa"/>
            <w:vAlign w:val="bottom"/>
          </w:tcPr>
          <w:p>
            <w:pPr>
              <w:spacing w:after="0"/>
              <w:rPr>
                <w:sz w:val="14"/>
                <w:szCs w:val="14"/>
                <w:color w:val="auto"/>
              </w:rPr>
            </w:pPr>
          </w:p>
        </w:tc>
        <w:tc>
          <w:tcPr>
            <w:tcW w:w="7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8280" w:type="dxa"/>
            <w:vAlign w:val="bottom"/>
          </w:tcPr>
          <w:p>
            <w:pPr>
              <w:spacing w:after="0"/>
              <w:rPr>
                <w:sz w:val="14"/>
                <w:szCs w:val="14"/>
                <w:color w:val="auto"/>
              </w:rPr>
            </w:pPr>
          </w:p>
        </w:tc>
        <w:tc>
          <w:tcPr>
            <w:tcW w:w="18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82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82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8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7,780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4,106</w:t>
            </w:r>
          </w:p>
        </w:tc>
      </w:tr>
      <w:tr>
        <w:trPr>
          <w:trHeight w:val="168"/>
        </w:trPr>
        <w:tc>
          <w:tcPr>
            <w:tcW w:w="8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(net of allowance for doubtful accounts of</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$1,383 and $1,379)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100,430</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70,012</w:t>
            </w:r>
          </w:p>
        </w:tc>
      </w:tr>
      <w:tr>
        <w:trPr>
          <w:trHeight w:val="168"/>
        </w:trPr>
        <w:tc>
          <w:tcPr>
            <w:tcW w:w="8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Raw materials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38,807</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44,722</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Finished goods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75,332</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86,813</w:t>
            </w:r>
          </w:p>
        </w:tc>
      </w:tr>
      <w:tr>
        <w:trPr>
          <w:trHeight w:val="168"/>
        </w:trPr>
        <w:tc>
          <w:tcPr>
            <w:tcW w:w="8280" w:type="dxa"/>
            <w:vAlign w:val="bottom"/>
          </w:tcPr>
          <w:p>
            <w:pPr>
              <w:spacing w:after="0"/>
              <w:rPr>
                <w:sz w:val="14"/>
                <w:szCs w:val="14"/>
                <w:color w:val="auto"/>
              </w:rPr>
            </w:pP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114,139</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131,535</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Other current assets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7,046</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9,853</w:t>
            </w:r>
          </w:p>
        </w:tc>
      </w:tr>
      <w:tr>
        <w:trPr>
          <w:trHeight w:val="168"/>
        </w:trPr>
        <w:tc>
          <w:tcPr>
            <w:tcW w:w="8280" w:type="dxa"/>
            <w:vAlign w:val="bottom"/>
          </w:tcPr>
          <w:p>
            <w:pPr>
              <w:spacing w:after="0"/>
              <w:rPr>
                <w:sz w:val="14"/>
                <w:szCs w:val="14"/>
                <w:color w:val="auto"/>
              </w:rPr>
            </w:pP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229,395</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215,506</w:t>
            </w:r>
          </w:p>
        </w:tc>
      </w:tr>
      <w:tr>
        <w:trPr>
          <w:trHeight w:val="336"/>
        </w:trPr>
        <w:tc>
          <w:tcPr>
            <w:tcW w:w="8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OTHER ASSETS .............................................................................</w:t>
            </w:r>
          </w:p>
        </w:tc>
        <w:tc>
          <w:tcPr>
            <w:tcW w:w="74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11,446</w:t>
            </w:r>
          </w:p>
        </w:tc>
        <w:tc>
          <w:tcPr>
            <w:tcW w:w="66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10,836</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7"/>
              </w:rPr>
              <w:t>GOODWILL AND NON-COMPETE AGREEMENTS, NET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106,547</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93,183</w:t>
            </w:r>
          </w:p>
        </w:tc>
      </w:tr>
      <w:tr>
        <w:trPr>
          <w:trHeight w:val="336"/>
        </w:trPr>
        <w:tc>
          <w:tcPr>
            <w:tcW w:w="82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Property, plant and equipment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252,646</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222,742</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Accumulated depreciation and amortization ...........................................</w:t>
            </w:r>
          </w:p>
        </w:tc>
        <w:tc>
          <w:tcPr>
            <w:tcW w:w="7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(84,370)</w:t>
            </w:r>
          </w:p>
        </w:tc>
        <w:tc>
          <w:tcPr>
            <w:tcW w:w="660" w:type="dxa"/>
            <w:vAlign w:val="bottom"/>
          </w:tcPr>
          <w:p>
            <w:pPr>
              <w:spacing w:after="0"/>
              <w:rPr>
                <w:sz w:val="14"/>
                <w:szCs w:val="14"/>
                <w:color w:val="auto"/>
              </w:rPr>
            </w:pP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(73,629)</w:t>
            </w:r>
          </w:p>
        </w:tc>
      </w:tr>
      <w:tr>
        <w:trPr>
          <w:trHeight w:val="168"/>
        </w:trPr>
        <w:tc>
          <w:tcPr>
            <w:tcW w:w="8280" w:type="dxa"/>
            <w:vAlign w:val="bottom"/>
          </w:tcPr>
          <w:p>
            <w:pPr>
              <w:spacing w:after="0"/>
              <w:rPr>
                <w:sz w:val="14"/>
                <w:szCs w:val="14"/>
                <w:color w:val="auto"/>
              </w:rPr>
            </w:pP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PROPERTY, PLANT AND EQUIPMENT, NET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168,276</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149,113</w:t>
            </w:r>
          </w:p>
        </w:tc>
      </w:tr>
      <w:tr>
        <w:trPr>
          <w:trHeight w:val="168"/>
        </w:trPr>
        <w:tc>
          <w:tcPr>
            <w:tcW w:w="8280" w:type="dxa"/>
            <w:vAlign w:val="bottom"/>
          </w:tcPr>
          <w:p>
            <w:pPr>
              <w:spacing w:after="0"/>
              <w:rPr>
                <w:sz w:val="14"/>
                <w:szCs w:val="14"/>
                <w:color w:val="auto"/>
              </w:rPr>
            </w:pP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7"/>
              </w:rPr>
              <w:t>TOTAL ASSETS .............................................................................</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$ 515,664</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$ 468,638</w:t>
            </w:r>
          </w:p>
        </w:tc>
      </w:tr>
      <w:tr>
        <w:trPr>
          <w:trHeight w:val="168"/>
        </w:trPr>
        <w:tc>
          <w:tcPr>
            <w:tcW w:w="8280" w:type="dxa"/>
            <w:vAlign w:val="bottom"/>
          </w:tcPr>
          <w:p>
            <w:pPr>
              <w:spacing w:after="0"/>
              <w:rPr>
                <w:sz w:val="14"/>
                <w:szCs w:val="14"/>
                <w:color w:val="auto"/>
              </w:rPr>
            </w:pP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82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Short-term debt .....................................................................</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2,860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1,520</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54,510</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46,621</w:t>
            </w:r>
          </w:p>
        </w:tc>
      </w:tr>
      <w:tr>
        <w:trPr>
          <w:trHeight w:val="168"/>
        </w:trPr>
        <w:tc>
          <w:tcPr>
            <w:tcW w:w="8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Compensation and benefits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26,551</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32,491</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Other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14,582</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3,148</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Current portion of long-term debt and capital lease obligations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7,291</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7,402</w:t>
            </w:r>
          </w:p>
        </w:tc>
      </w:tr>
      <w:tr>
        <w:trPr>
          <w:trHeight w:val="168"/>
        </w:trPr>
        <w:tc>
          <w:tcPr>
            <w:tcW w:w="8280" w:type="dxa"/>
            <w:vAlign w:val="bottom"/>
          </w:tcPr>
          <w:p>
            <w:pPr>
              <w:spacing w:after="0"/>
              <w:rPr>
                <w:sz w:val="14"/>
                <w:szCs w:val="14"/>
                <w:color w:val="auto"/>
              </w:rPr>
            </w:pP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105,794</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91,182</w:t>
            </w:r>
          </w:p>
        </w:tc>
      </w:tr>
      <w:tr>
        <w:trPr>
          <w:trHeight w:val="336"/>
        </w:trPr>
        <w:tc>
          <w:tcPr>
            <w:tcW w:w="8280" w:type="dxa"/>
            <w:vAlign w:val="bottom"/>
          </w:tcPr>
          <w:p>
            <w:pPr>
              <w:spacing w:after="0"/>
              <w:rPr>
                <w:sz w:val="20"/>
                <w:szCs w:val="20"/>
                <w:color w:val="auto"/>
              </w:rPr>
            </w:pPr>
            <w:r>
              <w:rPr>
                <w:rFonts w:ascii="Courier New" w:cs="Courier New" w:eastAsia="Courier New" w:hAnsi="Courier New"/>
                <w:sz w:val="15"/>
                <w:szCs w:val="15"/>
                <w:color w:val="auto"/>
              </w:rPr>
              <w:t>LONG-TERM DEBT AND CAPITAL LEASE</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OBLIGATIONS, less current portion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153,836</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146,896</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7"/>
              </w:rPr>
              <w:t>DEFERRED INCOME TAXES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8,548</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8,398</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7"/>
              </w:rPr>
              <w:t>OTHER LIABILITIES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9,482</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7,600</w:t>
            </w:r>
          </w:p>
        </w:tc>
      </w:tr>
      <w:tr>
        <w:trPr>
          <w:trHeight w:val="168"/>
        </w:trPr>
        <w:tc>
          <w:tcPr>
            <w:tcW w:w="8280" w:type="dxa"/>
            <w:vAlign w:val="bottom"/>
          </w:tcPr>
          <w:p>
            <w:pPr>
              <w:spacing w:after="0"/>
              <w:rPr>
                <w:sz w:val="14"/>
                <w:szCs w:val="14"/>
                <w:color w:val="auto"/>
              </w:rPr>
            </w:pP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277,660</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254,076</w:t>
            </w:r>
          </w:p>
        </w:tc>
      </w:tr>
      <w:tr>
        <w:trPr>
          <w:trHeight w:val="336"/>
        </w:trPr>
        <w:tc>
          <w:tcPr>
            <w:tcW w:w="82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8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Preferred stock, no par value; shares authorized 1,000,000; issued</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and outstanding, none .............................................................</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8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no par value; shares authorized 40,000,000; issued</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and outstanding, 20,062,311 and 20,212,385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20,062</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20,212</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Additional paid-in capital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79,748</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78,625</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138,324</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115,327</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Accumulated other comprehensive earnings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1,136</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1,033</w:t>
            </w:r>
          </w:p>
        </w:tc>
      </w:tr>
      <w:tr>
        <w:trPr>
          <w:trHeight w:val="168"/>
        </w:trPr>
        <w:tc>
          <w:tcPr>
            <w:tcW w:w="8280" w:type="dxa"/>
            <w:vAlign w:val="bottom"/>
          </w:tcPr>
          <w:p>
            <w:pPr>
              <w:spacing w:after="0"/>
              <w:rPr>
                <w:sz w:val="14"/>
                <w:szCs w:val="14"/>
                <w:color w:val="auto"/>
              </w:rPr>
            </w:pP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239,270</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215,197</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Officers' stock notes receivable ....................................................</w:t>
            </w:r>
          </w:p>
        </w:tc>
        <w:tc>
          <w:tcPr>
            <w:tcW w:w="7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(1,266)</w:t>
            </w:r>
          </w:p>
        </w:tc>
        <w:tc>
          <w:tcPr>
            <w:tcW w:w="660" w:type="dxa"/>
            <w:vAlign w:val="bottom"/>
          </w:tcPr>
          <w:p>
            <w:pPr>
              <w:spacing w:after="0"/>
              <w:rPr>
                <w:sz w:val="14"/>
                <w:szCs w:val="14"/>
                <w:color w:val="auto"/>
              </w:rPr>
            </w:pP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(635)</w:t>
            </w:r>
          </w:p>
        </w:tc>
      </w:tr>
      <w:tr>
        <w:trPr>
          <w:trHeight w:val="168"/>
        </w:trPr>
        <w:tc>
          <w:tcPr>
            <w:tcW w:w="8280" w:type="dxa"/>
            <w:vAlign w:val="bottom"/>
          </w:tcPr>
          <w:p>
            <w:pPr>
              <w:spacing w:after="0"/>
              <w:rPr>
                <w:sz w:val="14"/>
                <w:szCs w:val="14"/>
                <w:color w:val="auto"/>
              </w:rPr>
            </w:pP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 SHAREHOLDERS' EQUITY .................................................</w:t>
            </w:r>
          </w:p>
        </w:tc>
        <w:tc>
          <w:tcPr>
            <w:tcW w:w="7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238,004</w:t>
            </w:r>
          </w:p>
        </w:tc>
        <w:tc>
          <w:tcPr>
            <w:tcW w:w="66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214,562</w:t>
            </w:r>
          </w:p>
        </w:tc>
      </w:tr>
      <w:tr>
        <w:trPr>
          <w:trHeight w:val="168"/>
        </w:trPr>
        <w:tc>
          <w:tcPr>
            <w:tcW w:w="8280" w:type="dxa"/>
            <w:vAlign w:val="bottom"/>
          </w:tcPr>
          <w:p>
            <w:pPr>
              <w:spacing w:after="0"/>
              <w:rPr>
                <w:sz w:val="14"/>
                <w:szCs w:val="14"/>
                <w:color w:val="auto"/>
              </w:rPr>
            </w:pP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7"/>
              </w:rPr>
              <w:t>TOTAL LIABILITIES AND SHAREHOLDERS' EQUITY ...............................................</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$ 515,664</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$ 468,638</w:t>
            </w:r>
          </w:p>
        </w:tc>
      </w:tr>
      <w:tr>
        <w:trPr>
          <w:trHeight w:val="168"/>
        </w:trPr>
        <w:tc>
          <w:tcPr>
            <w:tcW w:w="8280" w:type="dxa"/>
            <w:vAlign w:val="bottom"/>
          </w:tcPr>
          <w:p>
            <w:pPr>
              <w:spacing w:after="0"/>
              <w:rPr>
                <w:sz w:val="14"/>
                <w:szCs w:val="14"/>
                <w:color w:val="auto"/>
              </w:rPr>
            </w:pP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condensed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40"/>
          </w:cols>
          <w:pgMar w:left="220" w:top="281" w:right="13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UNIVERSAL FOREST PRODUCTS,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CONDENSED STATEMENTS OF EARNINGS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Three Months Ended</w:t>
            </w:r>
          </w:p>
        </w:tc>
        <w:tc>
          <w:tcPr>
            <w:tcW w:w="260" w:type="dxa"/>
            <w:vAlign w:val="bottom"/>
          </w:tcPr>
          <w:p>
            <w:pPr>
              <w:spacing w:after="0"/>
              <w:rPr>
                <w:sz w:val="14"/>
                <w:szCs w:val="14"/>
                <w:color w:val="auto"/>
              </w:rPr>
            </w:pPr>
          </w:p>
        </w:tc>
        <w:tc>
          <w:tcPr>
            <w:tcW w:w="24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426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2"/>
              </w:rPr>
              <w:t>-----------------------------</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6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September 23,</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September 25,</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September 23,</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September 25,</w:t>
            </w:r>
          </w:p>
        </w:tc>
      </w:tr>
      <w:tr>
        <w:trPr>
          <w:trHeight w:val="168"/>
        </w:trPr>
        <w:tc>
          <w:tcPr>
            <w:tcW w:w="4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260" w:type="dxa"/>
            <w:vAlign w:val="bottom"/>
          </w:tcPr>
          <w:p>
            <w:pPr>
              <w:spacing w:after="0"/>
              <w:rPr>
                <w:sz w:val="14"/>
                <w:szCs w:val="14"/>
                <w:color w:val="auto"/>
              </w:rPr>
            </w:pPr>
          </w:p>
        </w:tc>
        <w:tc>
          <w:tcPr>
            <w:tcW w:w="1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371,030</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388,402</w:t>
            </w:r>
          </w:p>
        </w:tc>
        <w:tc>
          <w:tcPr>
            <w:tcW w:w="26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$1,106,680</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$1,135,333</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38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322,103</w:t>
            </w:r>
          </w:p>
        </w:tc>
        <w:tc>
          <w:tcPr>
            <w:tcW w:w="34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342,319</w:t>
            </w:r>
          </w:p>
        </w:tc>
        <w:tc>
          <w:tcPr>
            <w:tcW w:w="26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960,044</w:t>
            </w:r>
          </w:p>
        </w:tc>
        <w:tc>
          <w:tcPr>
            <w:tcW w:w="30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995,433</w:t>
            </w:r>
          </w:p>
        </w:tc>
      </w:tr>
      <w:tr>
        <w:trPr>
          <w:trHeight w:val="168"/>
        </w:trPr>
        <w:tc>
          <w:tcPr>
            <w:tcW w:w="426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38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48,927</w:t>
            </w:r>
          </w:p>
        </w:tc>
        <w:tc>
          <w:tcPr>
            <w:tcW w:w="34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46,083</w:t>
            </w:r>
          </w:p>
        </w:tc>
        <w:tc>
          <w:tcPr>
            <w:tcW w:w="26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146,636</w:t>
            </w:r>
          </w:p>
        </w:tc>
        <w:tc>
          <w:tcPr>
            <w:tcW w:w="30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139,900</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31,885</w:t>
            </w:r>
          </w:p>
        </w:tc>
        <w:tc>
          <w:tcPr>
            <w:tcW w:w="3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27,922</w:t>
            </w:r>
          </w:p>
        </w:tc>
        <w:tc>
          <w:tcPr>
            <w:tcW w:w="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91,248</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86,269</w:t>
            </w:r>
          </w:p>
        </w:tc>
      </w:tr>
      <w:tr>
        <w:trPr>
          <w:trHeight w:val="168"/>
        </w:trPr>
        <w:tc>
          <w:tcPr>
            <w:tcW w:w="426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EARNINGS FROM OPERATIONS.......................</w:t>
            </w:r>
          </w:p>
        </w:tc>
        <w:tc>
          <w:tcPr>
            <w:tcW w:w="38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17,042</w:t>
            </w:r>
          </w:p>
        </w:tc>
        <w:tc>
          <w:tcPr>
            <w:tcW w:w="34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18,161</w:t>
            </w:r>
          </w:p>
        </w:tc>
        <w:tc>
          <w:tcPr>
            <w:tcW w:w="26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55,388</w:t>
            </w:r>
          </w:p>
        </w:tc>
        <w:tc>
          <w:tcPr>
            <w:tcW w:w="30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53,631</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INTEREST, NET:</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3,648</w:t>
            </w:r>
          </w:p>
        </w:tc>
        <w:tc>
          <w:tcPr>
            <w:tcW w:w="3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2,993</w:t>
            </w:r>
          </w:p>
        </w:tc>
        <w:tc>
          <w:tcPr>
            <w:tcW w:w="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10,423</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9,230</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income...........................</w:t>
            </w:r>
          </w:p>
        </w:tc>
        <w:tc>
          <w:tcPr>
            <w:tcW w:w="3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(135)</w:t>
            </w:r>
          </w:p>
        </w:tc>
        <w:tc>
          <w:tcPr>
            <w:tcW w:w="3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(182)</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(486)</w:t>
            </w:r>
          </w:p>
        </w:tc>
      </w:tr>
      <w:tr>
        <w:trPr>
          <w:trHeight w:val="168"/>
        </w:trPr>
        <w:tc>
          <w:tcPr>
            <w:tcW w:w="426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3,513</w:t>
            </w:r>
          </w:p>
        </w:tc>
        <w:tc>
          <w:tcPr>
            <w:tcW w:w="3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2,811</w:t>
            </w:r>
          </w:p>
        </w:tc>
        <w:tc>
          <w:tcPr>
            <w:tcW w:w="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10,042</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8,744</w:t>
            </w:r>
          </w:p>
        </w:tc>
      </w:tr>
      <w:tr>
        <w:trPr>
          <w:trHeight w:val="168"/>
        </w:trPr>
        <w:tc>
          <w:tcPr>
            <w:tcW w:w="426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EARNINGS BEFORE INCOME TAXES,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MINORITY INTEREST AND EQUITY IN</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(LOSS) OF INVESTEE..................</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13,529</w:t>
            </w:r>
          </w:p>
        </w:tc>
        <w:tc>
          <w:tcPr>
            <w:tcW w:w="3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15,350</w:t>
            </w:r>
          </w:p>
        </w:tc>
        <w:tc>
          <w:tcPr>
            <w:tcW w:w="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45,346</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44,887</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80" w:type="dxa"/>
            <w:vAlign w:val="bottom"/>
          </w:tcPr>
          <w:p>
            <w:pPr>
              <w:spacing w:after="0"/>
              <w:rPr>
                <w:sz w:val="24"/>
                <w:szCs w:val="2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5,177</w:t>
            </w:r>
          </w:p>
        </w:tc>
        <w:tc>
          <w:tcPr>
            <w:tcW w:w="34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6,004</w:t>
            </w:r>
          </w:p>
        </w:tc>
        <w:tc>
          <w:tcPr>
            <w:tcW w:w="26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17,693</w:t>
            </w:r>
          </w:p>
        </w:tc>
        <w:tc>
          <w:tcPr>
            <w:tcW w:w="30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17,818</w:t>
            </w:r>
          </w:p>
        </w:tc>
      </w:tr>
      <w:tr>
        <w:trPr>
          <w:trHeight w:val="168"/>
        </w:trPr>
        <w:tc>
          <w:tcPr>
            <w:tcW w:w="426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EARNINGS BEFORE MINORITY</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EQUITY IN EARNINGS</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OF INVESTEE...........................</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8,352</w:t>
            </w:r>
          </w:p>
        </w:tc>
        <w:tc>
          <w:tcPr>
            <w:tcW w:w="3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9,346</w:t>
            </w:r>
          </w:p>
        </w:tc>
        <w:tc>
          <w:tcPr>
            <w:tcW w:w="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27,653</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27,069</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38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(144)</w:t>
            </w:r>
          </w:p>
        </w:tc>
        <w:tc>
          <w:tcPr>
            <w:tcW w:w="340" w:type="dxa"/>
            <w:vAlign w:val="bottom"/>
          </w:tcPr>
          <w:p>
            <w:pPr>
              <w:spacing w:after="0"/>
              <w:rPr>
                <w:sz w:val="24"/>
                <w:szCs w:val="2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(144)</w:t>
            </w:r>
          </w:p>
        </w:tc>
        <w:tc>
          <w:tcPr>
            <w:tcW w:w="26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(474)</w:t>
            </w:r>
          </w:p>
        </w:tc>
        <w:tc>
          <w:tcPr>
            <w:tcW w:w="30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(278)</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EQUITY IN EARNINGS (LOSS)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INVESTEE..................................</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w:t>
            </w:r>
          </w:p>
        </w:tc>
        <w:tc>
          <w:tcPr>
            <w:tcW w:w="3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355</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875</w:t>
            </w:r>
          </w:p>
        </w:tc>
      </w:tr>
      <w:tr>
        <w:trPr>
          <w:trHeight w:val="168"/>
        </w:trPr>
        <w:tc>
          <w:tcPr>
            <w:tcW w:w="426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8,148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9,557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27,146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27,666</w:t>
            </w:r>
          </w:p>
        </w:tc>
      </w:tr>
      <w:tr>
        <w:trPr>
          <w:trHeight w:val="168"/>
        </w:trPr>
        <w:tc>
          <w:tcPr>
            <w:tcW w:w="426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60" w:type="dxa"/>
            <w:vAlign w:val="bottom"/>
          </w:tcPr>
          <w:p>
            <w:pPr>
              <w:spacing w:after="0"/>
              <w:rPr>
                <w:sz w:val="20"/>
                <w:szCs w:val="20"/>
                <w:color w:val="auto"/>
              </w:rPr>
            </w:pPr>
            <w:r>
              <w:rPr>
                <w:rFonts w:ascii="Courier New" w:cs="Courier New" w:eastAsia="Courier New" w:hAnsi="Courier New"/>
                <w:sz w:val="15"/>
                <w:szCs w:val="15"/>
                <w:color w:val="auto"/>
              </w:rPr>
              <w:t>EARNINGS PER SHARE - BASIC.....................</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0.40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0.46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EARNINGS PER SHARE - DILUTED...................</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0.40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0.45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20,123</w:t>
            </w:r>
          </w:p>
        </w:tc>
        <w:tc>
          <w:tcPr>
            <w:tcW w:w="3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20,746</w:t>
            </w:r>
          </w:p>
        </w:tc>
        <w:tc>
          <w:tcPr>
            <w:tcW w:w="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20,134</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20,734</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WITH COMMON</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EQUIVALENTS............................</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20,481</w:t>
            </w:r>
          </w:p>
        </w:tc>
        <w:tc>
          <w:tcPr>
            <w:tcW w:w="3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21,265</w:t>
            </w:r>
          </w:p>
        </w:tc>
        <w:tc>
          <w:tcPr>
            <w:tcW w:w="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20,502</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condensed financial statements.</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39"/>
          </w:cols>
          <w:pgMar w:left="220" w:top="281"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3080" w:type="dxa"/>
            <w:vAlign w:val="bottom"/>
          </w:tcPr>
          <w:p>
            <w:pPr>
              <w:ind w:left="280"/>
              <w:spacing w:after="0"/>
              <w:rPr>
                <w:sz w:val="20"/>
                <w:szCs w:val="20"/>
                <w:color w:val="auto"/>
              </w:rPr>
            </w:pPr>
            <w:r>
              <w:rPr>
                <w:rFonts w:ascii="Courier New" w:cs="Courier New" w:eastAsia="Courier New" w:hAnsi="Courier New"/>
                <w:sz w:val="15"/>
                <w:szCs w:val="15"/>
                <w:color w:val="auto"/>
              </w:rPr>
              <w:t>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41"/>
        </w:trPr>
        <w:tc>
          <w:tcPr>
            <w:tcW w:w="5660" w:type="dxa"/>
            <w:vAlign w:val="bottom"/>
            <w:gridSpan w:val="5"/>
          </w:tcPr>
          <w:p>
            <w:pPr>
              <w:jc w:val="center"/>
              <w:ind w:left="1367"/>
              <w:spacing w:after="0"/>
              <w:rPr>
                <w:sz w:val="20"/>
                <w:szCs w:val="20"/>
                <w:color w:val="auto"/>
              </w:rPr>
            </w:pPr>
            <w:r>
              <w:rPr>
                <w:rFonts w:ascii="Courier New" w:cs="Courier New" w:eastAsia="Courier New" w:hAnsi="Courier New"/>
                <w:sz w:val="15"/>
                <w:szCs w:val="15"/>
                <w:color w:val="auto"/>
                <w:w w:val="96"/>
              </w:rPr>
              <w:t>UNIVERSAL FOREST PRODUCTS, INC.</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840" w:type="dxa"/>
            <w:vAlign w:val="bottom"/>
            <w:gridSpan w:val="6"/>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CONSOLIDATED CONDENSED STATEMENTS OF SHAREHOLDERS' EQUITY</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520" w:type="dxa"/>
            <w:vAlign w:val="bottom"/>
            <w:gridSpan w:val="2"/>
          </w:tcPr>
          <w:p>
            <w:pPr>
              <w:jc w:val="center"/>
              <w:ind w:right="487"/>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5"/>
        </w:trPr>
        <w:tc>
          <w:tcPr>
            <w:tcW w:w="3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Accumulated</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Officers'</w:t>
            </w:r>
          </w:p>
        </w:tc>
        <w:tc>
          <w:tcPr>
            <w:tcW w:w="1020" w:type="dxa"/>
            <w:vAlign w:val="bottom"/>
          </w:tcPr>
          <w:p>
            <w:pPr>
              <w:spacing w:after="0"/>
              <w:rPr>
                <w:sz w:val="24"/>
                <w:szCs w:val="24"/>
                <w:color w:val="auto"/>
              </w:rPr>
            </w:pPr>
          </w:p>
        </w:tc>
      </w:tr>
      <w:tr>
        <w:trPr>
          <w:trHeight w:val="168"/>
        </w:trPr>
        <w:tc>
          <w:tcPr>
            <w:tcW w:w="3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Additional</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82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7"/>
              </w:rPr>
              <w:t>Stock</w:t>
            </w:r>
          </w:p>
        </w:tc>
        <w:tc>
          <w:tcPr>
            <w:tcW w:w="10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t>
            </w:r>
          </w:p>
        </w:tc>
        <w:tc>
          <w:tcPr>
            <w:tcW w:w="1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Paid-In</w:t>
            </w: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Retained</w:t>
            </w: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Comprehensive</w:t>
            </w:r>
          </w:p>
        </w:tc>
        <w:tc>
          <w:tcPr>
            <w:tcW w:w="360" w:type="dxa"/>
            <w:vAlign w:val="bottom"/>
          </w:tcPr>
          <w:p>
            <w:pPr>
              <w:spacing w:after="0"/>
              <w:rPr>
                <w:sz w:val="14"/>
                <w:szCs w:val="14"/>
                <w:color w:val="auto"/>
              </w:rPr>
            </w:pPr>
          </w:p>
        </w:tc>
        <w:tc>
          <w:tcPr>
            <w:tcW w:w="82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7"/>
              </w:rPr>
              <w:t>Notes</w:t>
            </w:r>
          </w:p>
        </w:tc>
        <w:tc>
          <w:tcPr>
            <w:tcW w:w="10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Capital</w:t>
            </w: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Earnings</w:t>
            </w:r>
          </w:p>
        </w:tc>
        <w:tc>
          <w:tcPr>
            <w:tcW w:w="2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Earnings</w:t>
            </w: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Receivable</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080" w:type="dxa"/>
            <w:vAlign w:val="bottom"/>
          </w:tcPr>
          <w:p>
            <w:pPr>
              <w:spacing w:after="0"/>
              <w:rPr>
                <w:sz w:val="14"/>
                <w:szCs w:val="14"/>
                <w:color w:val="auto"/>
              </w:rPr>
            </w:pP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87"/>
              </w:rPr>
              <w:t>BALANCE AS OF 12/25/99.................</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20,212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78,625</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$ 115,327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1,033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$ 214,562</w:t>
            </w:r>
          </w:p>
        </w:tc>
      </w:tr>
      <w:tr>
        <w:trPr>
          <w:trHeight w:val="336"/>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Comprehensive earnings: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6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Net earnings.....................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6,081</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Foreign currency translation</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adjustment.....................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154</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comprehensive earnings.......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6,235</w:t>
            </w:r>
          </w:p>
        </w:tc>
      </w:tr>
      <w:tr>
        <w:trPr>
          <w:trHeight w:val="336"/>
        </w:trPr>
        <w:tc>
          <w:tcPr>
            <w:tcW w:w="3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Issuance of 7,296 shares...........</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w:t>
            </w:r>
          </w:p>
        </w:tc>
        <w:tc>
          <w:tcPr>
            <w:tcW w:w="14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w:t>
            </w:r>
          </w:p>
        </w:tc>
      </w:tr>
      <w:tr>
        <w:trPr>
          <w:trHeight w:val="336"/>
        </w:trPr>
        <w:tc>
          <w:tcPr>
            <w:tcW w:w="3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Repurchase of 159,500 shares.......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(1,889)</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(2,048)</w:t>
            </w:r>
          </w:p>
        </w:tc>
      </w:tr>
      <w:tr>
        <w:trPr>
          <w:trHeight w:val="336"/>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w w:val="99"/>
              </w:rPr>
              <w:t>Payments received on officers'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stock notes receivable...........</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3080" w:type="dxa"/>
            <w:vAlign w:val="bottom"/>
          </w:tcPr>
          <w:p>
            <w:pPr>
              <w:spacing w:after="0"/>
              <w:rPr>
                <w:sz w:val="14"/>
                <w:szCs w:val="14"/>
                <w:color w:val="auto"/>
              </w:rPr>
            </w:pP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87"/>
              </w:rPr>
              <w:t>BALANCE AS OF 03/25/00.................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20,060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78,709</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$ 119,519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1,187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$ 218,964</w:t>
            </w:r>
          </w:p>
        </w:tc>
      </w:tr>
      <w:tr>
        <w:trPr>
          <w:trHeight w:val="336"/>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Comprehensive earnings: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Net earnings.....................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12,917</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Foreign currency translation</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adjustment.....................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comprehensive earnings.......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12,905</w:t>
            </w:r>
          </w:p>
        </w:tc>
      </w:tr>
      <w:tr>
        <w:trPr>
          <w:trHeight w:val="336"/>
        </w:trPr>
        <w:tc>
          <w:tcPr>
            <w:tcW w:w="3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Dividends paid.....................</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(808)</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(808)</w:t>
            </w:r>
          </w:p>
        </w:tc>
      </w:tr>
      <w:tr>
        <w:trPr>
          <w:trHeight w:val="336"/>
        </w:trPr>
        <w:tc>
          <w:tcPr>
            <w:tcW w:w="3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Issuance of 65,132 shares..........</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w:t>
            </w:r>
          </w:p>
        </w:tc>
        <w:tc>
          <w:tcPr>
            <w:tcW w:w="14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316</w:t>
            </w:r>
          </w:p>
        </w:tc>
      </w:tr>
      <w:tr>
        <w:trPr>
          <w:trHeight w:val="336"/>
        </w:trPr>
        <w:tc>
          <w:tcPr>
            <w:tcW w:w="3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Repurchase of 2,000 shares.........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36"/>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Issuance of officers' stock</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notes receivable.................</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w:t>
            </w:r>
          </w:p>
        </w:tc>
        <w:tc>
          <w:tcPr>
            <w:tcW w:w="1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740</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336"/>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w w:val="99"/>
              </w:rPr>
              <w:t>Payments received on officers'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stock notes receivable...........</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3080" w:type="dxa"/>
            <w:vAlign w:val="bottom"/>
          </w:tcPr>
          <w:p>
            <w:pPr>
              <w:spacing w:after="0"/>
              <w:rPr>
                <w:sz w:val="14"/>
                <w:szCs w:val="14"/>
                <w:color w:val="auto"/>
              </w:rPr>
            </w:pP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06/24/00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20,184</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79,700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$ 131,608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1,175</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$ 231,393</w:t>
            </w:r>
          </w:p>
        </w:tc>
      </w:tr>
      <w:tr>
        <w:trPr>
          <w:trHeight w:val="336"/>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Comprehensive earnings: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Net earnings.....................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8,148</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Foreign currency translation</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adjustment.....................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comprehensive earnings.......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8,109</w:t>
            </w:r>
          </w:p>
        </w:tc>
      </w:tr>
      <w:tr>
        <w:trPr>
          <w:trHeight w:val="336"/>
        </w:trPr>
        <w:tc>
          <w:tcPr>
            <w:tcW w:w="3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Issuance of 4,822 shares...........</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w:t>
            </w:r>
          </w:p>
        </w:tc>
        <w:tc>
          <w:tcPr>
            <w:tcW w:w="14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w:t>
            </w:r>
          </w:p>
        </w:tc>
      </w:tr>
      <w:tr>
        <w:trPr>
          <w:trHeight w:val="336"/>
        </w:trPr>
        <w:tc>
          <w:tcPr>
            <w:tcW w:w="3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Repurchase of 126,200 shares.......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(1,558)</w:t>
            </w:r>
          </w:p>
        </w:tc>
      </w:tr>
      <w:tr>
        <w:trPr>
          <w:trHeight w:val="50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w w:val="99"/>
              </w:rPr>
              <w:t>Payments received on officers'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stock notes receivable...........</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080" w:type="dxa"/>
            <w:vAlign w:val="bottom"/>
          </w:tcPr>
          <w:p>
            <w:pPr>
              <w:spacing w:after="0"/>
              <w:rPr>
                <w:sz w:val="14"/>
                <w:szCs w:val="14"/>
                <w:color w:val="auto"/>
              </w:rPr>
            </w:pP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87"/>
              </w:rPr>
              <w:t>BALANCE AS OF 09/23/00.................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20,062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79,748</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$ 138,324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1,136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1,266)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$ 238,004</w:t>
            </w:r>
          </w:p>
        </w:tc>
      </w:tr>
      <w:tr>
        <w:trPr>
          <w:trHeight w:val="168"/>
        </w:trPr>
        <w:tc>
          <w:tcPr>
            <w:tcW w:w="3080" w:type="dxa"/>
            <w:vAlign w:val="bottom"/>
          </w:tcPr>
          <w:p>
            <w:pPr>
              <w:spacing w:after="0"/>
              <w:rPr>
                <w:sz w:val="14"/>
                <w:szCs w:val="14"/>
                <w:color w:val="auto"/>
              </w:rPr>
            </w:pP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condensed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340"/>
          </w:cols>
          <w:pgMar w:left="220" w:top="281" w:right="133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UNIVERSAL FOREST PRODUCTS, INC.</w:t>
      </w:r>
    </w:p>
    <w:p>
      <w:pPr>
        <w:jc w:val="center"/>
        <w:ind w:right="4280"/>
        <w:spacing w:after="0" w:line="237" w:lineRule="auto"/>
        <w:rPr>
          <w:sz w:val="20"/>
          <w:szCs w:val="20"/>
          <w:color w:val="auto"/>
        </w:rPr>
      </w:pPr>
      <w:r>
        <w:rPr>
          <w:rFonts w:ascii="Courier New" w:cs="Courier New" w:eastAsia="Courier New" w:hAnsi="Courier New"/>
          <w:sz w:val="15"/>
          <w:szCs w:val="15"/>
          <w:color w:val="auto"/>
        </w:rPr>
        <w:t>CONSOLIDATED CONDENSED STATEMENTS OF SHAREHOLDERS' EQUITY</w:t>
      </w:r>
    </w:p>
    <w:p>
      <w:pPr>
        <w:jc w:val="center"/>
        <w:ind w:right="42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96"/>
              </w:rPr>
              <w:t>(in thousands, except share data)</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Accumulated</w:t>
            </w:r>
          </w:p>
        </w:tc>
        <w:tc>
          <w:tcPr>
            <w:tcW w:w="1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Officers'</w:t>
            </w:r>
          </w:p>
        </w:tc>
        <w:tc>
          <w:tcPr>
            <w:tcW w:w="100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Additional</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Other</w:t>
            </w:r>
          </w:p>
        </w:tc>
        <w:tc>
          <w:tcPr>
            <w:tcW w:w="340" w:type="dxa"/>
            <w:vAlign w:val="bottom"/>
          </w:tcPr>
          <w:p>
            <w:pPr>
              <w:spacing w:after="0"/>
              <w:rPr>
                <w:sz w:val="14"/>
                <w:szCs w:val="14"/>
                <w:color w:val="auto"/>
              </w:rPr>
            </w:pPr>
          </w:p>
        </w:tc>
        <w:tc>
          <w:tcPr>
            <w:tcW w:w="8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Stock</w:t>
            </w:r>
          </w:p>
        </w:tc>
        <w:tc>
          <w:tcPr>
            <w:tcW w:w="100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Paid-In</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Retained</w:t>
            </w:r>
          </w:p>
        </w:tc>
        <w:tc>
          <w:tcPr>
            <w:tcW w:w="13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Comprehensive</w:t>
            </w:r>
          </w:p>
        </w:tc>
        <w:tc>
          <w:tcPr>
            <w:tcW w:w="340" w:type="dxa"/>
            <w:vAlign w:val="bottom"/>
          </w:tcPr>
          <w:p>
            <w:pPr>
              <w:spacing w:after="0"/>
              <w:rPr>
                <w:sz w:val="14"/>
                <w:szCs w:val="14"/>
                <w:color w:val="auto"/>
              </w:rPr>
            </w:pPr>
          </w:p>
        </w:tc>
        <w:tc>
          <w:tcPr>
            <w:tcW w:w="8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Notes</w:t>
            </w:r>
          </w:p>
        </w:tc>
        <w:tc>
          <w:tcPr>
            <w:tcW w:w="100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Capital</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Earnings</w:t>
            </w: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Earnings</w:t>
            </w:r>
          </w:p>
        </w:tc>
        <w:tc>
          <w:tcPr>
            <w:tcW w:w="11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Receivable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9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BALANCE AS OF 12/26/98...................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20,710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77,526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95,221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1,072)</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802)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$ 191,583</w:t>
            </w:r>
          </w:p>
        </w:tc>
      </w:tr>
      <w:tr>
        <w:trPr>
          <w:trHeight w:val="336"/>
        </w:trPr>
        <w:tc>
          <w:tcPr>
            <w:tcW w:w="3900" w:type="dxa"/>
            <w:vAlign w:val="bottom"/>
          </w:tcPr>
          <w:p>
            <w:pPr>
              <w:jc w:val="right"/>
              <w:ind w:right="1447"/>
              <w:spacing w:after="0"/>
              <w:rPr>
                <w:sz w:val="20"/>
                <w:szCs w:val="20"/>
                <w:color w:val="auto"/>
              </w:rPr>
            </w:pPr>
            <w:r>
              <w:rPr>
                <w:rFonts w:ascii="Courier New" w:cs="Courier New" w:eastAsia="Courier New" w:hAnsi="Courier New"/>
                <w:sz w:val="15"/>
                <w:szCs w:val="15"/>
                <w:color w:val="auto"/>
              </w:rPr>
              <w:t>Comprehensive earnings: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earnings.......................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5,361</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adjustment.......................</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comprehensive earnings.........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5,664</w:t>
            </w:r>
          </w:p>
        </w:tc>
      </w:tr>
      <w:tr>
        <w:trPr>
          <w:trHeight w:val="336"/>
        </w:trPr>
        <w:tc>
          <w:tcPr>
            <w:tcW w:w="3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Issuance of 5,237 shares.............</w:t>
            </w:r>
          </w:p>
        </w:tc>
        <w:tc>
          <w:tcPr>
            <w:tcW w:w="48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92</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w:t>
            </w:r>
          </w:p>
        </w:tc>
      </w:tr>
      <w:tr>
        <w:trPr>
          <w:trHeight w:val="336"/>
        </w:trPr>
        <w:tc>
          <w:tcPr>
            <w:tcW w:w="3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Repurchase of 50,000 shares..........</w:t>
            </w:r>
          </w:p>
        </w:tc>
        <w:tc>
          <w:tcPr>
            <w:tcW w:w="4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(887)</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(937)</w:t>
            </w:r>
          </w:p>
        </w:tc>
      </w:tr>
      <w:tr>
        <w:trPr>
          <w:trHeight w:val="336"/>
        </w:trPr>
        <w:tc>
          <w:tcPr>
            <w:tcW w:w="39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Payments received on officers'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stock notes receivable.............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39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BALANCE AS OF 3/27/99....................</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20,666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77,618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99,695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769)</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$ 196,561</w:t>
            </w:r>
          </w:p>
        </w:tc>
      </w:tr>
      <w:tr>
        <w:trPr>
          <w:trHeight w:val="336"/>
        </w:trPr>
        <w:tc>
          <w:tcPr>
            <w:tcW w:w="3900" w:type="dxa"/>
            <w:vAlign w:val="bottom"/>
          </w:tcPr>
          <w:p>
            <w:pPr>
              <w:jc w:val="right"/>
              <w:ind w:right="1447"/>
              <w:spacing w:after="0"/>
              <w:rPr>
                <w:sz w:val="20"/>
                <w:szCs w:val="20"/>
                <w:color w:val="auto"/>
              </w:rPr>
            </w:pPr>
            <w:r>
              <w:rPr>
                <w:rFonts w:ascii="Courier New" w:cs="Courier New" w:eastAsia="Courier New" w:hAnsi="Courier New"/>
                <w:sz w:val="15"/>
                <w:szCs w:val="15"/>
                <w:color w:val="auto"/>
              </w:rPr>
              <w:t>Comprehensive earnings: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earnings.......................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12,748</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adjustment.......................</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512</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comprehensive earnings.........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13,260</w:t>
            </w:r>
          </w:p>
        </w:tc>
      </w:tr>
      <w:tr>
        <w:trPr>
          <w:trHeight w:val="336"/>
        </w:trPr>
        <w:tc>
          <w:tcPr>
            <w:tcW w:w="3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Dividends paid.......................</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(728)</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r>
      <w:tr>
        <w:trPr>
          <w:trHeight w:val="336"/>
        </w:trPr>
        <w:tc>
          <w:tcPr>
            <w:tcW w:w="3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Issuance of 164,743 shares...........</w:t>
            </w:r>
          </w:p>
        </w:tc>
        <w:tc>
          <w:tcPr>
            <w:tcW w:w="48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164</w:t>
            </w:r>
          </w:p>
        </w:tc>
        <w:tc>
          <w:tcPr>
            <w:tcW w:w="30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560</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724</w:t>
            </w:r>
          </w:p>
        </w:tc>
      </w:tr>
      <w:tr>
        <w:trPr>
          <w:trHeight w:val="336"/>
        </w:trPr>
        <w:tc>
          <w:tcPr>
            <w:tcW w:w="3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Repurchase of 57,201 shares..........</w:t>
            </w:r>
          </w:p>
        </w:tc>
        <w:tc>
          <w:tcPr>
            <w:tcW w:w="4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(1,071)</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(1,128)</w:t>
            </w:r>
          </w:p>
        </w:tc>
      </w:tr>
      <w:tr>
        <w:trPr>
          <w:trHeight w:val="336"/>
        </w:trPr>
        <w:tc>
          <w:tcPr>
            <w:tcW w:w="39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Payments received on officers'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stock notes receivable.............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9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BALANCE AS OF 6/26/99....................</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20,773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78,178</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$ 110,644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$ 208,701</w:t>
            </w:r>
          </w:p>
        </w:tc>
      </w:tr>
      <w:tr>
        <w:trPr>
          <w:trHeight w:val="336"/>
        </w:trPr>
        <w:tc>
          <w:tcPr>
            <w:tcW w:w="3900" w:type="dxa"/>
            <w:vAlign w:val="bottom"/>
          </w:tcPr>
          <w:p>
            <w:pPr>
              <w:jc w:val="right"/>
              <w:ind w:right="1447"/>
              <w:spacing w:after="0"/>
              <w:rPr>
                <w:sz w:val="20"/>
                <w:szCs w:val="20"/>
                <w:color w:val="auto"/>
              </w:rPr>
            </w:pPr>
            <w:r>
              <w:rPr>
                <w:rFonts w:ascii="Courier New" w:cs="Courier New" w:eastAsia="Courier New" w:hAnsi="Courier New"/>
                <w:sz w:val="15"/>
                <w:szCs w:val="15"/>
                <w:color w:val="auto"/>
              </w:rPr>
              <w:t>Comprehensive earnings: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earnings.......................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9,557</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adjustment.......................</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comprehensive earnings.........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9,790</w:t>
            </w:r>
          </w:p>
        </w:tc>
      </w:tr>
      <w:tr>
        <w:trPr>
          <w:trHeight w:val="336"/>
        </w:trPr>
        <w:tc>
          <w:tcPr>
            <w:tcW w:w="3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Issuance of 4,247 shares.............</w:t>
            </w:r>
          </w:p>
        </w:tc>
        <w:tc>
          <w:tcPr>
            <w:tcW w:w="48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30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w:t>
            </w:r>
          </w:p>
        </w:tc>
      </w:tr>
      <w:tr>
        <w:trPr>
          <w:trHeight w:val="336"/>
        </w:trPr>
        <w:tc>
          <w:tcPr>
            <w:tcW w:w="3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Repurchase of 100,000 shares.........</w:t>
            </w:r>
          </w:p>
        </w:tc>
        <w:tc>
          <w:tcPr>
            <w:tcW w:w="4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(1,609)</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(1,709)</w:t>
            </w:r>
          </w:p>
        </w:tc>
      </w:tr>
      <w:tr>
        <w:trPr>
          <w:trHeight w:val="336"/>
        </w:trPr>
        <w:tc>
          <w:tcPr>
            <w:tcW w:w="39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Payments received on officers'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stock notes receivable.............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9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BALANCE AS OF 9/25/99....................</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20,677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78,253</w:t>
            </w: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$ 118,592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$ 216,862</w:t>
            </w:r>
          </w:p>
        </w:tc>
      </w:tr>
      <w:tr>
        <w:trPr>
          <w:trHeight w:val="168"/>
        </w:trPr>
        <w:tc>
          <w:tcPr>
            <w:tcW w:w="39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condensed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380"/>
          </w:cols>
          <w:pgMar w:left="220" w:top="281"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7260" w:type="dxa"/>
            <w:vAlign w:val="bottom"/>
          </w:tcPr>
          <w:p>
            <w:pPr>
              <w:jc w:val="right"/>
              <w:ind w:right="6827"/>
              <w:spacing w:after="0"/>
              <w:rPr>
                <w:sz w:val="20"/>
                <w:szCs w:val="20"/>
                <w:color w:val="auto"/>
              </w:rPr>
            </w:pPr>
            <w:r>
              <w:rPr>
                <w:rFonts w:ascii="Courier New" w:cs="Courier New" w:eastAsia="Courier New" w:hAnsi="Courier New"/>
                <w:sz w:val="15"/>
                <w:szCs w:val="15"/>
                <w:color w:val="auto"/>
              </w:rPr>
              <w:t>7</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41"/>
        </w:trPr>
        <w:tc>
          <w:tcPr>
            <w:tcW w:w="726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UNIVERSAL FOREST PRODUCTS, INC.</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72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CONSOLIDATED CONDENSED STATEMENTS OF CASH FLOWS</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72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41"/>
        </w:trPr>
        <w:tc>
          <w:tcPr>
            <w:tcW w:w="72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7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gridSpan w:val="3"/>
          </w:tcPr>
          <w:p>
            <w:pPr>
              <w:jc w:val="right"/>
              <w:ind w:right="347"/>
              <w:spacing w:after="0" w:line="168" w:lineRule="exact"/>
              <w:rPr>
                <w:sz w:val="20"/>
                <w:szCs w:val="20"/>
                <w:color w:val="auto"/>
              </w:rPr>
            </w:pPr>
            <w:r>
              <w:rPr>
                <w:rFonts w:ascii="Courier New" w:cs="Courier New" w:eastAsia="Courier New" w:hAnsi="Courier New"/>
                <w:sz w:val="15"/>
                <w:szCs w:val="15"/>
                <w:color w:val="auto"/>
              </w:rPr>
              <w:t>Nine Months Ended</w:t>
            </w:r>
          </w:p>
        </w:tc>
      </w:tr>
      <w:tr>
        <w:trPr>
          <w:trHeight w:val="168"/>
        </w:trPr>
        <w:tc>
          <w:tcPr>
            <w:tcW w:w="7260" w:type="dxa"/>
            <w:vAlign w:val="bottom"/>
          </w:tcPr>
          <w:p>
            <w:pPr>
              <w:spacing w:after="0"/>
              <w:rPr>
                <w:sz w:val="14"/>
                <w:szCs w:val="14"/>
                <w:color w:val="auto"/>
              </w:rPr>
            </w:pPr>
          </w:p>
        </w:tc>
        <w:tc>
          <w:tcPr>
            <w:tcW w:w="280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26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September 23,</w:t>
            </w:r>
          </w:p>
        </w:tc>
        <w:tc>
          <w:tcPr>
            <w:tcW w:w="18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 25,</w:t>
            </w:r>
          </w:p>
        </w:tc>
      </w:tr>
      <w:tr>
        <w:trPr>
          <w:trHeight w:val="168"/>
        </w:trPr>
        <w:tc>
          <w:tcPr>
            <w:tcW w:w="7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2000</w:t>
            </w:r>
          </w:p>
        </w:tc>
        <w:tc>
          <w:tcPr>
            <w:tcW w:w="18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7260" w:type="dxa"/>
            <w:vAlign w:val="bottom"/>
          </w:tcPr>
          <w:p>
            <w:pPr>
              <w:spacing w:after="0"/>
              <w:rPr>
                <w:sz w:val="14"/>
                <w:szCs w:val="14"/>
                <w:color w:val="auto"/>
              </w:rPr>
            </w:pP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earnings  ....................................................................</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27,146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27,666</w:t>
            </w: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earnings to net cash from operating activities:</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12,361</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11,301</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non-compete agreements and goodwill..........................</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2,673</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2,423</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loss on sale of property, plant and equipment.........................</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w:t>
            </w:r>
          </w:p>
        </w:tc>
        <w:tc>
          <w:tcPr>
            <w:tcW w:w="1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(513)</w:t>
            </w:r>
          </w:p>
        </w:tc>
      </w:tr>
      <w:tr>
        <w:trPr>
          <w:trHeight w:val="168"/>
        </w:trPr>
        <w:tc>
          <w:tcPr>
            <w:tcW w:w="7260" w:type="dxa"/>
            <w:vAlign w:val="bottom"/>
          </w:tcPr>
          <w:p>
            <w:pPr>
              <w:jc w:val="right"/>
              <w:ind w:right="5787"/>
              <w:spacing w:after="0" w:line="168" w:lineRule="exact"/>
              <w:rPr>
                <w:sz w:val="20"/>
                <w:szCs w:val="20"/>
                <w:color w:val="auto"/>
              </w:rPr>
            </w:pPr>
            <w:r>
              <w:rPr>
                <w:rFonts w:ascii="Courier New" w:cs="Courier New" w:eastAsia="Courier New" w:hAnsi="Courier New"/>
                <w:sz w:val="15"/>
                <w:szCs w:val="15"/>
                <w:color w:val="auto"/>
              </w:rPr>
              <w:t>Changes in:</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(21,470)</w:t>
            </w:r>
          </w:p>
        </w:tc>
        <w:tc>
          <w:tcPr>
            <w:tcW w:w="1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(32,491)</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22,053</w:t>
            </w:r>
          </w:p>
        </w:tc>
        <w:tc>
          <w:tcPr>
            <w:tcW w:w="1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(7,829)</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6,822</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16,638</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liabilities and other..............................................</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7,901</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5,514</w:t>
            </w:r>
          </w:p>
        </w:tc>
      </w:tr>
      <w:tr>
        <w:trPr>
          <w:trHeight w:val="168"/>
        </w:trPr>
        <w:tc>
          <w:tcPr>
            <w:tcW w:w="72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FROM OPERATING ACTIVITIES...........................................</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57,558</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22,709</w:t>
            </w:r>
          </w:p>
        </w:tc>
      </w:tr>
      <w:tr>
        <w:trPr>
          <w:trHeight w:val="336"/>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Purchases of property, plant and equipment........................................</w:t>
            </w: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(23,677)</w:t>
            </w:r>
          </w:p>
        </w:tc>
        <w:tc>
          <w:tcPr>
            <w:tcW w:w="1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(27,508)</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Business acquisitions, net of cash received.......................................</w:t>
            </w: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(32,561)</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sale of property, plant and equipment...............................</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642</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2,491</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w:t>
            </w: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(816)</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1,915</w:t>
            </w:r>
          </w:p>
        </w:tc>
      </w:tr>
      <w:tr>
        <w:trPr>
          <w:trHeight w:val="168"/>
        </w:trPr>
        <w:tc>
          <w:tcPr>
            <w:tcW w:w="72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FROM INVESTING ACTIVITIES...........................................</w:t>
            </w: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(56,412)</w:t>
            </w:r>
          </w:p>
        </w:tc>
        <w:tc>
          <w:tcPr>
            <w:tcW w:w="1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(23,102)</w:t>
            </w:r>
          </w:p>
        </w:tc>
      </w:tr>
      <w:tr>
        <w:trPr>
          <w:trHeight w:val="336"/>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Repayment of long-term debt.......................................................</w:t>
            </w: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(7,535)</w:t>
            </w:r>
          </w:p>
        </w:tc>
        <w:tc>
          <w:tcPr>
            <w:tcW w:w="1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(9,919)</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issuance of long-term debt..........................................</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2,118</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27,742</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borrowings (repayments) of revolving credit facilities and notes payable......</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11,950</w:t>
            </w:r>
          </w:p>
        </w:tc>
        <w:tc>
          <w:tcPr>
            <w:tcW w:w="1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(4,984)</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dividends paid...............................................................</w:t>
            </w: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w:t>
            </w:r>
          </w:p>
        </w:tc>
        <w:tc>
          <w:tcPr>
            <w:tcW w:w="1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(728)</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issuance of common stock............................................</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431</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863</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Repurchase of common stock........................................................</w:t>
            </w: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(3,628)</w:t>
            </w:r>
          </w:p>
        </w:tc>
        <w:tc>
          <w:tcPr>
            <w:tcW w:w="1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(3,774)</w:t>
            </w:r>
          </w:p>
        </w:tc>
      </w:tr>
      <w:tr>
        <w:trPr>
          <w:trHeight w:val="168"/>
        </w:trPr>
        <w:tc>
          <w:tcPr>
            <w:tcW w:w="72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FROM FINANCING ACTIVITIES...........................................</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2,528</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9,200</w:t>
            </w:r>
          </w:p>
        </w:tc>
      </w:tr>
      <w:tr>
        <w:trPr>
          <w:trHeight w:val="168"/>
        </w:trPr>
        <w:tc>
          <w:tcPr>
            <w:tcW w:w="72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CHANGE IN CASH AND CASH EQUIVALENTS...........................................</w:t>
            </w:r>
          </w:p>
        </w:tc>
        <w:tc>
          <w:tcPr>
            <w:tcW w:w="54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3,674</w:t>
            </w:r>
          </w:p>
        </w:tc>
        <w:tc>
          <w:tcPr>
            <w:tcW w:w="18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8,807</w:t>
            </w:r>
          </w:p>
        </w:tc>
      </w:tr>
      <w:tr>
        <w:trPr>
          <w:trHeight w:val="336"/>
        </w:trPr>
        <w:tc>
          <w:tcPr>
            <w:tcW w:w="7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BEGINNING OF YEAR......................................</w:t>
            </w:r>
          </w:p>
        </w:tc>
        <w:tc>
          <w:tcPr>
            <w:tcW w:w="54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4,106</w:t>
            </w:r>
          </w:p>
        </w:tc>
        <w:tc>
          <w:tcPr>
            <w:tcW w:w="18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920</w:t>
            </w:r>
          </w:p>
        </w:tc>
      </w:tr>
      <w:tr>
        <w:trPr>
          <w:trHeight w:val="168"/>
        </w:trPr>
        <w:tc>
          <w:tcPr>
            <w:tcW w:w="72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END OF PERIOD..........................................</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9,727</w:t>
            </w:r>
          </w:p>
        </w:tc>
      </w:tr>
      <w:tr>
        <w:trPr>
          <w:trHeight w:val="168"/>
        </w:trPr>
        <w:tc>
          <w:tcPr>
            <w:tcW w:w="72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60" w:type="dxa"/>
            <w:vAlign w:val="bottom"/>
          </w:tcPr>
          <w:p>
            <w:pPr>
              <w:spacing w:after="0"/>
              <w:rPr>
                <w:sz w:val="20"/>
                <w:szCs w:val="20"/>
                <w:color w:val="auto"/>
              </w:rPr>
            </w:pPr>
            <w:r>
              <w:rPr>
                <w:rFonts w:ascii="Courier New" w:cs="Courier New" w:eastAsia="Courier New" w:hAnsi="Courier New"/>
                <w:sz w:val="15"/>
                <w:szCs w:val="15"/>
                <w:color w:val="auto"/>
              </w:rPr>
              <w:t>SUPPLEMENTAL SCHEDULE OF CASH FLOW INFORMATION:</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during the period for:</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7,776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6,929</w:t>
            </w: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7,624</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14,824</w:t>
            </w:r>
          </w:p>
        </w:tc>
      </w:tr>
      <w:tr>
        <w:trPr>
          <w:trHeight w:val="336"/>
        </w:trPr>
        <w:tc>
          <w:tcPr>
            <w:tcW w:w="7260" w:type="dxa"/>
            <w:vAlign w:val="bottom"/>
          </w:tcPr>
          <w:p>
            <w:pPr>
              <w:spacing w:after="0"/>
              <w:rPr>
                <w:sz w:val="20"/>
                <w:szCs w:val="20"/>
                <w:color w:val="auto"/>
              </w:rPr>
            </w:pPr>
            <w:r>
              <w:rPr>
                <w:rFonts w:ascii="Courier New" w:cs="Courier New" w:eastAsia="Courier New" w:hAnsi="Courier New"/>
                <w:sz w:val="15"/>
                <w:szCs w:val="15"/>
                <w:color w:val="auto"/>
              </w:rPr>
              <w:t>NON-CASH FINANCING ACTIVITIES:</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plant and equipment acquired through capital leases.....................</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6"/>
        </w:trPr>
        <w:tc>
          <w:tcPr>
            <w:tcW w:w="7260" w:type="dxa"/>
            <w:vAlign w:val="bottom"/>
          </w:tcPr>
          <w:p>
            <w:pPr>
              <w:spacing w:after="0"/>
              <w:rPr>
                <w:sz w:val="20"/>
                <w:szCs w:val="20"/>
                <w:color w:val="auto"/>
              </w:rPr>
            </w:pPr>
            <w:r>
              <w:rPr>
                <w:rFonts w:ascii="Courier New" w:cs="Courier New" w:eastAsia="Courier New" w:hAnsi="Courier New"/>
                <w:sz w:val="15"/>
                <w:szCs w:val="15"/>
                <w:color w:val="auto"/>
              </w:rPr>
              <w:t>NON-CASH INVESTING ACTIVITIES:</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7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Stock exchanged for note receivable...............................................</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801</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condensed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20" w:right="1220"/>
        <w:spacing w:after="0" w:line="235" w:lineRule="auto"/>
        <w:rPr>
          <w:sz w:val="20"/>
          <w:szCs w:val="20"/>
          <w:color w:val="auto"/>
        </w:rPr>
      </w:pPr>
      <w:r>
        <w:rPr>
          <w:rFonts w:ascii="Courier New" w:cs="Courier New" w:eastAsia="Courier New" w:hAnsi="Courier New"/>
          <w:sz w:val="15"/>
          <w:szCs w:val="15"/>
          <w:color w:val="auto"/>
        </w:rPr>
        <w:t>UNIVERSAL FOREST PRODUCTS, INC. NOTES TO CONSOLIDATED CONDENSED FINANCIAL STATEMENTS (Unaudited)</w:t>
      </w:r>
    </w:p>
    <w:p>
      <w:pPr>
        <w:spacing w:after="0" w:line="335" w:lineRule="exact"/>
        <w:rPr>
          <w:sz w:val="20"/>
          <w:szCs w:val="20"/>
          <w:color w:val="auto"/>
        </w:rPr>
      </w:pPr>
    </w:p>
    <w:p>
      <w:pPr>
        <w:ind w:left="620" w:hanging="610"/>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2" w:lineRule="exact"/>
        <w:rPr>
          <w:rFonts w:ascii="Courier New" w:cs="Courier New" w:eastAsia="Courier New" w:hAnsi="Courier New"/>
          <w:sz w:val="15"/>
          <w:szCs w:val="15"/>
          <w:color w:val="auto"/>
        </w:rPr>
      </w:pPr>
    </w:p>
    <w:p>
      <w:pPr>
        <w:ind w:left="620" w:right="16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accompanying unaudited interim consolidated condensed financial statements (the "Financial Statements") of Universal Forest Products, Inc. and its wholly-owned and majority-owned subsidiaries and partnerships (together, the "Company"),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generally accepted accounting principles. All significant intercompany transactions and balances have been eliminated. The equity method of accounting has been used for the Company's less than 50% owned affiliates over which the Company has the ability to exercise a significant influence.</w:t>
      </w:r>
    </w:p>
    <w:p>
      <w:pPr>
        <w:spacing w:after="0" w:line="164" w:lineRule="exact"/>
        <w:rPr>
          <w:rFonts w:ascii="Courier New" w:cs="Courier New" w:eastAsia="Courier New" w:hAnsi="Courier New"/>
          <w:sz w:val="15"/>
          <w:szCs w:val="15"/>
          <w:color w:val="auto"/>
        </w:rPr>
      </w:pPr>
    </w:p>
    <w:p>
      <w:pPr>
        <w:ind w:left="620" w:right="8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opinion of management, the Financial Statements contain all material adjustments necessary to present fairly the consolidated financial position, results of operations and cash flows, and changes in shareholders' equity of the Company for the interim periods presented. All such adjustments are of a normal recurring nature. These Financial Statements should be read in conjunction with the consolidated financial statements, and footnotes thereto, included in the Company's Annual Report to Shareholders on Form 10-K for the fiscal year ended December 25, 1999.</w:t>
      </w:r>
    </w:p>
    <w:p>
      <w:pPr>
        <w:spacing w:after="0" w:line="178" w:lineRule="exact"/>
        <w:rPr>
          <w:rFonts w:ascii="Courier New" w:cs="Courier New" w:eastAsia="Courier New" w:hAnsi="Courier New"/>
          <w:sz w:val="15"/>
          <w:szCs w:val="15"/>
          <w:color w:val="auto"/>
        </w:rPr>
      </w:pPr>
    </w:p>
    <w:p>
      <w:pPr>
        <w:ind w:left="620" w:right="8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reclassifications have been made to the Financial Statements for 1999 to conform to the classifications used in 2000.</w:t>
      </w:r>
    </w:p>
    <w:p>
      <w:pPr>
        <w:spacing w:after="0" w:line="166"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2" w:lineRule="exact"/>
        <w:rPr>
          <w:rFonts w:ascii="Courier New" w:cs="Courier New" w:eastAsia="Courier New" w:hAnsi="Courier New"/>
          <w:sz w:val="15"/>
          <w:szCs w:val="15"/>
          <w:color w:val="auto"/>
        </w:rPr>
      </w:pPr>
    </w:p>
    <w:p>
      <w:pPr>
        <w:ind w:left="62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reconciliation of the changes in the numerator and the denominator from the calculation of basic EPS to the calculation of diluted EPS follows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Three Months Ended 09/23/00</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6400"/>
        <w:spacing w:after="0" w:line="238" w:lineRule="auto"/>
        <w:rPr>
          <w:sz w:val="20"/>
          <w:szCs w:val="20"/>
          <w:color w:val="auto"/>
        </w:rPr>
      </w:pPr>
      <w:r>
        <w:rPr>
          <w:rFonts w:ascii="Courier New" w:cs="Courier New" w:eastAsia="Courier New" w:hAnsi="Courier New"/>
          <w:sz w:val="15"/>
          <w:szCs w:val="15"/>
          <w:color w:val="auto"/>
        </w:rPr>
        <w:t>Per</w:t>
      </w:r>
    </w:p>
    <w:p>
      <w:pPr>
        <w:ind w:left="3940"/>
        <w:spacing w:after="0"/>
        <w:tabs>
          <w:tab w:leader="none" w:pos="5160" w:val="left"/>
          <w:tab w:leader="none" w:pos="628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Share</w:t>
      </w:r>
    </w:p>
    <w:p>
      <w:pPr>
        <w:ind w:left="3780"/>
        <w:spacing w:after="0" w:line="238" w:lineRule="auto"/>
        <w:tabs>
          <w:tab w:leader="none" w:pos="4880" w:val="left"/>
          <w:tab w:leader="none" w:pos="6280" w:val="left"/>
        </w:tabs>
        <w:rPr>
          <w:sz w:val="20"/>
          <w:szCs w:val="20"/>
          <w:color w:val="auto"/>
        </w:rPr>
      </w:pPr>
      <w:r>
        <w:rPr>
          <w:rFonts w:ascii="Courier New" w:cs="Courier New" w:eastAsia="Courier New" w:hAnsi="Courier New"/>
          <w:sz w:val="15"/>
          <w:szCs w:val="15"/>
          <w:color w:val="auto"/>
        </w:rPr>
        <w:t>(Numerator)</w:t>
        <w:tab/>
        <w:t>(Denominator)</w:t>
        <w:tab/>
        <w:t>Amount</w:t>
      </w:r>
    </w:p>
    <w:p>
      <w:pPr>
        <w:ind w:left="3780"/>
        <w:spacing w:after="0"/>
        <w:tabs>
          <w:tab w:leader="none" w:pos="4880" w:val="left"/>
          <w:tab w:leader="none" w:pos="628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335"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NET EARNINGS ...........................</w:t>
      </w:r>
      <w:r>
        <w:rPr>
          <w:sz w:val="20"/>
          <w:szCs w:val="20"/>
          <w:color w:val="auto"/>
        </w:rPr>
        <w:tab/>
      </w:r>
      <w:r>
        <w:rPr>
          <w:rFonts w:ascii="Courier New" w:cs="Courier New" w:eastAsia="Courier New" w:hAnsi="Courier New"/>
          <w:sz w:val="14"/>
          <w:szCs w:val="14"/>
          <w:color w:val="auto"/>
        </w:rPr>
        <w:t>$ 8,148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EPS - BASIC</w:t>
      </w:r>
    </w:p>
    <w:p>
      <w:pPr>
        <w:spacing w:after="0" w:line="237" w:lineRule="auto"/>
        <w:rPr>
          <w:sz w:val="20"/>
          <w:szCs w:val="20"/>
          <w:color w:val="auto"/>
        </w:rPr>
      </w:pPr>
      <w:r>
        <w:rPr>
          <w:rFonts w:ascii="Courier New" w:cs="Courier New" w:eastAsia="Courier New" w:hAnsi="Courier New"/>
          <w:sz w:val="15"/>
          <w:szCs w:val="15"/>
          <w:color w:val="auto"/>
        </w:rPr>
        <w:t>Income available to</w:t>
      </w:r>
    </w:p>
    <w:p>
      <w:pPr>
        <w:ind w:left="180"/>
        <w:spacing w:after="0"/>
        <w:tabs>
          <w:tab w:leader="none" w:pos="4020" w:val="left"/>
          <w:tab w:leader="none" w:pos="5240" w:val="left"/>
          <w:tab w:leader="none" w:pos="6380" w:val="left"/>
        </w:tabs>
        <w:rPr>
          <w:sz w:val="20"/>
          <w:szCs w:val="20"/>
          <w:color w:val="auto"/>
        </w:rPr>
      </w:pPr>
      <w:r>
        <w:rPr>
          <w:rFonts w:ascii="Courier New" w:cs="Courier New" w:eastAsia="Courier New" w:hAnsi="Courier New"/>
          <w:sz w:val="15"/>
          <w:szCs w:val="15"/>
          <w:color w:val="auto"/>
        </w:rPr>
        <w:t>common stockholders ..................</w:t>
      </w:r>
      <w:r>
        <w:rPr>
          <w:sz w:val="20"/>
          <w:szCs w:val="20"/>
          <w:color w:val="auto"/>
        </w:rPr>
        <w:tab/>
      </w:r>
      <w:r>
        <w:rPr>
          <w:rFonts w:ascii="Courier New" w:cs="Courier New" w:eastAsia="Courier New" w:hAnsi="Courier New"/>
          <w:sz w:val="15"/>
          <w:szCs w:val="15"/>
          <w:color w:val="auto"/>
        </w:rPr>
        <w:t>8,148</w:t>
      </w:r>
      <w:r>
        <w:rPr>
          <w:sz w:val="20"/>
          <w:szCs w:val="20"/>
          <w:color w:val="auto"/>
        </w:rPr>
        <w:tab/>
      </w:r>
      <w:r>
        <w:rPr>
          <w:rFonts w:ascii="Courier New" w:cs="Courier New" w:eastAsia="Courier New" w:hAnsi="Courier New"/>
          <w:sz w:val="15"/>
          <w:szCs w:val="15"/>
          <w:color w:val="auto"/>
        </w:rPr>
        <w:t>20,123</w:t>
      </w:r>
      <w:r>
        <w:rPr>
          <w:sz w:val="20"/>
          <w:szCs w:val="20"/>
          <w:color w:val="auto"/>
        </w:rPr>
        <w:tab/>
      </w:r>
      <w:r>
        <w:rPr>
          <w:rFonts w:ascii="Courier New" w:cs="Courier New" w:eastAsia="Courier New" w:hAnsi="Courier New"/>
          <w:sz w:val="14"/>
          <w:szCs w:val="14"/>
          <w:color w:val="auto"/>
        </w:rPr>
        <w:t>$0.40</w:t>
      </w:r>
    </w:p>
    <w:p>
      <w:pPr>
        <w:ind w:left="64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DILUTIVE SECURITIES</w:t>
      </w:r>
    </w:p>
    <w:p>
      <w:pPr>
        <w:spacing w:after="0"/>
        <w:tabs>
          <w:tab w:leader="none" w:pos="5500" w:val="left"/>
        </w:tabs>
        <w:rPr>
          <w:sz w:val="20"/>
          <w:szCs w:val="20"/>
          <w:color w:val="auto"/>
        </w:rPr>
      </w:pPr>
      <w:r>
        <w:rPr>
          <w:rFonts w:ascii="Courier New" w:cs="Courier New" w:eastAsia="Courier New" w:hAnsi="Courier New"/>
          <w:sz w:val="15"/>
          <w:szCs w:val="15"/>
          <w:color w:val="auto"/>
        </w:rPr>
        <w:t>Options ................................</w:t>
      </w:r>
      <w:r>
        <w:rPr>
          <w:sz w:val="20"/>
          <w:szCs w:val="20"/>
          <w:color w:val="auto"/>
        </w:rPr>
        <w:tab/>
      </w:r>
      <w:r>
        <w:rPr>
          <w:rFonts w:ascii="Courier New" w:cs="Courier New" w:eastAsia="Courier New" w:hAnsi="Courier New"/>
          <w:sz w:val="14"/>
          <w:szCs w:val="14"/>
          <w:color w:val="auto"/>
        </w:rPr>
        <w:t>358</w:t>
      </w:r>
    </w:p>
    <w:p>
      <w:pPr>
        <w:ind w:left="51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EPS - DILUTED</w:t>
      </w:r>
    </w:p>
    <w:p>
      <w:pPr>
        <w:spacing w:after="0" w:line="237" w:lineRule="auto"/>
        <w:rPr>
          <w:sz w:val="20"/>
          <w:szCs w:val="20"/>
          <w:color w:val="auto"/>
        </w:rPr>
      </w:pPr>
      <w:r>
        <w:rPr>
          <w:rFonts w:ascii="Courier New" w:cs="Courier New" w:eastAsia="Courier New" w:hAnsi="Courier New"/>
          <w:sz w:val="15"/>
          <w:szCs w:val="15"/>
          <w:color w:val="auto"/>
        </w:rPr>
        <w:t>Income available to</w:t>
      </w:r>
    </w:p>
    <w:p>
      <w:pPr>
        <w:ind w:left="180"/>
        <w:spacing w:after="0" w:line="238" w:lineRule="auto"/>
        <w:rPr>
          <w:sz w:val="20"/>
          <w:szCs w:val="20"/>
          <w:color w:val="auto"/>
        </w:rPr>
      </w:pPr>
      <w:r>
        <w:rPr>
          <w:rFonts w:ascii="Courier New" w:cs="Courier New" w:eastAsia="Courier New" w:hAnsi="Courier New"/>
          <w:sz w:val="15"/>
          <w:szCs w:val="15"/>
          <w:color w:val="auto"/>
        </w:rPr>
        <w:t>common stockholders and</w:t>
      </w:r>
    </w:p>
    <w:p>
      <w:pPr>
        <w:ind w:left="180"/>
        <w:spacing w:after="0" w:line="237" w:lineRule="auto"/>
        <w:rPr>
          <w:sz w:val="20"/>
          <w:szCs w:val="20"/>
          <w:color w:val="auto"/>
        </w:rPr>
      </w:pPr>
      <w:r>
        <w:rPr>
          <w:rFonts w:ascii="Courier New" w:cs="Courier New" w:eastAsia="Courier New" w:hAnsi="Courier New"/>
          <w:sz w:val="15"/>
          <w:szCs w:val="15"/>
          <w:color w:val="auto"/>
        </w:rPr>
        <w:t>assumed options</w:t>
      </w:r>
    </w:p>
    <w:p>
      <w:pPr>
        <w:ind w:left="180"/>
        <w:spacing w:after="0"/>
        <w:tabs>
          <w:tab w:leader="none" w:pos="3840" w:val="left"/>
          <w:tab w:leader="none" w:pos="5240" w:val="left"/>
          <w:tab w:leader="none" w:pos="6380" w:val="left"/>
        </w:tabs>
        <w:rPr>
          <w:sz w:val="20"/>
          <w:szCs w:val="20"/>
          <w:color w:val="auto"/>
        </w:rPr>
      </w:pPr>
      <w:r>
        <w:rPr>
          <w:rFonts w:ascii="Courier New" w:cs="Courier New" w:eastAsia="Courier New" w:hAnsi="Courier New"/>
          <w:sz w:val="15"/>
          <w:szCs w:val="15"/>
          <w:color w:val="auto"/>
        </w:rPr>
        <w:t>exercised ...........................</w:t>
      </w:r>
      <w:r>
        <w:rPr>
          <w:sz w:val="20"/>
          <w:szCs w:val="20"/>
          <w:color w:val="auto"/>
        </w:rPr>
        <w:tab/>
      </w:r>
      <w:r>
        <w:rPr>
          <w:rFonts w:ascii="Courier New" w:cs="Courier New" w:eastAsia="Courier New" w:hAnsi="Courier New"/>
          <w:sz w:val="15"/>
          <w:szCs w:val="15"/>
          <w:color w:val="auto"/>
        </w:rPr>
        <w:t>$ 8,148</w:t>
      </w:r>
      <w:r>
        <w:rPr>
          <w:sz w:val="20"/>
          <w:szCs w:val="20"/>
          <w:color w:val="auto"/>
        </w:rPr>
        <w:tab/>
      </w:r>
      <w:r>
        <w:rPr>
          <w:rFonts w:ascii="Courier New" w:cs="Courier New" w:eastAsia="Courier New" w:hAnsi="Courier New"/>
          <w:sz w:val="15"/>
          <w:szCs w:val="15"/>
          <w:color w:val="auto"/>
        </w:rPr>
        <w:t>20,481</w:t>
      </w:r>
      <w:r>
        <w:rPr>
          <w:sz w:val="20"/>
          <w:szCs w:val="20"/>
          <w:color w:val="auto"/>
        </w:rPr>
        <w:tab/>
      </w:r>
      <w:r>
        <w:rPr>
          <w:rFonts w:ascii="Courier New" w:cs="Courier New" w:eastAsia="Courier New" w:hAnsi="Courier New"/>
          <w:sz w:val="14"/>
          <w:szCs w:val="14"/>
          <w:color w:val="auto"/>
        </w:rPr>
        <w:t>$0.40</w:t>
      </w:r>
    </w:p>
    <w:p>
      <w:pPr>
        <w:ind w:left="3860"/>
        <w:spacing w:after="0"/>
        <w:tabs>
          <w:tab w:leader="none" w:pos="5160" w:val="left"/>
          <w:tab w:leader="none" w:pos="6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3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Three Months Ended 09/25/99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Per</w:t>
      </w:r>
    </w:p>
    <w:p>
      <w:pPr>
        <w:ind w:left="180"/>
        <w:spacing w:after="0"/>
        <w:tabs>
          <w:tab w:leader="none" w:pos="1300" w:val="left"/>
          <w:tab w:leader="none" w:pos="236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Share</w:t>
      </w:r>
    </w:p>
    <w:p>
      <w:pPr>
        <w:spacing w:after="0"/>
        <w:tabs>
          <w:tab w:leader="none" w:pos="2360" w:val="left"/>
        </w:tabs>
        <w:rPr>
          <w:sz w:val="20"/>
          <w:szCs w:val="20"/>
          <w:color w:val="auto"/>
        </w:rPr>
      </w:pPr>
      <w:r>
        <w:rPr>
          <w:rFonts w:ascii="Courier New" w:cs="Courier New" w:eastAsia="Courier New" w:hAnsi="Courier New"/>
          <w:sz w:val="15"/>
          <w:szCs w:val="15"/>
          <w:color w:val="auto"/>
        </w:rPr>
        <w:t>(Numerator) (Denominator)</w:t>
      </w:r>
      <w:r>
        <w:rPr>
          <w:sz w:val="20"/>
          <w:szCs w:val="20"/>
          <w:color w:val="auto"/>
        </w:rPr>
        <w:tab/>
      </w:r>
      <w:r>
        <w:rPr>
          <w:rFonts w:ascii="Courier New" w:cs="Courier New" w:eastAsia="Courier New" w:hAnsi="Courier New"/>
          <w:sz w:val="14"/>
          <w:szCs w:val="14"/>
          <w:color w:val="auto"/>
        </w:rPr>
        <w:t>Amount</w:t>
      </w:r>
    </w:p>
    <w:p>
      <w:pPr>
        <w:spacing w:after="0"/>
        <w:tabs>
          <w:tab w:leader="none" w:pos="23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$ 9,557</w:t>
      </w:r>
    </w:p>
    <w:p>
      <w:pPr>
        <w:spacing w:after="0" w:line="200" w:lineRule="exact"/>
        <w:rPr>
          <w:sz w:val="20"/>
          <w:szCs w:val="20"/>
          <w:color w:val="auto"/>
        </w:rPr>
      </w:pPr>
    </w:p>
    <w:p>
      <w:pPr>
        <w:spacing w:after="0" w:line="303" w:lineRule="exact"/>
        <w:rPr>
          <w:sz w:val="20"/>
          <w:szCs w:val="20"/>
          <w:color w:val="auto"/>
        </w:rPr>
      </w:pPr>
    </w:p>
    <w:p>
      <w:pPr>
        <w:ind w:left="280"/>
        <w:spacing w:after="0"/>
        <w:tabs>
          <w:tab w:leader="none" w:pos="1380" w:val="left"/>
          <w:tab w:leader="none" w:pos="2440" w:val="left"/>
        </w:tabs>
        <w:rPr>
          <w:sz w:val="20"/>
          <w:szCs w:val="20"/>
          <w:color w:val="auto"/>
        </w:rPr>
      </w:pPr>
      <w:r>
        <w:rPr>
          <w:rFonts w:ascii="Courier New" w:cs="Courier New" w:eastAsia="Courier New" w:hAnsi="Courier New"/>
          <w:sz w:val="15"/>
          <w:szCs w:val="15"/>
          <w:color w:val="auto"/>
        </w:rPr>
        <w:t>9,557</w:t>
      </w:r>
      <w:r>
        <w:rPr>
          <w:sz w:val="20"/>
          <w:szCs w:val="20"/>
          <w:color w:val="auto"/>
        </w:rPr>
        <w:tab/>
      </w:r>
      <w:r>
        <w:rPr>
          <w:rFonts w:ascii="Courier New" w:cs="Courier New" w:eastAsia="Courier New" w:hAnsi="Courier New"/>
          <w:sz w:val="15"/>
          <w:szCs w:val="15"/>
          <w:color w:val="auto"/>
        </w:rPr>
        <w:t>20,746</w:t>
      </w:r>
      <w:r>
        <w:rPr>
          <w:sz w:val="20"/>
          <w:szCs w:val="20"/>
          <w:color w:val="auto"/>
        </w:rPr>
        <w:tab/>
      </w:r>
      <w:r>
        <w:rPr>
          <w:rFonts w:ascii="Courier New" w:cs="Courier New" w:eastAsia="Courier New" w:hAnsi="Courier New"/>
          <w:sz w:val="14"/>
          <w:szCs w:val="14"/>
          <w:color w:val="auto"/>
        </w:rPr>
        <w:t>$0.46</w:t>
      </w:r>
    </w:p>
    <w:p>
      <w:pPr>
        <w:jc w:val="right"/>
        <w:ind w:right="79"/>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519</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
        <w:spacing w:after="0"/>
        <w:tabs>
          <w:tab w:leader="none" w:pos="1380" w:val="left"/>
          <w:tab w:leader="none" w:pos="2440" w:val="left"/>
        </w:tabs>
        <w:rPr>
          <w:sz w:val="20"/>
          <w:szCs w:val="20"/>
          <w:color w:val="auto"/>
        </w:rPr>
      </w:pPr>
      <w:r>
        <w:rPr>
          <w:rFonts w:ascii="Courier New" w:cs="Courier New" w:eastAsia="Courier New" w:hAnsi="Courier New"/>
          <w:sz w:val="15"/>
          <w:szCs w:val="15"/>
          <w:color w:val="auto"/>
        </w:rPr>
        <w:t>$ 9,557</w:t>
      </w:r>
      <w:r>
        <w:rPr>
          <w:sz w:val="20"/>
          <w:szCs w:val="20"/>
          <w:color w:val="auto"/>
        </w:rPr>
        <w:tab/>
      </w:r>
      <w:r>
        <w:rPr>
          <w:rFonts w:ascii="Courier New" w:cs="Courier New" w:eastAsia="Courier New" w:hAnsi="Courier New"/>
          <w:sz w:val="15"/>
          <w:szCs w:val="15"/>
          <w:color w:val="auto"/>
        </w:rPr>
        <w:t>21,265</w:t>
      </w:r>
      <w:r>
        <w:rPr>
          <w:sz w:val="20"/>
          <w:szCs w:val="20"/>
          <w:color w:val="auto"/>
        </w:rPr>
        <w:tab/>
      </w:r>
      <w:r>
        <w:rPr>
          <w:rFonts w:ascii="Courier New" w:cs="Courier New" w:eastAsia="Courier New" w:hAnsi="Courier New"/>
          <w:sz w:val="14"/>
          <w:szCs w:val="14"/>
          <w:color w:val="auto"/>
        </w:rPr>
        <w:t>$0.45</w:t>
      </w:r>
    </w:p>
    <w:p>
      <w:pPr>
        <w:ind w:left="100"/>
        <w:spacing w:after="0"/>
        <w:tabs>
          <w:tab w:leader="none" w:pos="1300" w:val="left"/>
          <w:tab w:leader="none" w:pos="2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7000" w:space="260"/>
            <w:col w:w="297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5"/>
          <w:szCs w:val="15"/>
          <w:color w:val="auto"/>
        </w:rPr>
        <w:t>UNIVERSAL FOREST PRODUCTS, INC.</w:t>
      </w:r>
    </w:p>
    <w:p>
      <w:pPr>
        <w:jc w:val="center"/>
        <w:spacing w:after="0" w:line="237" w:lineRule="auto"/>
        <w:rPr>
          <w:sz w:val="20"/>
          <w:szCs w:val="20"/>
          <w:color w:val="auto"/>
        </w:rPr>
      </w:pPr>
      <w:r>
        <w:rPr>
          <w:rFonts w:ascii="Courier New" w:cs="Courier New" w:eastAsia="Courier New" w:hAnsi="Courier New"/>
          <w:sz w:val="15"/>
          <w:szCs w:val="15"/>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Nine Months Ended 09/23/00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Per</w:t>
      </w:r>
    </w:p>
    <w:p>
      <w:pPr>
        <w:ind w:left="4040"/>
        <w:spacing w:after="0"/>
        <w:tabs>
          <w:tab w:leader="none" w:pos="5320" w:val="left"/>
          <w:tab w:leader="none" w:pos="638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Share</w:t>
      </w:r>
    </w:p>
    <w:p>
      <w:pPr>
        <w:jc w:val="both"/>
        <w:ind w:left="3860"/>
        <w:spacing w:after="0"/>
        <w:tabs>
          <w:tab w:leader="none" w:pos="5060" w:val="left"/>
          <w:tab w:leader="none" w:pos="6380" w:val="left"/>
        </w:tabs>
        <w:rPr>
          <w:sz w:val="20"/>
          <w:szCs w:val="20"/>
          <w:color w:val="auto"/>
        </w:rPr>
      </w:pPr>
      <w:r>
        <w:rPr>
          <w:rFonts w:ascii="Courier New" w:cs="Courier New" w:eastAsia="Courier New" w:hAnsi="Courier New"/>
          <w:sz w:val="15"/>
          <w:szCs w:val="15"/>
          <w:color w:val="auto"/>
        </w:rPr>
        <w:t>(Numerator)</w:t>
        <w:tab/>
        <w:t>(Denominator)</w:t>
      </w:r>
      <w:r>
        <w:rPr>
          <w:sz w:val="20"/>
          <w:szCs w:val="20"/>
          <w:color w:val="auto"/>
        </w:rPr>
        <w:tab/>
      </w:r>
      <w:r>
        <w:rPr>
          <w:rFonts w:ascii="Courier New" w:cs="Courier New" w:eastAsia="Courier New" w:hAnsi="Courier New"/>
          <w:sz w:val="14"/>
          <w:szCs w:val="14"/>
          <w:color w:val="auto"/>
        </w:rPr>
        <w:t>Amount</w:t>
      </w:r>
    </w:p>
    <w:p>
      <w:pPr>
        <w:ind w:left="3780"/>
        <w:spacing w:after="0"/>
        <w:tabs>
          <w:tab w:leader="none" w:pos="5060" w:val="left"/>
          <w:tab w:leader="none" w:pos="638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5"/>
          <w:szCs w:val="15"/>
          <w:color w:val="auto"/>
        </w:rPr>
        <w:t>NET EARNINGS ...........................</w:t>
      </w:r>
      <w:r>
        <w:rPr>
          <w:sz w:val="20"/>
          <w:szCs w:val="20"/>
          <w:color w:val="auto"/>
        </w:rPr>
        <w:tab/>
      </w:r>
      <w:r>
        <w:rPr>
          <w:rFonts w:ascii="Courier New" w:cs="Courier New" w:eastAsia="Courier New" w:hAnsi="Courier New"/>
          <w:sz w:val="14"/>
          <w:szCs w:val="14"/>
          <w:color w:val="auto"/>
        </w:rPr>
        <w:t>$27,146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EPS - BASIC</w:t>
      </w:r>
    </w:p>
    <w:p>
      <w:pPr>
        <w:spacing w:after="0" w:line="237" w:lineRule="auto"/>
        <w:rPr>
          <w:sz w:val="20"/>
          <w:szCs w:val="20"/>
          <w:color w:val="auto"/>
        </w:rPr>
      </w:pPr>
      <w:r>
        <w:rPr>
          <w:rFonts w:ascii="Courier New" w:cs="Courier New" w:eastAsia="Courier New" w:hAnsi="Courier New"/>
          <w:sz w:val="15"/>
          <w:szCs w:val="15"/>
          <w:color w:val="auto"/>
        </w:rPr>
        <w:t>Income available to</w:t>
      </w:r>
    </w:p>
    <w:p>
      <w:pPr>
        <w:ind w:left="180"/>
        <w:spacing w:after="0"/>
        <w:tabs>
          <w:tab w:leader="none" w:pos="4020" w:val="left"/>
          <w:tab w:leader="none" w:pos="5420" w:val="left"/>
          <w:tab w:leader="none" w:pos="6460" w:val="left"/>
        </w:tabs>
        <w:rPr>
          <w:sz w:val="20"/>
          <w:szCs w:val="20"/>
          <w:color w:val="auto"/>
        </w:rPr>
      </w:pPr>
      <w:r>
        <w:rPr>
          <w:rFonts w:ascii="Courier New" w:cs="Courier New" w:eastAsia="Courier New" w:hAnsi="Courier New"/>
          <w:sz w:val="15"/>
          <w:szCs w:val="15"/>
          <w:color w:val="auto"/>
        </w:rPr>
        <w:t>common stockholders ..................</w:t>
      </w:r>
      <w:r>
        <w:rPr>
          <w:sz w:val="20"/>
          <w:szCs w:val="20"/>
          <w:color w:val="auto"/>
        </w:rPr>
        <w:tab/>
      </w:r>
      <w:r>
        <w:rPr>
          <w:rFonts w:ascii="Courier New" w:cs="Courier New" w:eastAsia="Courier New" w:hAnsi="Courier New"/>
          <w:sz w:val="15"/>
          <w:szCs w:val="15"/>
          <w:color w:val="auto"/>
        </w:rPr>
        <w:t>27,146</w:t>
      </w:r>
      <w:r>
        <w:rPr>
          <w:sz w:val="20"/>
          <w:szCs w:val="20"/>
          <w:color w:val="auto"/>
        </w:rPr>
        <w:tab/>
      </w:r>
      <w:r>
        <w:rPr>
          <w:rFonts w:ascii="Courier New" w:cs="Courier New" w:eastAsia="Courier New" w:hAnsi="Courier New"/>
          <w:sz w:val="15"/>
          <w:szCs w:val="15"/>
          <w:color w:val="auto"/>
        </w:rPr>
        <w:t>20,134</w:t>
      </w:r>
      <w:r>
        <w:rPr>
          <w:sz w:val="20"/>
          <w:szCs w:val="20"/>
          <w:color w:val="auto"/>
        </w:rPr>
        <w:tab/>
      </w:r>
      <w:r>
        <w:rPr>
          <w:rFonts w:ascii="Courier New" w:cs="Courier New" w:eastAsia="Courier New" w:hAnsi="Courier New"/>
          <w:sz w:val="14"/>
          <w:szCs w:val="14"/>
          <w:color w:val="auto"/>
        </w:rPr>
        <w:t>$1.35</w:t>
      </w:r>
    </w:p>
    <w:p>
      <w:pPr>
        <w:ind w:left="64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DILUTIVE SECURITIES</w:t>
      </w:r>
    </w:p>
    <w:p>
      <w:pPr>
        <w:spacing w:after="0"/>
        <w:tabs>
          <w:tab w:leader="none" w:pos="5680" w:val="left"/>
        </w:tabs>
        <w:rPr>
          <w:sz w:val="20"/>
          <w:szCs w:val="20"/>
          <w:color w:val="auto"/>
        </w:rPr>
      </w:pPr>
      <w:r>
        <w:rPr>
          <w:rFonts w:ascii="Courier New" w:cs="Courier New" w:eastAsia="Courier New" w:hAnsi="Courier New"/>
          <w:sz w:val="15"/>
          <w:szCs w:val="15"/>
          <w:color w:val="auto"/>
        </w:rPr>
        <w:t>Options ................................</w:t>
      </w:r>
      <w:r>
        <w:rPr>
          <w:sz w:val="20"/>
          <w:szCs w:val="20"/>
          <w:color w:val="auto"/>
        </w:rPr>
        <w:tab/>
      </w:r>
      <w:r>
        <w:rPr>
          <w:rFonts w:ascii="Courier New" w:cs="Courier New" w:eastAsia="Courier New" w:hAnsi="Courier New"/>
          <w:sz w:val="14"/>
          <w:szCs w:val="14"/>
          <w:color w:val="auto"/>
        </w:rPr>
        <w:t>368</w:t>
      </w:r>
    </w:p>
    <w:p>
      <w:pPr>
        <w:ind w:left="53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EPS - DILUTED</w:t>
      </w:r>
    </w:p>
    <w:p>
      <w:pPr>
        <w:spacing w:after="0" w:line="237" w:lineRule="auto"/>
        <w:rPr>
          <w:sz w:val="20"/>
          <w:szCs w:val="20"/>
          <w:color w:val="auto"/>
        </w:rPr>
      </w:pPr>
      <w:r>
        <w:rPr>
          <w:rFonts w:ascii="Courier New" w:cs="Courier New" w:eastAsia="Courier New" w:hAnsi="Courier New"/>
          <w:sz w:val="15"/>
          <w:szCs w:val="15"/>
          <w:color w:val="auto"/>
        </w:rPr>
        <w:t>Income available to</w:t>
      </w:r>
    </w:p>
    <w:p>
      <w:pPr>
        <w:ind w:left="180"/>
        <w:spacing w:after="0" w:line="238" w:lineRule="auto"/>
        <w:rPr>
          <w:sz w:val="20"/>
          <w:szCs w:val="20"/>
          <w:color w:val="auto"/>
        </w:rPr>
      </w:pPr>
      <w:r>
        <w:rPr>
          <w:rFonts w:ascii="Courier New" w:cs="Courier New" w:eastAsia="Courier New" w:hAnsi="Courier New"/>
          <w:sz w:val="15"/>
          <w:szCs w:val="15"/>
          <w:color w:val="auto"/>
        </w:rPr>
        <w:t>common stockholders and</w:t>
      </w:r>
    </w:p>
    <w:p>
      <w:pPr>
        <w:ind w:left="180"/>
        <w:spacing w:after="0" w:line="237" w:lineRule="auto"/>
        <w:rPr>
          <w:sz w:val="20"/>
          <w:szCs w:val="20"/>
          <w:color w:val="auto"/>
        </w:rPr>
      </w:pPr>
      <w:r>
        <w:rPr>
          <w:rFonts w:ascii="Courier New" w:cs="Courier New" w:eastAsia="Courier New" w:hAnsi="Courier New"/>
          <w:sz w:val="15"/>
          <w:szCs w:val="15"/>
          <w:color w:val="auto"/>
        </w:rPr>
        <w:t>assumed options</w:t>
      </w:r>
    </w:p>
    <w:p>
      <w:pPr>
        <w:ind w:left="180"/>
        <w:spacing w:after="0"/>
        <w:tabs>
          <w:tab w:leader="none" w:pos="3920" w:val="left"/>
          <w:tab w:leader="none" w:pos="5420" w:val="left"/>
          <w:tab w:leader="none" w:pos="6460" w:val="left"/>
        </w:tabs>
        <w:rPr>
          <w:sz w:val="20"/>
          <w:szCs w:val="20"/>
          <w:color w:val="auto"/>
        </w:rPr>
      </w:pPr>
      <w:r>
        <w:rPr>
          <w:rFonts w:ascii="Courier New" w:cs="Courier New" w:eastAsia="Courier New" w:hAnsi="Courier New"/>
          <w:sz w:val="15"/>
          <w:szCs w:val="15"/>
          <w:color w:val="auto"/>
        </w:rPr>
        <w:t>exercised ............................</w:t>
      </w:r>
      <w:r>
        <w:rPr>
          <w:sz w:val="20"/>
          <w:szCs w:val="20"/>
          <w:color w:val="auto"/>
        </w:rPr>
        <w:tab/>
      </w:r>
      <w:r>
        <w:rPr>
          <w:rFonts w:ascii="Courier New" w:cs="Courier New" w:eastAsia="Courier New" w:hAnsi="Courier New"/>
          <w:sz w:val="15"/>
          <w:szCs w:val="15"/>
          <w:color w:val="auto"/>
        </w:rPr>
        <w:t>$27,146</w:t>
      </w:r>
      <w:r>
        <w:rPr>
          <w:sz w:val="20"/>
          <w:szCs w:val="20"/>
          <w:color w:val="auto"/>
        </w:rPr>
        <w:tab/>
      </w:r>
      <w:r>
        <w:rPr>
          <w:rFonts w:ascii="Courier New" w:cs="Courier New" w:eastAsia="Courier New" w:hAnsi="Courier New"/>
          <w:sz w:val="15"/>
          <w:szCs w:val="15"/>
          <w:color w:val="auto"/>
        </w:rPr>
        <w:t>20,502</w:t>
      </w:r>
      <w:r>
        <w:rPr>
          <w:sz w:val="20"/>
          <w:szCs w:val="20"/>
          <w:color w:val="auto"/>
        </w:rPr>
        <w:tab/>
      </w:r>
      <w:r>
        <w:rPr>
          <w:rFonts w:ascii="Courier New" w:cs="Courier New" w:eastAsia="Courier New" w:hAnsi="Courier New"/>
          <w:sz w:val="14"/>
          <w:szCs w:val="14"/>
          <w:color w:val="auto"/>
        </w:rPr>
        <w:t>$1.32</w:t>
      </w:r>
    </w:p>
    <w:p>
      <w:pPr>
        <w:ind w:left="3940"/>
        <w:spacing w:after="0"/>
        <w:tabs>
          <w:tab w:leader="none" w:pos="5320" w:val="left"/>
          <w:tab w:leader="none" w:pos="6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ind w:left="620"/>
        <w:spacing w:after="0" w:line="236" w:lineRule="auto"/>
        <w:rPr>
          <w:sz w:val="20"/>
          <w:szCs w:val="20"/>
          <w:color w:val="auto"/>
        </w:rPr>
      </w:pPr>
      <w:r>
        <w:rPr>
          <w:rFonts w:ascii="Courier New" w:cs="Courier New" w:eastAsia="Courier New" w:hAnsi="Courier New"/>
          <w:sz w:val="15"/>
          <w:szCs w:val="15"/>
          <w:color w:val="auto"/>
        </w:rPr>
        <w:t>Options to purchase 649,386 shares of common stock at exercise prices ranging from $13.18 to $36.01 were outstanding at September 23, 2000, but were not included in the computation of diluted EPS for the quarter and nine months ended September 23, 2000 because the options' exercise prices were greater than the average market price of the common stock and, therefore, would be antidilutive.</w:t>
      </w:r>
    </w:p>
    <w:p>
      <w:pPr>
        <w:spacing w:after="0" w:line="168" w:lineRule="exact"/>
        <w:rPr>
          <w:sz w:val="20"/>
          <w:szCs w:val="20"/>
          <w:color w:val="auto"/>
        </w:rPr>
      </w:pPr>
    </w:p>
    <w:p>
      <w:pPr>
        <w:ind w:left="620" w:hanging="610"/>
        <w:spacing w:after="0"/>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AND STOCK-BASED COMPENSATION</w:t>
      </w:r>
    </w:p>
    <w:p>
      <w:pPr>
        <w:spacing w:after="0" w:line="172" w:lineRule="exact"/>
        <w:rPr>
          <w:rFonts w:ascii="Courier New" w:cs="Courier New" w:eastAsia="Courier New" w:hAnsi="Courier New"/>
          <w:sz w:val="15"/>
          <w:szCs w:val="15"/>
          <w:color w:val="auto"/>
        </w:rPr>
      </w:pPr>
    </w:p>
    <w:p>
      <w:pPr>
        <w:ind w:left="62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Options to purchase 40,000 and 80,000 shares were granted during the nine months ended September 23, 2000 and September 25, 1999, respectively, at exercise prices which equaled or exceeded the market price on the date of grant. Weighted-average exercise prices were $21.56 and $29.25 for options granted during the nine month periods ended September 23, 2000 and September 25, 1999, respectively.</w:t>
      </w:r>
    </w:p>
    <w:p>
      <w:pPr>
        <w:spacing w:after="0" w:line="174" w:lineRule="exact"/>
        <w:rPr>
          <w:rFonts w:ascii="Courier New" w:cs="Courier New" w:eastAsia="Courier New" w:hAnsi="Courier New"/>
          <w:sz w:val="15"/>
          <w:szCs w:val="15"/>
          <w:color w:val="auto"/>
        </w:rPr>
      </w:pPr>
    </w:p>
    <w:p>
      <w:pPr>
        <w:ind w:left="62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permitted under Statement of Financial Accounting Standards No. 123 ("SFAS 123"), "Accounting for Stock-Based Compensation," the Company continues to apply the provisions of APB Opinion No. 25 which recognizes compensation expense under the intrinsic value method. Had compensation cost for the stock options granted been determined under the fair value based method defined in SFAS 123, the Company's net earnings and earnings per share would have been reduced to the following pro forma amounts (in thousands, except per share data).</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Nine Months Ended 09/25/99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Per</w:t>
      </w:r>
    </w:p>
    <w:p>
      <w:pPr>
        <w:ind w:left="180"/>
        <w:spacing w:after="0"/>
        <w:tabs>
          <w:tab w:leader="none" w:pos="1380" w:val="left"/>
          <w:tab w:leader="none" w:pos="242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Share</w:t>
      </w:r>
    </w:p>
    <w:p>
      <w:pPr>
        <w:spacing w:after="0" w:line="238" w:lineRule="auto"/>
        <w:tabs>
          <w:tab w:leader="none" w:pos="1120" w:val="left"/>
          <w:tab w:leader="none" w:pos="2420" w:val="left"/>
        </w:tabs>
        <w:rPr>
          <w:sz w:val="20"/>
          <w:szCs w:val="20"/>
          <w:color w:val="auto"/>
        </w:rPr>
      </w:pPr>
      <w:r>
        <w:rPr>
          <w:rFonts w:ascii="Courier New" w:cs="Courier New" w:eastAsia="Courier New" w:hAnsi="Courier New"/>
          <w:sz w:val="15"/>
          <w:szCs w:val="15"/>
          <w:color w:val="auto"/>
        </w:rPr>
        <w:t>(Numerator)</w:t>
        <w:tab/>
        <w:t>(Denominator)</w:t>
        <w:tab/>
        <w:t>Amount</w:t>
      </w:r>
    </w:p>
    <w:p>
      <w:pPr>
        <w:spacing w:after="0"/>
        <w:tabs>
          <w:tab w:leader="none" w:pos="1120" w:val="left"/>
          <w:tab w:leader="none" w:pos="242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$27,666</w:t>
      </w:r>
    </w:p>
    <w:p>
      <w:pPr>
        <w:spacing w:after="0" w:line="200" w:lineRule="exact"/>
        <w:rPr>
          <w:sz w:val="20"/>
          <w:szCs w:val="20"/>
          <w:color w:val="auto"/>
        </w:rPr>
      </w:pPr>
    </w:p>
    <w:p>
      <w:pPr>
        <w:spacing w:after="0" w:line="303" w:lineRule="exact"/>
        <w:rPr>
          <w:sz w:val="20"/>
          <w:szCs w:val="20"/>
          <w:color w:val="auto"/>
        </w:rPr>
      </w:pPr>
    </w:p>
    <w:p>
      <w:pPr>
        <w:ind w:left="260"/>
        <w:spacing w:after="0"/>
        <w:tabs>
          <w:tab w:leader="none" w:pos="1380" w:val="left"/>
          <w:tab w:leader="none" w:pos="2420" w:val="left"/>
        </w:tabs>
        <w:rPr>
          <w:sz w:val="20"/>
          <w:szCs w:val="20"/>
          <w:color w:val="auto"/>
        </w:rPr>
      </w:pPr>
      <w:r>
        <w:rPr>
          <w:rFonts w:ascii="Courier New" w:cs="Courier New" w:eastAsia="Courier New" w:hAnsi="Courier New"/>
          <w:sz w:val="15"/>
          <w:szCs w:val="15"/>
          <w:color w:val="auto"/>
        </w:rPr>
        <w:t>27,666</w:t>
      </w:r>
      <w:r>
        <w:rPr>
          <w:sz w:val="20"/>
          <w:szCs w:val="20"/>
          <w:color w:val="auto"/>
        </w:rPr>
        <w:tab/>
      </w:r>
      <w:r>
        <w:rPr>
          <w:rFonts w:ascii="Courier New" w:cs="Courier New" w:eastAsia="Courier New" w:hAnsi="Courier New"/>
          <w:sz w:val="15"/>
          <w:szCs w:val="15"/>
          <w:color w:val="auto"/>
        </w:rPr>
        <w:t>20,734</w:t>
      </w:r>
      <w:r>
        <w:rPr>
          <w:sz w:val="20"/>
          <w:szCs w:val="20"/>
          <w:color w:val="auto"/>
        </w:rPr>
        <w:tab/>
      </w:r>
      <w:r>
        <w:rPr>
          <w:rFonts w:ascii="Courier New" w:cs="Courier New" w:eastAsia="Courier New" w:hAnsi="Courier New"/>
          <w:sz w:val="14"/>
          <w:szCs w:val="14"/>
          <w:color w:val="auto"/>
        </w:rPr>
        <w:t>$1.33</w:t>
      </w:r>
    </w:p>
    <w:p>
      <w:pPr>
        <w:ind w:left="24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590</w:t>
      </w:r>
    </w:p>
    <w:p>
      <w:pPr>
        <w:ind w:left="148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spacing w:after="0"/>
        <w:tabs>
          <w:tab w:leader="none" w:pos="1460" w:val="left"/>
          <w:tab w:leader="none" w:pos="2420" w:val="left"/>
        </w:tabs>
        <w:rPr>
          <w:sz w:val="20"/>
          <w:szCs w:val="20"/>
          <w:color w:val="auto"/>
        </w:rPr>
      </w:pPr>
      <w:r>
        <w:rPr>
          <w:rFonts w:ascii="Courier New" w:cs="Courier New" w:eastAsia="Courier New" w:hAnsi="Courier New"/>
          <w:sz w:val="15"/>
          <w:szCs w:val="15"/>
          <w:color w:val="auto"/>
        </w:rPr>
        <w:t>$27,666</w:t>
      </w:r>
      <w:r>
        <w:rPr>
          <w:sz w:val="20"/>
          <w:szCs w:val="20"/>
          <w:color w:val="auto"/>
        </w:rPr>
        <w:tab/>
      </w:r>
      <w:r>
        <w:rPr>
          <w:rFonts w:ascii="Courier New" w:cs="Courier New" w:eastAsia="Courier New" w:hAnsi="Courier New"/>
          <w:sz w:val="15"/>
          <w:szCs w:val="15"/>
          <w:color w:val="auto"/>
        </w:rPr>
        <w:t>21,324</w:t>
      </w:r>
      <w:r>
        <w:rPr>
          <w:sz w:val="20"/>
          <w:szCs w:val="20"/>
          <w:color w:val="auto"/>
        </w:rPr>
        <w:tab/>
      </w:r>
      <w:r>
        <w:rPr>
          <w:rFonts w:ascii="Courier New" w:cs="Courier New" w:eastAsia="Courier New" w:hAnsi="Courier New"/>
          <w:sz w:val="14"/>
          <w:szCs w:val="14"/>
          <w:color w:val="auto"/>
        </w:rPr>
        <w:t>$1.30</w:t>
      </w:r>
    </w:p>
    <w:p>
      <w:pPr>
        <w:ind w:left="180"/>
        <w:spacing w:after="0"/>
        <w:tabs>
          <w:tab w:leader="none" w:pos="1380" w:val="left"/>
          <w:tab w:leader="none" w:pos="2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7000" w:space="360"/>
            <w:col w:w="2980"/>
          </w:cols>
          <w:pgMar w:left="220" w:top="281" w:right="1339"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UNIVERSAL FOREST PRODUCTS,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4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Three Months Ended</w:t>
            </w:r>
          </w:p>
        </w:tc>
        <w:tc>
          <w:tcPr>
            <w:tcW w:w="33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3680" w:type="dxa"/>
            <w:vAlign w:val="bottom"/>
          </w:tcPr>
          <w:p>
            <w:pPr>
              <w:spacing w:after="0"/>
              <w:rPr>
                <w:sz w:val="14"/>
                <w:szCs w:val="14"/>
                <w:color w:val="auto"/>
              </w:rPr>
            </w:pPr>
          </w:p>
        </w:tc>
        <w:tc>
          <w:tcPr>
            <w:tcW w:w="2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w:t>
            </w:r>
          </w:p>
        </w:tc>
        <w:tc>
          <w:tcPr>
            <w:tcW w:w="33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September 23,</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September 25,</w:t>
            </w: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September 23,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 25,</w:t>
            </w:r>
          </w:p>
        </w:tc>
      </w:tr>
      <w:tr>
        <w:trPr>
          <w:trHeight w:val="168"/>
        </w:trPr>
        <w:tc>
          <w:tcPr>
            <w:tcW w:w="36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68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ind w:left="960"/>
              <w:spacing w:after="0"/>
              <w:rPr>
                <w:sz w:val="20"/>
                <w:szCs w:val="20"/>
                <w:color w:val="auto"/>
              </w:rPr>
            </w:pPr>
            <w:r>
              <w:rPr>
                <w:rFonts w:ascii="Courier New" w:cs="Courier New" w:eastAsia="Courier New" w:hAnsi="Courier New"/>
                <w:sz w:val="15"/>
                <w:szCs w:val="15"/>
                <w:color w:val="auto"/>
              </w:rPr>
              <w:t>Net Earnings:</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6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As Reported..............</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$8,148</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$9,557</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$27,146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$27,666</w:t>
            </w:r>
          </w:p>
        </w:tc>
      </w:tr>
      <w:tr>
        <w:trPr>
          <w:trHeight w:val="168"/>
        </w:trPr>
        <w:tc>
          <w:tcPr>
            <w:tcW w:w="36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Pro Forma................</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7,981</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9,418</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26,665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27,252</w:t>
            </w:r>
          </w:p>
        </w:tc>
      </w:tr>
      <w:tr>
        <w:trPr>
          <w:trHeight w:val="336"/>
        </w:trPr>
        <w:tc>
          <w:tcPr>
            <w:tcW w:w="3680" w:type="dxa"/>
            <w:vAlign w:val="bottom"/>
          </w:tcPr>
          <w:p>
            <w:pPr>
              <w:ind w:left="960"/>
              <w:spacing w:after="0"/>
              <w:rPr>
                <w:sz w:val="20"/>
                <w:szCs w:val="20"/>
                <w:color w:val="auto"/>
              </w:rPr>
            </w:pPr>
            <w:r>
              <w:rPr>
                <w:rFonts w:ascii="Courier New" w:cs="Courier New" w:eastAsia="Courier New" w:hAnsi="Courier New"/>
                <w:sz w:val="15"/>
                <w:szCs w:val="15"/>
                <w:color w:val="auto"/>
              </w:rPr>
              <w:t>EPS - Basic:</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6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As Reported..............</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$0.40</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$0.46</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36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Pro Forma................</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$0.40</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w:t>
            </w:r>
          </w:p>
        </w:tc>
      </w:tr>
      <w:tr>
        <w:trPr>
          <w:trHeight w:val="336"/>
        </w:trPr>
        <w:tc>
          <w:tcPr>
            <w:tcW w:w="3680" w:type="dxa"/>
            <w:vAlign w:val="bottom"/>
          </w:tcPr>
          <w:p>
            <w:pPr>
              <w:ind w:left="960"/>
              <w:spacing w:after="0"/>
              <w:rPr>
                <w:sz w:val="20"/>
                <w:szCs w:val="20"/>
                <w:color w:val="auto"/>
              </w:rPr>
            </w:pPr>
            <w:r>
              <w:rPr>
                <w:rFonts w:ascii="Courier New" w:cs="Courier New" w:eastAsia="Courier New" w:hAnsi="Courier New"/>
                <w:sz w:val="15"/>
                <w:szCs w:val="15"/>
                <w:color w:val="auto"/>
              </w:rPr>
              <w:t>EPS - Diluted:</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6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As Reported..............</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$0.40</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$0.45</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36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Pro Forma................</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$0.39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$0.44</w:t>
            </w:r>
          </w:p>
        </w:tc>
        <w:tc>
          <w:tcPr>
            <w:tcW w:w="19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$1.28</w:t>
            </w:r>
          </w:p>
        </w:tc>
      </w:tr>
      <w:tr>
        <w:trPr>
          <w:trHeight w:val="505"/>
        </w:trPr>
        <w:tc>
          <w:tcPr>
            <w:tcW w:w="6160" w:type="dxa"/>
            <w:vAlign w:val="bottom"/>
            <w:gridSpan w:val="3"/>
          </w:tcPr>
          <w:p>
            <w:pPr>
              <w:spacing w:after="0"/>
              <w:rPr>
                <w:sz w:val="20"/>
                <w:szCs w:val="20"/>
                <w:color w:val="auto"/>
              </w:rPr>
            </w:pPr>
            <w:r>
              <w:rPr>
                <w:rFonts w:ascii="Courier New" w:cs="Courier New" w:eastAsia="Courier New" w:hAnsi="Courier New"/>
                <w:sz w:val="15"/>
                <w:szCs w:val="15"/>
                <w:color w:val="auto"/>
              </w:rPr>
              <w:t>The fair value of each option granted in the nine months ended</w:t>
            </w: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81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September 23, 2000 and September 25, 1999 is estimated on the date of the</w:t>
            </w:r>
          </w:p>
        </w:tc>
        <w:tc>
          <w:tcPr>
            <w:tcW w:w="1400" w:type="dxa"/>
            <w:vAlign w:val="bottom"/>
          </w:tcPr>
          <w:p>
            <w:pPr>
              <w:spacing w:after="0"/>
              <w:rPr>
                <w:sz w:val="14"/>
                <w:szCs w:val="14"/>
                <w:color w:val="auto"/>
              </w:rPr>
            </w:pPr>
          </w:p>
        </w:tc>
      </w:tr>
      <w:tr>
        <w:trPr>
          <w:trHeight w:val="168"/>
        </w:trPr>
        <w:tc>
          <w:tcPr>
            <w:tcW w:w="61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grant using the Black-Scholes option pricing model with the following</w:t>
            </w: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assumptions.</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841"/>
        </w:trPr>
        <w:tc>
          <w:tcPr>
            <w:tcW w:w="3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2000</w:t>
            </w:r>
          </w:p>
        </w:tc>
        <w:tc>
          <w:tcPr>
            <w:tcW w:w="198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1999</w:t>
            </w:r>
          </w:p>
        </w:tc>
        <w:tc>
          <w:tcPr>
            <w:tcW w:w="1400" w:type="dxa"/>
            <w:vAlign w:val="bottom"/>
          </w:tcPr>
          <w:p>
            <w:pPr>
              <w:spacing w:after="0"/>
              <w:rPr>
                <w:sz w:val="24"/>
                <w:szCs w:val="24"/>
                <w:color w:val="auto"/>
              </w:rPr>
            </w:pPr>
          </w:p>
        </w:tc>
      </w:tr>
      <w:tr>
        <w:trPr>
          <w:trHeight w:val="168"/>
        </w:trPr>
        <w:tc>
          <w:tcPr>
            <w:tcW w:w="3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505"/>
        </w:trPr>
        <w:tc>
          <w:tcPr>
            <w:tcW w:w="490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Risk Free Interest Rate.............</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6.20%</w:t>
            </w:r>
          </w:p>
        </w:tc>
        <w:tc>
          <w:tcPr>
            <w:tcW w:w="19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6.20%</w:t>
            </w:r>
          </w:p>
        </w:tc>
        <w:tc>
          <w:tcPr>
            <w:tcW w:w="1400" w:type="dxa"/>
            <w:vAlign w:val="bottom"/>
          </w:tcPr>
          <w:p>
            <w:pPr>
              <w:spacing w:after="0"/>
              <w:rPr>
                <w:sz w:val="24"/>
                <w:szCs w:val="24"/>
                <w:color w:val="auto"/>
              </w:rPr>
            </w:pPr>
          </w:p>
        </w:tc>
      </w:tr>
      <w:tr>
        <w:trPr>
          <w:trHeight w:val="168"/>
        </w:trPr>
        <w:tc>
          <w:tcPr>
            <w:tcW w:w="4900" w:type="dxa"/>
            <w:vAlign w:val="bottom"/>
            <w:gridSpan w:val="2"/>
          </w:tcPr>
          <w:p>
            <w:pPr>
              <w:ind w:left="1320"/>
              <w:spacing w:after="0" w:line="168" w:lineRule="exact"/>
              <w:rPr>
                <w:sz w:val="20"/>
                <w:szCs w:val="20"/>
                <w:color w:val="auto"/>
              </w:rPr>
            </w:pPr>
            <w:r>
              <w:rPr>
                <w:rFonts w:ascii="Courier New" w:cs="Courier New" w:eastAsia="Courier New" w:hAnsi="Courier New"/>
                <w:sz w:val="15"/>
                <w:szCs w:val="15"/>
                <w:color w:val="auto"/>
              </w:rPr>
              <w:t>Expected Life.......................</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6.1 years</w:t>
            </w:r>
          </w:p>
        </w:tc>
        <w:tc>
          <w:tcPr>
            <w:tcW w:w="19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6.3 years</w:t>
            </w:r>
          </w:p>
        </w:tc>
        <w:tc>
          <w:tcPr>
            <w:tcW w:w="1400" w:type="dxa"/>
            <w:vAlign w:val="bottom"/>
          </w:tcPr>
          <w:p>
            <w:pPr>
              <w:spacing w:after="0"/>
              <w:rPr>
                <w:sz w:val="14"/>
                <w:szCs w:val="14"/>
                <w:color w:val="auto"/>
              </w:rPr>
            </w:pPr>
          </w:p>
        </w:tc>
      </w:tr>
      <w:tr>
        <w:trPr>
          <w:trHeight w:val="168"/>
        </w:trPr>
        <w:tc>
          <w:tcPr>
            <w:tcW w:w="4900" w:type="dxa"/>
            <w:vAlign w:val="bottom"/>
            <w:gridSpan w:val="2"/>
          </w:tcPr>
          <w:p>
            <w:pPr>
              <w:ind w:left="1320"/>
              <w:spacing w:after="0" w:line="168" w:lineRule="exact"/>
              <w:rPr>
                <w:sz w:val="20"/>
                <w:szCs w:val="20"/>
                <w:color w:val="auto"/>
              </w:rPr>
            </w:pPr>
            <w:r>
              <w:rPr>
                <w:rFonts w:ascii="Courier New" w:cs="Courier New" w:eastAsia="Courier New" w:hAnsi="Courier New"/>
                <w:sz w:val="15"/>
                <w:szCs w:val="15"/>
                <w:color w:val="auto"/>
              </w:rPr>
              <w:t>Expected Volatility.................</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27.09%</w:t>
            </w:r>
          </w:p>
        </w:tc>
        <w:tc>
          <w:tcPr>
            <w:tcW w:w="19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27.75%</w:t>
            </w:r>
          </w:p>
        </w:tc>
        <w:tc>
          <w:tcPr>
            <w:tcW w:w="1400" w:type="dxa"/>
            <w:vAlign w:val="bottom"/>
          </w:tcPr>
          <w:p>
            <w:pPr>
              <w:spacing w:after="0"/>
              <w:rPr>
                <w:sz w:val="14"/>
                <w:szCs w:val="14"/>
                <w:color w:val="auto"/>
              </w:rPr>
            </w:pPr>
          </w:p>
        </w:tc>
      </w:tr>
      <w:tr>
        <w:trPr>
          <w:trHeight w:val="168"/>
        </w:trPr>
        <w:tc>
          <w:tcPr>
            <w:tcW w:w="4900" w:type="dxa"/>
            <w:vAlign w:val="bottom"/>
            <w:gridSpan w:val="2"/>
          </w:tcPr>
          <w:p>
            <w:pPr>
              <w:ind w:left="1320"/>
              <w:spacing w:after="0" w:line="168" w:lineRule="exact"/>
              <w:rPr>
                <w:sz w:val="20"/>
                <w:szCs w:val="20"/>
                <w:color w:val="auto"/>
              </w:rPr>
            </w:pPr>
            <w:r>
              <w:rPr>
                <w:rFonts w:ascii="Courier New" w:cs="Courier New" w:eastAsia="Courier New" w:hAnsi="Courier New"/>
                <w:sz w:val="15"/>
                <w:szCs w:val="15"/>
                <w:color w:val="auto"/>
              </w:rPr>
              <w:t>Expected Dividend Yield.............</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0.40%</w:t>
            </w:r>
          </w:p>
        </w:tc>
        <w:tc>
          <w:tcPr>
            <w:tcW w:w="19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0.40%</w:t>
            </w:r>
          </w:p>
        </w:tc>
        <w:tc>
          <w:tcPr>
            <w:tcW w:w="140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right="3319" w:firstLine="612"/>
        <w:spacing w:after="0" w:line="234" w:lineRule="auto"/>
        <w:rPr>
          <w:sz w:val="20"/>
          <w:szCs w:val="20"/>
          <w:color w:val="auto"/>
        </w:rPr>
      </w:pPr>
      <w:r>
        <w:rPr>
          <w:rFonts w:ascii="Courier New" w:cs="Courier New" w:eastAsia="Courier New" w:hAnsi="Courier New"/>
          <w:sz w:val="15"/>
          <w:szCs w:val="15"/>
          <w:color w:val="auto"/>
        </w:rPr>
        <w:t>Stock option activity for the nine months ended September 23, 2000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Shares of</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68"/>
        </w:trPr>
        <w:tc>
          <w:tcPr>
            <w:tcW w:w="3340" w:type="dxa"/>
            <w:vAlign w:val="bottom"/>
          </w:tcPr>
          <w:p>
            <w:pPr>
              <w:spacing w:after="0"/>
              <w:rPr>
                <w:sz w:val="14"/>
                <w:szCs w:val="14"/>
                <w:color w:val="auto"/>
              </w:rPr>
            </w:pP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Common Stock</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340" w:type="dxa"/>
            <w:vAlign w:val="bottom"/>
          </w:tcPr>
          <w:p>
            <w:pPr>
              <w:spacing w:after="0"/>
              <w:rPr>
                <w:sz w:val="14"/>
                <w:szCs w:val="14"/>
                <w:color w:val="auto"/>
              </w:rPr>
            </w:pP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Attributable to</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3340" w:type="dxa"/>
            <w:vAlign w:val="bottom"/>
          </w:tcPr>
          <w:p>
            <w:pPr>
              <w:spacing w:after="0"/>
              <w:rPr>
                <w:sz w:val="14"/>
                <w:szCs w:val="14"/>
                <w:color w:val="auto"/>
              </w:rPr>
            </w:pP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Options</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Options</w:t>
            </w:r>
          </w:p>
        </w:tc>
      </w:tr>
      <w:tr>
        <w:trPr>
          <w:trHeight w:val="168"/>
        </w:trPr>
        <w:tc>
          <w:tcPr>
            <w:tcW w:w="3340" w:type="dxa"/>
            <w:vAlign w:val="bottom"/>
          </w:tcPr>
          <w:p>
            <w:pPr>
              <w:spacing w:after="0"/>
              <w:rPr>
                <w:sz w:val="14"/>
                <w:szCs w:val="14"/>
                <w:color w:val="auto"/>
              </w:rPr>
            </w:pP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Outstanding on December 25, 1999</w:t>
            </w:r>
          </w:p>
        </w:tc>
        <w:tc>
          <w:tcPr>
            <w:tcW w:w="2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1,317,515</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$12.66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355,964</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2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(70,065)</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$16.42</w:t>
            </w:r>
          </w:p>
        </w:tc>
      </w:tr>
      <w:tr>
        <w:trPr>
          <w:trHeight w:val="168"/>
        </w:trPr>
        <w:tc>
          <w:tcPr>
            <w:tcW w:w="3340" w:type="dxa"/>
            <w:vAlign w:val="bottom"/>
          </w:tcPr>
          <w:p>
            <w:pPr>
              <w:spacing w:after="0"/>
              <w:rPr>
                <w:sz w:val="14"/>
                <w:szCs w:val="14"/>
                <w:color w:val="auto"/>
              </w:rPr>
            </w:pP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on March 25, 2000</w:t>
            </w: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1,603,414</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150,000</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2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(60,000)</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2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(15,703)</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$15.23</w:t>
            </w:r>
          </w:p>
        </w:tc>
      </w:tr>
      <w:tr>
        <w:trPr>
          <w:trHeight w:val="168"/>
        </w:trPr>
        <w:tc>
          <w:tcPr>
            <w:tcW w:w="3340" w:type="dxa"/>
            <w:vAlign w:val="bottom"/>
          </w:tcPr>
          <w:p>
            <w:pPr>
              <w:spacing w:after="0"/>
              <w:rPr>
                <w:sz w:val="14"/>
                <w:szCs w:val="14"/>
                <w:color w:val="auto"/>
              </w:rPr>
            </w:pP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on June 24, 2000</w:t>
            </w: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1,677,711</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$12.97</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2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(11,532)</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$14.48</w:t>
            </w:r>
          </w:p>
        </w:tc>
      </w:tr>
      <w:tr>
        <w:trPr>
          <w:trHeight w:val="168"/>
        </w:trPr>
        <w:tc>
          <w:tcPr>
            <w:tcW w:w="3340" w:type="dxa"/>
            <w:vAlign w:val="bottom"/>
          </w:tcPr>
          <w:p>
            <w:pPr>
              <w:spacing w:after="0"/>
              <w:rPr>
                <w:sz w:val="14"/>
                <w:szCs w:val="14"/>
                <w:color w:val="auto"/>
              </w:rPr>
            </w:pP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on September 23, 2000</w:t>
            </w: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1,666,179</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$12.96</w:t>
            </w:r>
          </w:p>
        </w:tc>
      </w:tr>
      <w:tr>
        <w:trPr>
          <w:trHeight w:val="168"/>
        </w:trPr>
        <w:tc>
          <w:tcPr>
            <w:tcW w:w="3340" w:type="dxa"/>
            <w:vAlign w:val="bottom"/>
          </w:tcPr>
          <w:p>
            <w:pPr>
              <w:spacing w:after="0"/>
              <w:rPr>
                <w:sz w:val="14"/>
                <w:szCs w:val="14"/>
                <w:color w:val="auto"/>
              </w:rPr>
            </w:pPr>
          </w:p>
        </w:tc>
        <w:tc>
          <w:tcPr>
            <w:tcW w:w="2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UNIVERSAL FOREST PRODUCTS,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20" w:right="3579"/>
        <w:spacing w:after="0" w:line="235" w:lineRule="auto"/>
        <w:rPr>
          <w:sz w:val="20"/>
          <w:szCs w:val="20"/>
          <w:color w:val="auto"/>
        </w:rPr>
      </w:pPr>
      <w:r>
        <w:rPr>
          <w:rFonts w:ascii="Courier New" w:cs="Courier New" w:eastAsia="Courier New" w:hAnsi="Courier New"/>
          <w:sz w:val="15"/>
          <w:szCs w:val="15"/>
          <w:color w:val="auto"/>
        </w:rPr>
        <w:t>The following table summarizes information concerning options on September 23, 2000 (there are no options exercisable at September 23, 2000):</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 Remaining</w:t>
            </w:r>
          </w:p>
        </w:tc>
      </w:tr>
      <w:tr>
        <w:trPr>
          <w:trHeight w:val="168"/>
        </w:trPr>
        <w:tc>
          <w:tcPr>
            <w:tcW w:w="2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Range of Exercise Prices</w:t>
            </w: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Number Outstanding</w:t>
            </w:r>
          </w:p>
        </w:tc>
        <w:tc>
          <w:tcPr>
            <w:tcW w:w="2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Contractual Life</w:t>
            </w:r>
          </w:p>
        </w:tc>
      </w:tr>
      <w:tr>
        <w:trPr>
          <w:trHeight w:val="168"/>
        </w:trPr>
        <w:tc>
          <w:tcPr>
            <w:tcW w:w="2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$4.50 - $10.00</w:t>
            </w:r>
          </w:p>
        </w:tc>
        <w:tc>
          <w:tcPr>
            <w:tcW w:w="2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592,500</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$10.01</w:t>
            </w:r>
          </w:p>
        </w:tc>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4"/>
              </w:rPr>
              <w:t>- $25.00</w:t>
            </w: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963,679</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w:t>
            </w: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$25.01</w:t>
            </w:r>
          </w:p>
        </w:tc>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4"/>
              </w:rPr>
              <w:t>- $36.01</w:t>
            </w: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110,000</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11.27</w:t>
            </w:r>
          </w:p>
        </w:tc>
      </w:tr>
      <w:tr>
        <w:trPr>
          <w:trHeight w:val="168"/>
        </w:trPr>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1,666,179</w:t>
            </w:r>
          </w:p>
        </w:tc>
        <w:tc>
          <w:tcPr>
            <w:tcW w:w="252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ind w:left="620" w:hanging="610"/>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72" w:lineRule="exact"/>
        <w:rPr>
          <w:rFonts w:ascii="Courier New" w:cs="Courier New" w:eastAsia="Courier New" w:hAnsi="Courier New"/>
          <w:sz w:val="15"/>
          <w:szCs w:val="15"/>
          <w:color w:val="auto"/>
        </w:rPr>
      </w:pPr>
    </w:p>
    <w:p>
      <w:pPr>
        <w:ind w:left="6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17, 2000, the Company acquired fifty percent of the stock of ECJW Holdings, Inc. which has two subsidiaries, Thorndale Roof Systems, Inc. and Edcor Floor Systems, Inc. ("TED"). Thorndale Roof Systems, Inc. manufactures engineered roof trusses for residential and light commercial building applications. Edcor Floor Systems, Inc. is a licensed manufacturer of the patented Open Joist 2000(TM) web floor truss system. Located in London, Ontario, both companies service Ontario, Eastern Michigan and Northern Ohio, including the major markets of Detroit and Toronto. The total purchase price for the stock of TED was approximately $3.2 million, funded through the Company's revolving credit facility. This transaction has been accounted for as a purchase and, accordingly, the purchase price has been allocated to the assets acquired based on their estimated fair market values at the date of acquisition. The excess of the purchase price over the estimated fair value of the acquired assets, assumed liabilities and minority interest was $2.3 million, and has been recorded as goodwill, to be amortized on a straight-line basis over 20 years. TED's results of operations are included in the Company's consolidated condensed financial statements since the date of acquisition.</w:t>
      </w:r>
    </w:p>
    <w:p>
      <w:pPr>
        <w:spacing w:after="0" w:line="175" w:lineRule="exact"/>
        <w:rPr>
          <w:rFonts w:ascii="Courier New" w:cs="Courier New" w:eastAsia="Courier New" w:hAnsi="Courier New"/>
          <w:sz w:val="15"/>
          <w:szCs w:val="15"/>
          <w:color w:val="auto"/>
        </w:rPr>
      </w:pPr>
    </w:p>
    <w:p>
      <w:pPr>
        <w:ind w:left="6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June 5, 2000, the Company acquired substantially all of the assets and assumed certain liabilities of Gang-Nail Components, Inc. ("Gang-Nail") of Fontana, CA, a manufacturer of engineered wood components. The new name of this operation is Universal Truss, Inc. ("UTI"). The total purchase price for the net assets was approximately $29.4 million, funded through the Company's revolving credit facility. This transaction has been accounted for as a purchase and, accordingly, the purchase price has been allocated to the assets acquired based on their estimated fair market values at the date of acquisition. The excess of the purchase price over the estimated fair value of the acquired assets and assumed liabilities was $13.4 million, and has been recorded as goodwill, to be amortized on a straight-line basis over 20 years. UTI's results of operations are included in the Company's consolidated condensed financial statements since the date of acquisition.</w:t>
      </w:r>
    </w:p>
    <w:p>
      <w:pPr>
        <w:spacing w:after="0" w:line="163" w:lineRule="exact"/>
        <w:rPr>
          <w:rFonts w:ascii="Courier New" w:cs="Courier New" w:eastAsia="Courier New" w:hAnsi="Courier New"/>
          <w:sz w:val="15"/>
          <w:szCs w:val="15"/>
          <w:color w:val="auto"/>
        </w:rPr>
      </w:pPr>
    </w:p>
    <w:p>
      <w:pPr>
        <w:ind w:left="62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unaudited pro forma consolidated results of operations for the nine months ended September 23, 2000 and September 25, 1999 assumes the acquisitions of TED and Gang-Nail occurred as of the beginning of the periods presented (in thousands, except per share data).</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UNIVERSAL FOREST PRODUCTS,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Nine Months Ended</w:t>
            </w:r>
          </w:p>
        </w:tc>
        <w:tc>
          <w:tcPr>
            <w:tcW w:w="1800" w:type="dxa"/>
            <w:vAlign w:val="bottom"/>
          </w:tcPr>
          <w:p>
            <w:pPr>
              <w:ind w:left="220"/>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4040" w:type="dxa"/>
            <w:vAlign w:val="bottom"/>
          </w:tcPr>
          <w:p>
            <w:pPr>
              <w:spacing w:after="0"/>
              <w:rPr>
                <w:sz w:val="14"/>
                <w:szCs w:val="14"/>
                <w:color w:val="auto"/>
              </w:rPr>
            </w:pPr>
          </w:p>
        </w:tc>
        <w:tc>
          <w:tcPr>
            <w:tcW w:w="2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September 23, 2000</w:t>
            </w:r>
          </w:p>
        </w:tc>
        <w:tc>
          <w:tcPr>
            <w:tcW w:w="1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September 25, 1999</w:t>
            </w:r>
          </w:p>
        </w:tc>
      </w:tr>
      <w:tr>
        <w:trPr>
          <w:trHeight w:val="168"/>
        </w:trPr>
        <w:tc>
          <w:tcPr>
            <w:tcW w:w="4040" w:type="dxa"/>
            <w:vAlign w:val="bottom"/>
          </w:tcPr>
          <w:p>
            <w:pPr>
              <w:spacing w:after="0"/>
              <w:rPr>
                <w:sz w:val="14"/>
                <w:szCs w:val="14"/>
                <w:color w:val="auto"/>
              </w:rPr>
            </w:pPr>
          </w:p>
        </w:tc>
        <w:tc>
          <w:tcPr>
            <w:tcW w:w="2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sales .................................</w:t>
            </w:r>
          </w:p>
        </w:tc>
        <w:tc>
          <w:tcPr>
            <w:tcW w:w="20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$1,125,711</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$1,162,770</w:t>
            </w:r>
          </w:p>
        </w:tc>
      </w:tr>
      <w:tr>
        <w:trPr>
          <w:trHeight w:val="336"/>
        </w:trPr>
        <w:tc>
          <w:tcPr>
            <w:tcW w:w="4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earnings ..............................</w:t>
            </w:r>
          </w:p>
        </w:tc>
        <w:tc>
          <w:tcPr>
            <w:tcW w:w="20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27,926</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29,528</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0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4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Basic ..............................</w:t>
            </w:r>
          </w:p>
        </w:tc>
        <w:tc>
          <w:tcPr>
            <w:tcW w:w="20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$1.39</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4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Diluted ............................</w:t>
            </w:r>
          </w:p>
        </w:tc>
        <w:tc>
          <w:tcPr>
            <w:tcW w:w="20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$1.36</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0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4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Basic ..............................</w:t>
            </w:r>
          </w:p>
        </w:tc>
        <w:tc>
          <w:tcPr>
            <w:tcW w:w="20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20,134</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20,734</w:t>
            </w:r>
          </w:p>
        </w:tc>
      </w:tr>
      <w:tr>
        <w:trPr>
          <w:trHeight w:val="168"/>
        </w:trPr>
        <w:tc>
          <w:tcPr>
            <w:tcW w:w="4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Diluted ............................</w:t>
            </w:r>
          </w:p>
        </w:tc>
        <w:tc>
          <w:tcPr>
            <w:tcW w:w="20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20,502</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21,324</w:t>
            </w:r>
          </w:p>
        </w:tc>
      </w:tr>
    </w:tbl>
    <w:p>
      <w:pPr>
        <w:spacing w:after="0" w:line="200" w:lineRule="exact"/>
        <w:rPr>
          <w:sz w:val="20"/>
          <w:szCs w:val="20"/>
          <w:color w:val="auto"/>
        </w:rPr>
      </w:pPr>
    </w:p>
    <w:p>
      <w:pPr>
        <w:spacing w:after="0" w:line="309" w:lineRule="exact"/>
        <w:rPr>
          <w:sz w:val="20"/>
          <w:szCs w:val="20"/>
          <w:color w:val="auto"/>
        </w:rPr>
      </w:pPr>
    </w:p>
    <w:p>
      <w:pPr>
        <w:ind w:left="620" w:right="3239"/>
        <w:spacing w:after="0" w:line="236" w:lineRule="auto"/>
        <w:rPr>
          <w:sz w:val="20"/>
          <w:szCs w:val="20"/>
          <w:color w:val="auto"/>
        </w:rPr>
      </w:pPr>
      <w:r>
        <w:rPr>
          <w:rFonts w:ascii="Courier New" w:cs="Courier New" w:eastAsia="Courier New" w:hAnsi="Courier New"/>
          <w:sz w:val="15"/>
          <w:szCs w:val="15"/>
          <w:color w:val="auto"/>
        </w:rPr>
        <w:t>The pro forma results above include certain adjustments to give effect to amortization of goodwill, interest expense, compensation of management, certain other adjustments and related income tax effects. The pro forma results are not necessarily indicative of the operating results that would have occurred had the acquisitions been completed as of the beginning of the period presented, nor are they necessarily indicative of future operating results.</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UNIVERSAL FOREST PRODUCTS,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AND RESULTS OF OPERATIONS</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Included in this report are certain forward-looking statements within the meaning of Section 27A of the Securities Act of 1933, as amended, and Section 21E of the Securities Exchange Act of 1934, as amended. The forward-looking statements are based on the beliefs and assumptions of management of the Company together with information available to the Company when the statements were made. Future results could differ materially from those included in such forward-looking statements as a result of, among other things, the factors set forth below and certain economic and business factors which may be beyond the control of the Company. Investors are cautioned that all forward-looking statements involve risks and uncertainty.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Lumber Market Volatility:</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Company experiences significant fluctuations in the cost of commodity lumber products from primary producers. A variety of factors over which the Company has no control, including government regulations, environmental regulations, weather conditions, economic conditions and natural disasters, impact the cost of lumber products and the Company's selling prices. The Company attempts to minimize its risk from severe price fluctuations. However, prolonged trends in lumber prices can affect the Company's financial results. The Company anticipates that price fluctuations will continue in the future. Management utilizes the Random Lengths composite price (see "Fluctuations in Lumber Prices"), which is a weighted average of nine key framing lumber prices chosen from major producing areas and species, as a broad measure of price movement in the commodity lumber market ("Lumber Market").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499" w:firstLine="612"/>
        <w:spacing w:after="0" w:line="235" w:lineRule="auto"/>
        <w:rPr>
          <w:sz w:val="20"/>
          <w:szCs w:val="20"/>
          <w:color w:val="auto"/>
        </w:rPr>
      </w:pPr>
      <w:r>
        <w:rPr>
          <w:rFonts w:ascii="Courier New" w:cs="Courier New" w:eastAsia="Courier New" w:hAnsi="Courier New"/>
          <w:sz w:val="15"/>
          <w:szCs w:val="15"/>
          <w:color w:val="auto"/>
        </w:rPr>
        <w:t>The Company is subject to competitive selling and pricing pressures in its major markets. While the Company is generally aware of its existing competitors' capabilities, it is subject to entry in its markets by new competitors, which could negatively impact financial results.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Growth:</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Company's sales growth is dependent, in part, upon growth of the markets it serves. If the Company's markets do not achieve anticipated growth, or if the Company fails to maintain its market share, financial results could be impaired. Certain segments of the manufactured housing industry are hampered by market conditions, including an oversupply of product and tightened credit policies, which have impacted the Company's ability to achieve short-term growth objectives. A prolonged downturn in this market could adversely affect the Company's operating results.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UNIVERSAL FOREST PRODUCTS,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AND RESULTS OF OPERATIONS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Economic Trends: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Management believes the Company's ability to achieve growth in sales and margins to the site-built construction market is somewhat dependent on housing starts. If housing starts decline significantly, the Company's financial results could be impacted. One factor which could impact housing starts is an increase in mortgage interest rates.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Combinations:</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A key component of the Company's growth strategy is to complete business combinations. Business combinations involve inherent risks, including assimilation and successfully managing growth. While the Company conducts extensive due diligence and has taken steps to ensure successful assimilation, factors beyond the Company's control could influence the results of these acquisitions.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w:t>
      </w:r>
    </w:p>
    <w:p>
      <w:pPr>
        <w:spacing w:after="0" w:line="173"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The Company, like most companies, is witnessing consolidation by its customers. These consolidations will result in a larger portion of the Company's sales being made to some customers. Consolidation may limit the number of customers the Company is able to serve.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Regulations:</w:t>
      </w:r>
    </w:p>
    <w:p>
      <w:pPr>
        <w:spacing w:after="0" w:line="173"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The Company is subject to a variety of government regulations which create a financial burden on the Company. If additional laws and regulations are enacted in the future, or if existing laws are interpreted differently, it could increase the financial cost to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Weather Conditions:</w:t>
      </w:r>
    </w:p>
    <w:p>
      <w:pPr>
        <w:spacing w:after="0" w:line="173" w:lineRule="exact"/>
        <w:rPr>
          <w:sz w:val="20"/>
          <w:szCs w:val="20"/>
          <w:color w:val="auto"/>
        </w:rPr>
      </w:pPr>
    </w:p>
    <w:p>
      <w:pPr>
        <w:jc w:val="both"/>
        <w:ind w:right="3319" w:firstLine="612"/>
        <w:spacing w:after="0" w:line="256" w:lineRule="auto"/>
        <w:rPr>
          <w:sz w:val="20"/>
          <w:szCs w:val="20"/>
          <w:color w:val="auto"/>
        </w:rPr>
      </w:pPr>
      <w:r>
        <w:rPr>
          <w:rFonts w:ascii="Courier New" w:cs="Courier New" w:eastAsia="Courier New" w:hAnsi="Courier New"/>
          <w:sz w:val="14"/>
          <w:szCs w:val="14"/>
          <w:color w:val="auto"/>
        </w:rPr>
        <w:t>The majority of the Company's products are used in outdoor construction activities, therefore its short-term sales volume and profits can be negatively affected by adverse weather conditions. In addition, adverse weather conditions can negatively impact its productivity and costs per unit.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34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Some aspects of the Company's business are seasonal in nature and results of operations vary from quarter to quarter. The Company's treated lumber and outdoor specialty products, such as fencing, decking and lattice, experience the greatest seasonal effects. Sales of treated lumber, primarily consisting of Southern Yellow Pine ("SYP"), also experience the greatest Lumber Market risk. Treated lumber sales are generally at their highest levels between the months of April through August. This sales peak, combined with capacity constraints in the wood treatment process, requires the Company to build its inventory of treated lumber throughout the winter and spring. Since sales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UNIVERSAL FOREST PRODUCTS,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AND RESULTS OF OPERATIONS - CONTINUED</w:t>
      </w:r>
    </w:p>
    <w:p>
      <w:pPr>
        <w:spacing w:after="0" w:line="200" w:lineRule="exact"/>
        <w:rPr>
          <w:sz w:val="20"/>
          <w:szCs w:val="20"/>
          <w:color w:val="auto"/>
        </w:rPr>
      </w:pPr>
    </w:p>
    <w:p>
      <w:pPr>
        <w:spacing w:after="0" w:line="31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prices of treated lumber products are generally indexed to the Lumber Market at the time they are shipped, the Company's profits can be negatively affected by prolonged declines in the Lumber Market during its primary selling season. To mitigate this risk, programs are maintained with certain vendors and customers that are intended to decrease the Company's exposure. These programs include those materials which are most susceptible to adverse changes in the Lumber Market. Vendor programs also allow the Company to carry a lower investment in inventories.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E-Business/E-Commerce:</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While the Company has invested heavily in technology and established electronic business-to-business efficiencies with certain customers and vendors, the willingness of customers and vendors to modify existing distribution strategies poses a potential risk. The Company believes the nature of its products, together with the value-added services the Company provides, ensures that it has a solid position in the supply chain.</w:t>
      </w:r>
    </w:p>
    <w:p>
      <w:pPr>
        <w:spacing w:after="0" w:line="34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When analyzing this report to assess the future performance of the Company, please recognize the potential impact of the various factors set forth above.</w:t>
      </w:r>
    </w:p>
    <w:p>
      <w:pPr>
        <w:spacing w:after="0" w:line="15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BUSINESS COMBINATIONS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On April 17, 2000, the Company acquired fifty percent of the stock of ECJW Holdings, Inc. which has two subsidiaries, Thorndale Roof Systems, Inc. and Edcor Floor Systems, Inc. ("TED"). Thorndale Roof Systems, Inc. manufactures engineered roof trusses for residential and light commercial building applications. Edcor Floor Systems, Inc. is a licensed manufacturer of the patented Open Joist 2000(TM) web floor truss system. Located in London, Ontario, both companies service Ontario, Eastern Michigan and Northern Ohio, including the major markets of Detroit and Toronto. The total purchase price for the stock of TED was approximately $3.2 million. TED had net sales in fiscal 1999 totaling $11.2 million.</w:t>
      </w:r>
    </w:p>
    <w:p>
      <w:pPr>
        <w:spacing w:after="0" w:line="179"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On June 5, 2000, the Company acquired substantially all of the assets and assumed certain liabilities of Gang-Nail Components, Inc. ("Gang-Nail") of Fontana, CA, a manufacturer of engineered wood components. The total purchase price for the net assets was approximately $29.4 million. Gang-Nail had net sales in fiscal 1999 totaling $41.7 million.</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FLUCTUATIONS IN LUMBER PRICES</w:t>
      </w:r>
    </w:p>
    <w:p>
      <w:pPr>
        <w:spacing w:after="0" w:line="173" w:lineRule="exact"/>
        <w:rPr>
          <w:sz w:val="20"/>
          <w:szCs w:val="20"/>
          <w:color w:val="auto"/>
        </w:rPr>
      </w:pPr>
    </w:p>
    <w:p>
      <w:pPr>
        <w:ind w:right="3239" w:firstLine="700"/>
        <w:spacing w:after="0" w:line="261" w:lineRule="auto"/>
        <w:rPr>
          <w:sz w:val="20"/>
          <w:szCs w:val="20"/>
          <w:color w:val="auto"/>
        </w:rPr>
      </w:pPr>
      <w:r>
        <w:rPr>
          <w:rFonts w:ascii="Courier New" w:cs="Courier New" w:eastAsia="Courier New" w:hAnsi="Courier New"/>
          <w:sz w:val="14"/>
          <w:szCs w:val="14"/>
          <w:color w:val="auto"/>
        </w:rPr>
        <w:t>The following table presents the Random Lengths framing lumber composite price for the nine months ended September 23, 2000 and September 25, 1999:</w:t>
      </w:r>
    </w:p>
    <w:p>
      <w:pPr>
        <w:spacing w:after="0" w:line="32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UNIVERSAL FOREST PRODUCTS,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Random Lengths Composite</w:t>
            </w:r>
          </w:p>
        </w:tc>
      </w:tr>
      <w:tr>
        <w:trPr>
          <w:trHeight w:val="168"/>
        </w:trPr>
        <w:tc>
          <w:tcPr>
            <w:tcW w:w="3200" w:type="dxa"/>
            <w:vAlign w:val="bottom"/>
          </w:tcPr>
          <w:p>
            <w:pPr>
              <w:spacing w:after="0"/>
              <w:rPr>
                <w:sz w:val="14"/>
                <w:szCs w:val="14"/>
                <w:color w:val="auto"/>
              </w:rPr>
            </w:pPr>
          </w:p>
        </w:tc>
        <w:tc>
          <w:tcPr>
            <w:tcW w:w="22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Average $/MBF</w:t>
            </w:r>
          </w:p>
        </w:tc>
      </w:tr>
      <w:tr>
        <w:trPr>
          <w:trHeight w:val="168"/>
        </w:trPr>
        <w:tc>
          <w:tcPr>
            <w:tcW w:w="3200" w:type="dxa"/>
            <w:vAlign w:val="bottom"/>
          </w:tcPr>
          <w:p>
            <w:pPr>
              <w:spacing w:after="0"/>
              <w:rPr>
                <w:sz w:val="14"/>
                <w:szCs w:val="14"/>
                <w:color w:val="auto"/>
              </w:rPr>
            </w:pPr>
          </w:p>
        </w:tc>
        <w:tc>
          <w:tcPr>
            <w:tcW w:w="2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20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January............................</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$386</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385</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386</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382</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394</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359</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May................................</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326</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421</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June...............................</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454</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July...............................</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308</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289</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404</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287</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392</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Third quarter average..............</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$295</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$425</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Year-to-date average...............</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$339</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$410</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Third quarter percentage</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from 1999...............</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-30.6%</w:t>
            </w:r>
          </w:p>
        </w:tc>
        <w:tc>
          <w:tcPr>
            <w:tcW w:w="104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Year-to-date percentage</w:t>
            </w: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from 1999...............</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-17.3%</w:t>
            </w:r>
          </w:p>
        </w:tc>
        <w:tc>
          <w:tcPr>
            <w:tcW w:w="1040" w:type="dxa"/>
            <w:vAlign w:val="bottom"/>
          </w:tcPr>
          <w:p>
            <w:pPr>
              <w:spacing w:after="0"/>
              <w:rPr>
                <w:sz w:val="14"/>
                <w:szCs w:val="14"/>
                <w:color w:val="auto"/>
              </w:rPr>
            </w:pPr>
          </w:p>
        </w:tc>
      </w:tr>
    </w:tbl>
    <w:p>
      <w:pPr>
        <w:spacing w:after="0" w:line="341"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In addition, a SYP composite price, prepared and used by the Company, is presented below. Sales of products produced using this species comprise up to fifty percent of the Company's sales volume.</w:t>
      </w:r>
    </w:p>
    <w:p>
      <w:pPr>
        <w:spacing w:after="0" w:line="200" w:lineRule="exact"/>
        <w:rPr>
          <w:sz w:val="20"/>
          <w:szCs w:val="20"/>
          <w:color w:val="auto"/>
        </w:rPr>
      </w:pPr>
    </w:p>
    <w:p>
      <w:pPr>
        <w:spacing w:after="0" w:line="304"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Random Lengths SYP</w:t>
            </w:r>
          </w:p>
        </w:tc>
      </w:tr>
      <w:tr>
        <w:trPr>
          <w:trHeight w:val="168"/>
        </w:trPr>
        <w:tc>
          <w:tcPr>
            <w:tcW w:w="3280" w:type="dxa"/>
            <w:vAlign w:val="bottom"/>
          </w:tcPr>
          <w:p>
            <w:pPr>
              <w:spacing w:after="0"/>
              <w:rPr>
                <w:sz w:val="14"/>
                <w:szCs w:val="14"/>
                <w:color w:val="auto"/>
              </w:rPr>
            </w:pPr>
          </w:p>
        </w:tc>
        <w:tc>
          <w:tcPr>
            <w:tcW w:w="1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Average $/MBF</w:t>
            </w:r>
          </w:p>
        </w:tc>
      </w:tr>
      <w:tr>
        <w:trPr>
          <w:trHeight w:val="168"/>
        </w:trPr>
        <w:tc>
          <w:tcPr>
            <w:tcW w:w="328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28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January............................</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497</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May................................</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June...............................</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July...............................</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Third quarter average..............</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Year-to-date average...............</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Third quarter percentage</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from 1999...............</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-20.9%</w:t>
            </w:r>
          </w:p>
        </w:tc>
        <w:tc>
          <w:tcPr>
            <w:tcW w:w="78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Year-to-date percentage</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from 1999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-11.7%</w:t>
            </w:r>
          </w:p>
        </w:tc>
        <w:tc>
          <w:tcPr>
            <w:tcW w:w="780" w:type="dxa"/>
            <w:vAlign w:val="bottom"/>
          </w:tcPr>
          <w:p>
            <w:pPr>
              <w:spacing w:after="0"/>
              <w:rPr>
                <w:sz w:val="14"/>
                <w:szCs w:val="14"/>
                <w:color w:val="auto"/>
              </w:rPr>
            </w:pPr>
          </w:p>
        </w:tc>
      </w:tr>
      <w:tr>
        <w:trPr>
          <w:trHeight w:val="505"/>
        </w:trPr>
        <w:tc>
          <w:tcPr>
            <w:tcW w:w="3280" w:type="dxa"/>
            <w:vAlign w:val="bottom"/>
          </w:tcPr>
          <w:p>
            <w:pPr>
              <w:ind w:left="1840"/>
              <w:spacing w:after="0"/>
              <w:rPr>
                <w:sz w:val="20"/>
                <w:szCs w:val="20"/>
                <w:color w:val="auto"/>
              </w:rPr>
            </w:pPr>
            <w:r>
              <w:rPr>
                <w:rFonts w:ascii="Courier New" w:cs="Courier New" w:eastAsia="Courier New" w:hAnsi="Courier New"/>
                <w:sz w:val="15"/>
                <w:szCs w:val="15"/>
                <w:color w:val="auto"/>
              </w:rPr>
              <w:t>16</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03"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5"/>
          <w:szCs w:val="15"/>
          <w:color w:val="auto"/>
        </w:rPr>
        <w:t>UNIVERSAL FOREST PRODUCTS, INC.</w:t>
      </w:r>
    </w:p>
    <w:p>
      <w:pPr>
        <w:spacing w:after="0" w:line="166"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jc w:val="center"/>
        <w:ind w:right="3940"/>
        <w:spacing w:after="0" w:line="237" w:lineRule="auto"/>
        <w:rPr>
          <w:sz w:val="20"/>
          <w:szCs w:val="20"/>
          <w:color w:val="auto"/>
        </w:rPr>
      </w:pPr>
      <w:r>
        <w:rPr>
          <w:rFonts w:ascii="Courier New" w:cs="Courier New" w:eastAsia="Courier New" w:hAnsi="Courier New"/>
          <w:sz w:val="15"/>
          <w:szCs w:val="15"/>
          <w:color w:val="auto"/>
        </w:rPr>
        <w:t>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4200" w:firstLine="612"/>
        <w:spacing w:after="0" w:line="234" w:lineRule="auto"/>
        <w:rPr>
          <w:sz w:val="20"/>
          <w:szCs w:val="20"/>
          <w:color w:val="auto"/>
        </w:rPr>
      </w:pPr>
      <w:r>
        <w:rPr>
          <w:rFonts w:ascii="Courier New" w:cs="Courier New" w:eastAsia="Courier New" w:hAnsi="Courier New"/>
          <w:sz w:val="15"/>
          <w:szCs w:val="15"/>
          <w:color w:val="auto"/>
        </w:rPr>
        <w:t>The effects of the Lumber Market on the Company's results of operations are discussed below under the caption "Net Sales."</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both"/>
        <w:ind w:right="4200" w:firstLine="612"/>
        <w:spacing w:after="0" w:line="235" w:lineRule="auto"/>
        <w:rPr>
          <w:sz w:val="20"/>
          <w:szCs w:val="20"/>
          <w:color w:val="auto"/>
        </w:rPr>
      </w:pPr>
      <w:r>
        <w:rPr>
          <w:rFonts w:ascii="Courier New" w:cs="Courier New" w:eastAsia="Courier New" w:hAnsi="Courier New"/>
          <w:sz w:val="15"/>
          <w:szCs w:val="15"/>
          <w:color w:val="auto"/>
        </w:rPr>
        <w:t>The following table presents, for the periods indicated, the components of the Company's Consolidated Condensed Statements of Earnings as a percentage of net sales.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30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For the Three Months Ended</w:t>
            </w:r>
          </w:p>
        </w:tc>
        <w:tc>
          <w:tcPr>
            <w:tcW w:w="26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For the Nine Months Ended</w:t>
            </w:r>
          </w:p>
        </w:tc>
      </w:tr>
      <w:tr>
        <w:trPr>
          <w:trHeight w:val="168"/>
        </w:trPr>
        <w:tc>
          <w:tcPr>
            <w:tcW w:w="5340" w:type="dxa"/>
            <w:vAlign w:val="bottom"/>
          </w:tcPr>
          <w:p>
            <w:pPr>
              <w:spacing w:after="0"/>
              <w:rPr>
                <w:sz w:val="14"/>
                <w:szCs w:val="14"/>
                <w:color w:val="auto"/>
              </w:rPr>
            </w:pPr>
          </w:p>
        </w:tc>
        <w:tc>
          <w:tcPr>
            <w:tcW w:w="30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30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September 23, September 25,</w:t>
            </w:r>
          </w:p>
        </w:tc>
        <w:tc>
          <w:tcPr>
            <w:tcW w:w="2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September 23,September 25,</w:t>
            </w:r>
          </w:p>
        </w:tc>
      </w:tr>
      <w:tr>
        <w:trPr>
          <w:trHeight w:val="168"/>
        </w:trPr>
        <w:tc>
          <w:tcPr>
            <w:tcW w:w="5340" w:type="dxa"/>
            <w:vAlign w:val="bottom"/>
          </w:tcPr>
          <w:p>
            <w:pPr>
              <w:spacing w:after="0"/>
              <w:rPr>
                <w:sz w:val="14"/>
                <w:szCs w:val="14"/>
                <w:color w:val="auto"/>
              </w:rPr>
            </w:pP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30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 -------------</w:t>
            </w:r>
          </w:p>
        </w:tc>
        <w:tc>
          <w:tcPr>
            <w:tcW w:w="2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6"/>
              </w:rPr>
              <w:t>100.0%</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 .....................................</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86.8</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88.1</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86.8</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87.7</w:t>
            </w:r>
          </w:p>
        </w:tc>
      </w:tr>
      <w:tr>
        <w:trPr>
          <w:trHeight w:val="168"/>
        </w:trPr>
        <w:tc>
          <w:tcPr>
            <w:tcW w:w="534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Gross profit ...........................................</w:t>
            </w:r>
          </w:p>
        </w:tc>
        <w:tc>
          <w:tcPr>
            <w:tcW w:w="1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13.2</w:t>
            </w: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11.9</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expenses ..............................</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8.6</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534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Earnings from operations ...............................</w:t>
            </w:r>
          </w:p>
        </w:tc>
        <w:tc>
          <w:tcPr>
            <w:tcW w:w="1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4.6</w:t>
            </w: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4.7</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net ..........................................</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0.7</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0.9</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34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Earnings before income taxes,</w:t>
            </w:r>
          </w:p>
        </w:tc>
        <w:tc>
          <w:tcPr>
            <w:tcW w:w="1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minority interest and equity in</w:t>
            </w: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(loss) of investee ..........................</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3.6</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34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Earnings before minority interest and</w:t>
            </w:r>
          </w:p>
        </w:tc>
        <w:tc>
          <w:tcPr>
            <w:tcW w:w="1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in earnings (loss) of investee ................</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2.4</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(0.0)</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(0.0)</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(loss) of investee ..................</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(0.0)</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0.1</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534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earnings ...........................................</w:t>
            </w: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2.2%</w:t>
            </w: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2.5%</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w:t>
            </w:r>
          </w:p>
        </w:tc>
      </w:tr>
      <w:tr>
        <w:trPr>
          <w:trHeight w:val="168"/>
        </w:trPr>
        <w:tc>
          <w:tcPr>
            <w:tcW w:w="534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73" w:lineRule="exact"/>
        <w:rPr>
          <w:sz w:val="20"/>
          <w:szCs w:val="20"/>
          <w:color w:val="auto"/>
        </w:rPr>
      </w:pPr>
    </w:p>
    <w:p>
      <w:pPr>
        <w:ind w:right="4200" w:firstLine="612"/>
        <w:spacing w:after="0" w:line="235" w:lineRule="auto"/>
        <w:rPr>
          <w:sz w:val="20"/>
          <w:szCs w:val="20"/>
          <w:color w:val="auto"/>
        </w:rPr>
      </w:pPr>
      <w:r>
        <w:rPr>
          <w:rFonts w:ascii="Courier New" w:cs="Courier New" w:eastAsia="Courier New" w:hAnsi="Courier New"/>
          <w:sz w:val="15"/>
          <w:szCs w:val="15"/>
          <w:color w:val="auto"/>
        </w:rPr>
        <w:t>The Company engineers, manufactures, treats and distributes lumber and other building products to the do-it-yourself ("DIY"), manufactured housing, wholesale lumber, industrial and conventional site-built construction markets. The Company's strategic sales objectives include:</w:t>
      </w:r>
    </w:p>
    <w:p>
      <w:pPr>
        <w:spacing w:after="0" w:line="175" w:lineRule="exact"/>
        <w:rPr>
          <w:sz w:val="20"/>
          <w:szCs w:val="20"/>
          <w:color w:val="auto"/>
        </w:rPr>
      </w:pPr>
    </w:p>
    <w:p>
      <w:pPr>
        <w:ind w:left="280" w:right="4120" w:hanging="270"/>
        <w:spacing w:after="0" w:line="235" w:lineRule="auto"/>
        <w:tabs>
          <w:tab w:leader="none" w:pos="19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Diversifying the Company's end market sales mix by increasing its sales of specialty wood packaging to industrial users and engineered wood products to the site-built construction market. Engineered wood products include roof trusses, wall panels and engineered floor systems.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1040"/>
          </w:cols>
          <w:pgMar w:left="220" w:top="281" w:right="639"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335"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UNIVERSAL FOREST PRODUCTS, INC.</w:t>
      </w:r>
    </w:p>
    <w:p>
      <w:pPr>
        <w:spacing w:after="0" w:line="166"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jc w:val="center"/>
        <w:ind w:right="3760"/>
        <w:spacing w:after="0" w:line="237" w:lineRule="auto"/>
        <w:rPr>
          <w:sz w:val="20"/>
          <w:szCs w:val="20"/>
          <w:color w:val="auto"/>
        </w:rPr>
      </w:pPr>
      <w:r>
        <w:rPr>
          <w:rFonts w:ascii="Courier New" w:cs="Courier New" w:eastAsia="Courier New" w:hAnsi="Courier New"/>
          <w:sz w:val="15"/>
          <w:szCs w:val="15"/>
          <w:color w:val="auto"/>
        </w:rPr>
        <w:t>AND RESULTS OF OPERATIONS - CONTINUED</w:t>
      </w:r>
    </w:p>
    <w:p>
      <w:pPr>
        <w:spacing w:after="0" w:line="200" w:lineRule="exact"/>
        <w:rPr>
          <w:sz w:val="20"/>
          <w:szCs w:val="20"/>
          <w:color w:val="auto"/>
        </w:rPr>
      </w:pPr>
    </w:p>
    <w:p>
      <w:pPr>
        <w:spacing w:after="0" w:line="310" w:lineRule="exact"/>
        <w:rPr>
          <w:sz w:val="20"/>
          <w:szCs w:val="20"/>
          <w:color w:val="auto"/>
        </w:rPr>
      </w:pPr>
    </w:p>
    <w:p>
      <w:pPr>
        <w:ind w:left="280" w:right="3680" w:hanging="270"/>
        <w:spacing w:after="0" w:line="236" w:lineRule="auto"/>
        <w:tabs>
          <w:tab w:leader="none" w:pos="19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Increasing sales of "value-added" products. Value-added product sales consist of fencing, decking, lattice and other specialty products sold to the DIY market; specialty wood packaging; and engineered wood products. A long-term goal of the Company is to achieve a ratio of value-added sales to total sales of at least 50%. Although the Company considers the treatment of dimensional lumber with preservatives a value-added process, management does not include treated lumber as a component of value-added sales.</w:t>
      </w:r>
    </w:p>
    <w:p>
      <w:pPr>
        <w:spacing w:after="0" w:line="175" w:lineRule="exact"/>
        <w:rPr>
          <w:rFonts w:ascii="Courier New" w:cs="Courier New" w:eastAsia="Courier New" w:hAnsi="Courier New"/>
          <w:sz w:val="15"/>
          <w:szCs w:val="15"/>
          <w:color w:val="auto"/>
        </w:rPr>
      </w:pPr>
    </w:p>
    <w:p>
      <w:pPr>
        <w:ind w:left="280" w:right="4200" w:hanging="270"/>
        <w:spacing w:after="0" w:line="234" w:lineRule="auto"/>
        <w:tabs>
          <w:tab w:leader="none" w:pos="19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Maximizing profitable top-line sales growth while increasing DIY market share.</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Maintaining manufactured housing market share.</w:t>
      </w:r>
    </w:p>
    <w:p>
      <w:pPr>
        <w:spacing w:after="0" w:line="173" w:lineRule="exact"/>
        <w:rPr>
          <w:sz w:val="20"/>
          <w:szCs w:val="20"/>
          <w:color w:val="auto"/>
        </w:rPr>
      </w:pPr>
    </w:p>
    <w:p>
      <w:pPr>
        <w:ind w:right="4380" w:firstLine="612"/>
        <w:spacing w:after="0" w:line="234" w:lineRule="auto"/>
        <w:rPr>
          <w:sz w:val="20"/>
          <w:szCs w:val="20"/>
          <w:color w:val="auto"/>
        </w:rPr>
      </w:pPr>
      <w:r>
        <w:rPr>
          <w:rFonts w:ascii="Courier New" w:cs="Courier New" w:eastAsia="Courier New" w:hAnsi="Courier New"/>
          <w:sz w:val="15"/>
          <w:szCs w:val="15"/>
          <w:color w:val="auto"/>
        </w:rPr>
        <w:t>In order to measure its progress toward attaining these objectives, management analyzes the following financial data:</w:t>
      </w:r>
    </w:p>
    <w:p>
      <w:pPr>
        <w:spacing w:after="0" w:line="167"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Sales by market classification.</w:t>
      </w:r>
    </w:p>
    <w:p>
      <w:pPr>
        <w:spacing w:after="0" w:line="172" w:lineRule="exact"/>
        <w:rPr>
          <w:rFonts w:ascii="Courier New" w:cs="Courier New" w:eastAsia="Courier New" w:hAnsi="Courier New"/>
          <w:sz w:val="15"/>
          <w:szCs w:val="15"/>
          <w:color w:val="auto"/>
        </w:rPr>
      </w:pPr>
    </w:p>
    <w:p>
      <w:pPr>
        <w:ind w:left="280" w:right="4020" w:hanging="270"/>
        <w:spacing w:after="0" w:line="234" w:lineRule="auto"/>
        <w:tabs>
          <w:tab w:leader="none" w:pos="19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percentage change in sales attributable to changes in overall selling prices versus changes in the quantity of units shipped.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ratio of value-added product sales to total sales.</w:t>
      </w:r>
    </w:p>
    <w:p>
      <w:pPr>
        <w:spacing w:after="0" w:line="173" w:lineRule="exact"/>
        <w:rPr>
          <w:sz w:val="20"/>
          <w:szCs w:val="20"/>
          <w:color w:val="auto"/>
        </w:rPr>
      </w:pPr>
    </w:p>
    <w:p>
      <w:pPr>
        <w:ind w:right="4120" w:firstLine="612"/>
        <w:spacing w:after="0" w:line="235" w:lineRule="auto"/>
        <w:rPr>
          <w:sz w:val="20"/>
          <w:szCs w:val="20"/>
          <w:color w:val="auto"/>
        </w:rPr>
      </w:pPr>
      <w:r>
        <w:rPr>
          <w:rFonts w:ascii="Courier New" w:cs="Courier New" w:eastAsia="Courier New" w:hAnsi="Courier New"/>
          <w:sz w:val="15"/>
          <w:szCs w:val="15"/>
          <w:color w:val="auto"/>
        </w:rPr>
        <w:t>The following table presents, for the periods indicated, the Company's net sales (in thousands) and percentage of total net sales by market classification.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rPr>
              <w:t>For the Three Months Ended</w:t>
            </w:r>
          </w:p>
        </w:tc>
        <w:tc>
          <w:tcPr>
            <w:tcW w:w="740" w:type="dxa"/>
            <w:vAlign w:val="bottom"/>
          </w:tcPr>
          <w:p>
            <w:pPr>
              <w:spacing w:after="0"/>
              <w:rPr>
                <w:sz w:val="14"/>
                <w:szCs w:val="14"/>
                <w:color w:val="auto"/>
              </w:rPr>
            </w:pPr>
          </w:p>
        </w:tc>
        <w:tc>
          <w:tcPr>
            <w:tcW w:w="324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For the Nine Months Ended</w:t>
            </w:r>
          </w:p>
        </w:tc>
        <w:tc>
          <w:tcPr>
            <w:tcW w:w="74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Courier New" w:cs="Courier New" w:eastAsia="Courier New" w:hAnsi="Courier New"/>
                <w:sz w:val="6"/>
                <w:szCs w:val="6"/>
                <w:color w:val="auto"/>
                <w:w w:val="74"/>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72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Sept. 23,</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Sept. 25,</w:t>
            </w:r>
          </w:p>
        </w:tc>
        <w:tc>
          <w:tcPr>
            <w:tcW w:w="7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Sept. 23,</w:t>
            </w:r>
          </w:p>
        </w:tc>
        <w:tc>
          <w:tcPr>
            <w:tcW w:w="8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Sept 25,</w:t>
            </w:r>
          </w:p>
        </w:tc>
        <w:tc>
          <w:tcPr>
            <w:tcW w:w="74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 Classification</w:t>
            </w: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DIY ........................</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179,701</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177,892</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  543,690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49.1%  $</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534,850</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47.1%</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Manufactured Housing .......</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76,909</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20.7</w:t>
            </w:r>
          </w:p>
        </w:tc>
        <w:tc>
          <w:tcPr>
            <w:tcW w:w="26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103,990</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243,024</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22.0</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309,222</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27.2</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Site-Built Construction ....</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68,372</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18.4</w:t>
            </w:r>
          </w:p>
        </w:tc>
        <w:tc>
          <w:tcPr>
            <w:tcW w:w="26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58,062</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180,006</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16.3</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159,412</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Industrial .................</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27,272</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w:t>
            </w:r>
          </w:p>
        </w:tc>
        <w:tc>
          <w:tcPr>
            <w:tcW w:w="26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26,188</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83,602</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71,182</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Wholesale Lumber ...........</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18,776</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22,270</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56,358</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60,667</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268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371,030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388,402</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$1,106,680</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100.0%</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$1,135,333</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68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860" w:firstLine="612"/>
        <w:spacing w:after="0" w:line="236" w:lineRule="auto"/>
        <w:rPr>
          <w:sz w:val="20"/>
          <w:szCs w:val="20"/>
          <w:color w:val="auto"/>
        </w:rPr>
      </w:pPr>
      <w:r>
        <w:rPr>
          <w:rFonts w:ascii="Courier New" w:cs="Courier New" w:eastAsia="Courier New" w:hAnsi="Courier New"/>
          <w:sz w:val="15"/>
          <w:szCs w:val="15"/>
          <w:color w:val="auto"/>
        </w:rPr>
        <w:t>Net sales in the third quarter of 2000 decreased $17.4 million, or 4.5%, compared to the third quarter of 1999, reflecting a decrease in overall selling prices, partially offset by a substantial increase in units shipped. Overall selling prices decreased due to the deflated Lumber Market (see "Fluctuations in Lumber Prices"). The increase in units shipped was primarily driven by sales from newly acquired plants serving the site-built construction market, increased unit sales to the industrial market and additional business with the Company's largest DIY customer. Net sales in the first nine months of 2000 decreased $28.7 million, or 2.5%, compared to the same period of 1999, primarily due to the same factors listed above.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860"/>
          </w:cols>
          <w:pgMar w:left="220" w:top="281" w:right="819"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UNIVERSAL FOREST PRODUCTS,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AND RESULTS OF OPERATIONS - CONTINUED</w:t>
      </w:r>
    </w:p>
    <w:p>
      <w:pPr>
        <w:spacing w:after="0" w:line="342" w:lineRule="exact"/>
        <w:rPr>
          <w:sz w:val="20"/>
          <w:szCs w:val="20"/>
          <w:color w:val="auto"/>
        </w:rPr>
      </w:pPr>
    </w:p>
    <w:p>
      <w:pPr>
        <w:ind w:right="3499" w:firstLine="612"/>
        <w:spacing w:after="0" w:line="261" w:lineRule="auto"/>
        <w:rPr>
          <w:sz w:val="20"/>
          <w:szCs w:val="20"/>
          <w:color w:val="auto"/>
        </w:rPr>
      </w:pPr>
      <w:r>
        <w:rPr>
          <w:rFonts w:ascii="Courier New" w:cs="Courier New" w:eastAsia="Courier New" w:hAnsi="Courier New"/>
          <w:sz w:val="14"/>
          <w:szCs w:val="14"/>
          <w:color w:val="auto"/>
        </w:rPr>
        <w:t>The following table presents, for the periods indicated, the Company's percentage of value-added and commodity-based sales to total sales.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294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Three Months Ended</w:t>
            </w:r>
          </w:p>
        </w:tc>
        <w:tc>
          <w:tcPr>
            <w:tcW w:w="284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4120" w:type="dxa"/>
            <w:vAlign w:val="bottom"/>
          </w:tcPr>
          <w:p>
            <w:pPr>
              <w:spacing w:after="0"/>
              <w:rPr>
                <w:sz w:val="14"/>
                <w:szCs w:val="14"/>
                <w:color w:val="auto"/>
              </w:rPr>
            </w:pPr>
          </w:p>
        </w:tc>
        <w:tc>
          <w:tcPr>
            <w:tcW w:w="29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8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120" w:type="dxa"/>
            <w:vAlign w:val="bottom"/>
          </w:tcPr>
          <w:p>
            <w:pPr>
              <w:spacing w:after="0"/>
              <w:rPr>
                <w:sz w:val="24"/>
                <w:szCs w:val="24"/>
                <w:color w:val="auto"/>
              </w:rPr>
            </w:pP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September 23,</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September 25,</w:t>
            </w:r>
          </w:p>
        </w:tc>
        <w:tc>
          <w:tcPr>
            <w:tcW w:w="1480" w:type="dxa"/>
            <w:vAlign w:val="bottom"/>
          </w:tcPr>
          <w:p>
            <w:pPr>
              <w:ind w:left="120"/>
              <w:spacing w:after="0"/>
              <w:rPr>
                <w:sz w:val="20"/>
                <w:szCs w:val="20"/>
                <w:color w:val="auto"/>
              </w:rPr>
            </w:pPr>
            <w:r>
              <w:rPr>
                <w:rFonts w:ascii="Courier New" w:cs="Courier New" w:eastAsia="Courier New" w:hAnsi="Courier New"/>
                <w:sz w:val="15"/>
                <w:szCs w:val="15"/>
                <w:color w:val="auto"/>
              </w:rPr>
              <w:t>September 23,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September 25,</w:t>
            </w:r>
          </w:p>
        </w:tc>
      </w:tr>
      <w:tr>
        <w:trPr>
          <w:trHeight w:val="168"/>
        </w:trPr>
        <w:tc>
          <w:tcPr>
            <w:tcW w:w="4120" w:type="dxa"/>
            <w:vAlign w:val="bottom"/>
          </w:tcPr>
          <w:p>
            <w:pPr>
              <w:spacing w:after="0"/>
              <w:rPr>
                <w:sz w:val="14"/>
                <w:szCs w:val="14"/>
                <w:color w:val="auto"/>
              </w:rPr>
            </w:pP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1999</w:t>
            </w:r>
          </w:p>
        </w:tc>
        <w:tc>
          <w:tcPr>
            <w:tcW w:w="1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2000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12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120" w:type="dxa"/>
            <w:vAlign w:val="bottom"/>
          </w:tcPr>
          <w:p>
            <w:pPr>
              <w:spacing w:after="0"/>
              <w:rPr>
                <w:sz w:val="20"/>
                <w:szCs w:val="20"/>
                <w:color w:val="auto"/>
              </w:rPr>
            </w:pPr>
            <w:r>
              <w:rPr>
                <w:rFonts w:ascii="Courier New" w:cs="Courier New" w:eastAsia="Courier New" w:hAnsi="Courier New"/>
                <w:sz w:val="15"/>
                <w:szCs w:val="15"/>
                <w:color w:val="auto"/>
              </w:rPr>
              <w:t>Value-Added ................................</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43.4%</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39.2%</w:t>
            </w:r>
          </w:p>
        </w:tc>
        <w:tc>
          <w:tcPr>
            <w:tcW w:w="1480" w:type="dxa"/>
            <w:vAlign w:val="bottom"/>
          </w:tcPr>
          <w:p>
            <w:pPr>
              <w:ind w:left="560"/>
              <w:spacing w:after="0"/>
              <w:rPr>
                <w:sz w:val="20"/>
                <w:szCs w:val="20"/>
                <w:color w:val="auto"/>
              </w:rPr>
            </w:pPr>
            <w:r>
              <w:rPr>
                <w:rFonts w:ascii="Courier New" w:cs="Courier New" w:eastAsia="Courier New" w:hAnsi="Courier New"/>
                <w:sz w:val="15"/>
                <w:szCs w:val="15"/>
                <w:color w:val="auto"/>
              </w:rPr>
              <w:t>42.8%</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Commodity-Based ............................</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56.6%</w:t>
            </w: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60.8%</w:t>
            </w:r>
          </w:p>
        </w:tc>
        <w:tc>
          <w:tcPr>
            <w:tcW w:w="1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57.2%</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59.6%</w:t>
            </w:r>
          </w:p>
        </w:tc>
      </w:tr>
    </w:tbl>
    <w:p>
      <w:pPr>
        <w:spacing w:after="0" w:line="200" w:lineRule="exact"/>
        <w:rPr>
          <w:sz w:val="20"/>
          <w:szCs w:val="20"/>
          <w:color w:val="auto"/>
        </w:rPr>
      </w:pPr>
    </w:p>
    <w:p>
      <w:pPr>
        <w:spacing w:after="0" w:line="309" w:lineRule="exact"/>
        <w:rPr>
          <w:sz w:val="20"/>
          <w:szCs w:val="20"/>
          <w:color w:val="auto"/>
        </w:rPr>
      </w:pPr>
    </w:p>
    <w:p>
      <w:pPr>
        <w:ind w:left="620" w:right="3399"/>
        <w:spacing w:after="0" w:line="235" w:lineRule="auto"/>
        <w:rPr>
          <w:sz w:val="20"/>
          <w:szCs w:val="20"/>
          <w:color w:val="auto"/>
        </w:rPr>
      </w:pPr>
      <w:r>
        <w:rPr>
          <w:rFonts w:ascii="Courier New" w:cs="Courier New" w:eastAsia="Courier New" w:hAnsi="Courier New"/>
          <w:sz w:val="15"/>
          <w:szCs w:val="15"/>
          <w:color w:val="auto"/>
        </w:rPr>
        <w:t>Note: In the second quarter of 2000, the Company reviewed the classification of its value-added and commodity-based products and made certain reclassifications. Prior year information has been restated due to these reclassifications.</w:t>
      </w:r>
    </w:p>
    <w:p>
      <w:pPr>
        <w:spacing w:after="0" w:line="175"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third quarter and year-to-date increases in the ratio of value-added sales to total sales are primarily due to increased sales of engineered roof trusses, I-joists and Open Joist 2000 products to the site-built construction market and fencing to the DIY market. In addition, treated and commodity lumber sales decreased due to a decline in units shipped to the manufactured housing market and a decline in overall selling prices due to the deflated Lumber Market.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DIY:</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Net sales to the DIY market increased approximately $1.8 million, or 1.0%, in the third quarter of 2000 compared to the same period of 1999. This increase is primarily due to an increase in sales to the Company's largest customer as a substantial increase in unit sales was partially offset by a decrease in overall selling prices caused by the deflated Lumber Market. This increase helped offset a decrease in business with two national customers due to a decline in their financial position. Net sales in the first nine months of 2000 increased $8.8 million, or 1.7% compared to the same period of 1999, due primarily to the same factors discussed above.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Manufactured Housing:</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Net sales to the manufactured housing market decreased approximately $27.1 million, or 26.0%, in the third quarter of 2000 and decreased $66.2 million, or 21.4%, in the first nine months of 2000. The Company's unit sales have decreased as these customers continue to struggle with an oversupply of finished homes at the retail level, tightening credit for consumers and a recent increase in repossessions. The industry expects this situation to continue well into the year 2001. In addition, overall selling prices declined due to the deflated Lumber Market.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Site-Built Construction:</w:t>
      </w:r>
    </w:p>
    <w:p>
      <w:pPr>
        <w:spacing w:after="0" w:line="341" w:lineRule="exact"/>
        <w:rPr>
          <w:sz w:val="20"/>
          <w:szCs w:val="20"/>
          <w:color w:val="auto"/>
        </w:rPr>
      </w:pPr>
    </w:p>
    <w:p>
      <w:pPr>
        <w:ind w:right="3319" w:firstLine="612"/>
        <w:spacing w:after="0" w:line="256" w:lineRule="auto"/>
        <w:rPr>
          <w:sz w:val="20"/>
          <w:szCs w:val="20"/>
          <w:color w:val="auto"/>
        </w:rPr>
      </w:pPr>
      <w:r>
        <w:rPr>
          <w:rFonts w:ascii="Courier New" w:cs="Courier New" w:eastAsia="Courier New" w:hAnsi="Courier New"/>
          <w:sz w:val="14"/>
          <w:szCs w:val="14"/>
          <w:color w:val="auto"/>
        </w:rPr>
        <w:t>Net sales to the site-built construction market increased approximately $10.3 million, or 17.8%, in the third quarter of 2000 and increased $20.6 million, or 12.9%, in the first nine months of 2000. These increases were primarily due to increased unit sales as a result of the acquisition of TED and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UNIVERSAL FOREST PRODUCTS,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AND RESULTS OF OPERATIONS - CONTINUED</w:t>
      </w:r>
    </w:p>
    <w:p>
      <w:pPr>
        <w:spacing w:after="0" w:line="34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Gang-Nail along with increases at certain existing locations. These increases were partially offset by decreased unit sales at certain locations servicing the Mid-Atlantic Region as a result of fewer housing starts.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Industrial:</w:t>
      </w:r>
    </w:p>
    <w:p>
      <w:pPr>
        <w:spacing w:after="0" w:line="173" w:lineRule="exact"/>
        <w:rPr>
          <w:sz w:val="20"/>
          <w:szCs w:val="20"/>
          <w:color w:val="auto"/>
        </w:rPr>
      </w:pPr>
    </w:p>
    <w:p>
      <w:pPr>
        <w:jc w:val="both"/>
        <w:ind w:right="3319" w:firstLine="612"/>
        <w:spacing w:after="0" w:line="255" w:lineRule="auto"/>
        <w:rPr>
          <w:sz w:val="20"/>
          <w:szCs w:val="20"/>
          <w:color w:val="auto"/>
        </w:rPr>
      </w:pPr>
      <w:r>
        <w:rPr>
          <w:rFonts w:ascii="Courier New" w:cs="Courier New" w:eastAsia="Courier New" w:hAnsi="Courier New"/>
          <w:sz w:val="14"/>
          <w:szCs w:val="14"/>
          <w:color w:val="auto"/>
        </w:rPr>
        <w:t>Net sales to the industrial market increased approximately $1.1 million, or 4.1%, in the third quarter of 2000 and increased $12.4 million, or 17.4%, in the first nine months of 2000. These increases were primarily due to increased market share in several regions due to continued focus on growth, combined with the effects of redirecting sales efforts and manufacturing capacity at certain plants as a result of the downturn in the manufactured housing market.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GOODS SOLD AND GROSS PROFIT</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Gross profit as a percentage of net sales increased to 13.2% in the third quarter of 2000 compared to 11.9% in the same period of 1999. Gross profit as a percentage of net sales increased to 13.2% for the first nine months of 2000 compared to 12.3% for the same period of 1999. These increases were primarily due to:</w:t>
      </w:r>
    </w:p>
    <w:p>
      <w:pPr>
        <w:spacing w:after="0" w:line="174" w:lineRule="exact"/>
        <w:rPr>
          <w:sz w:val="20"/>
          <w:szCs w:val="20"/>
          <w:color w:val="auto"/>
        </w:rPr>
      </w:pPr>
    </w:p>
    <w:p>
      <w:pPr>
        <w:ind w:left="280" w:right="3139" w:hanging="270"/>
        <w:spacing w:after="0" w:line="235" w:lineRule="auto"/>
        <w:tabs>
          <w:tab w:leader="none" w:pos="19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 increase in the ratio of value-added product sales to the Company's total sales due to increased sales of engineered wood products to the site-built construction market, specialty packaging products to the industrial market and fencing and lattice products to the DIY market.</w:t>
      </w:r>
    </w:p>
    <w:p>
      <w:pPr>
        <w:spacing w:after="0" w:line="175" w:lineRule="exact"/>
        <w:rPr>
          <w:rFonts w:ascii="Courier New" w:cs="Courier New" w:eastAsia="Courier New" w:hAnsi="Courier New"/>
          <w:sz w:val="15"/>
          <w:szCs w:val="15"/>
          <w:color w:val="auto"/>
        </w:rPr>
      </w:pPr>
    </w:p>
    <w:p>
      <w:pPr>
        <w:ind w:left="280" w:right="3139" w:hanging="270"/>
        <w:spacing w:after="0" w:line="256" w:lineRule="auto"/>
        <w:tabs>
          <w:tab w:leader="none" w:pos="193"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 increase in gross margins on certain products due to the low level of the Lumber Market throughout 2000 compared to 1999. The selling prices of many products are indexed to the Lumber Market along with a fixed dollar "adder" to cover conversion costs and profits. Therefore, in periods when the Lumber Market is down, the fixed adder will result in higher gross margins.</w:t>
      </w:r>
    </w:p>
    <w:p>
      <w:pPr>
        <w:spacing w:after="0" w:line="163" w:lineRule="exact"/>
        <w:rPr>
          <w:rFonts w:ascii="Courier New" w:cs="Courier New" w:eastAsia="Courier New" w:hAnsi="Courier New"/>
          <w:sz w:val="14"/>
          <w:szCs w:val="14"/>
          <w:color w:val="auto"/>
        </w:rPr>
      </w:pPr>
    </w:p>
    <w:p>
      <w:pPr>
        <w:ind w:left="280" w:right="3319" w:hanging="270"/>
        <w:spacing w:after="0" w:line="235" w:lineRule="auto"/>
        <w:tabs>
          <w:tab w:leader="none" w:pos="19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above increases were offset by lower gross margins on sales to the manufactured housing market due to the effect of price competition and lower volumes on manufacturing efficiencies.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Selling, general and administrative expenses increased approximately $4.0 million, or 14.2%, in the third quarter of 2000 and increased approximately $5.0 million, or 5.8%, in the first nine months of 2000. These increases were primarily due to new operations and increased compensation related to headcount. Emphasis on growing the site-built business has required additional sales, engineering and other technical professionals.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NET</w:t>
      </w:r>
    </w:p>
    <w:p>
      <w:pPr>
        <w:spacing w:after="0" w:line="173" w:lineRule="exact"/>
        <w:rPr>
          <w:sz w:val="20"/>
          <w:szCs w:val="20"/>
          <w:color w:val="auto"/>
        </w:rPr>
      </w:pPr>
    </w:p>
    <w:p>
      <w:pPr>
        <w:jc w:val="both"/>
        <w:ind w:right="3679" w:firstLine="612"/>
        <w:spacing w:after="0" w:line="235" w:lineRule="auto"/>
        <w:rPr>
          <w:sz w:val="20"/>
          <w:szCs w:val="20"/>
          <w:color w:val="auto"/>
        </w:rPr>
      </w:pPr>
      <w:r>
        <w:rPr>
          <w:rFonts w:ascii="Courier New" w:cs="Courier New" w:eastAsia="Courier New" w:hAnsi="Courier New"/>
          <w:sz w:val="15"/>
          <w:szCs w:val="15"/>
          <w:color w:val="auto"/>
        </w:rPr>
        <w:t>Net interest costs increased approximately $0.7 million in the third quarter of 2000 and increased approximately $1.3 million in the first nine months of 2000. These increases were due to</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UNIVERSAL FOREST PRODUCTS,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AND RESULTS OF OPERATIONS - CONTINUED</w:t>
      </w:r>
    </w:p>
    <w:p>
      <w:pPr>
        <w:spacing w:after="0" w:line="200" w:lineRule="exact"/>
        <w:rPr>
          <w:sz w:val="20"/>
          <w:szCs w:val="20"/>
          <w:color w:val="auto"/>
        </w:rPr>
      </w:pPr>
    </w:p>
    <w:p>
      <w:pPr>
        <w:spacing w:after="0" w:line="310"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a higher average debt balance as a result of recent business acquisitions and share repurchases combined with higher short-term borrowing rates on variable rate debt.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99" w:firstLine="612"/>
        <w:spacing w:after="0" w:line="255" w:lineRule="auto"/>
        <w:rPr>
          <w:sz w:val="20"/>
          <w:szCs w:val="20"/>
          <w:color w:val="auto"/>
        </w:rPr>
      </w:pPr>
      <w:r>
        <w:rPr>
          <w:rFonts w:ascii="Courier New" w:cs="Courier New" w:eastAsia="Courier New" w:hAnsi="Courier New"/>
          <w:sz w:val="14"/>
          <w:szCs w:val="14"/>
          <w:color w:val="auto"/>
        </w:rPr>
        <w:t>The Company's effective tax rate was 38.3% in the third quarter of 2000 compared to 39.1% in the same period of 1999. The effective tax rate was 39.0% in the first nine months of 2000 compared to 39.7% in the same period of 1999. Effective tax rates differ from statutory federal income tax rates, primarily due to provisions for state and local income taxes, provisions for Canadian income taxes and permanent tax differences. The decreases noted above are primarily due to lower estimated state and local income taxes.</w:t>
      </w:r>
    </w:p>
    <w:p>
      <w:pPr>
        <w:spacing w:after="0" w:line="16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Cash flows provided by operating activities for the first nine months of 2000 increased $34.8 million over the same period of 1999. This improvement is primarily due to the impact of a lower Lumber Market on sales, receivables and inventory, combined with a change in buying practices on certain products. At the end of 1999, the Company purchased certain inventory well in advance of the spring DIY selling season in order to meet expected demand.</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Due to the seasonality of its business and the effects of the Lumber Market, management believes the Company's cash cycle (days sales outstanding plus days supply of inventory less days payables outstanding) is a good indicator of its working capital management. The Company's cash cycle increased to 44 days in the first nine months of 2000 from 41 days in the first nine months of 1999 primarily due to higher average inventory levels associated with the change in buying practices discussed above and longer trade terms associated with the site-built construction market. These factors were partially offset by a longer payment cycle with certain vendors.</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Capital expenditures totaled $23.7 million in the first nine months of 2000 compared to $27.5 million in the same period of 1999. The Company's capital expenditures during the third quarter of 2000 primarily consisted of several projects to improve efficiencies, expand manufacturing capacity at existing plants and costs to complete or acquire several new plants. The Company expects to spend between $14 million and $16 million on capital expenditures for the balance of 2000, which includes outstanding purchase commitments on capital projects totaling approximately $9.3 million on September 23, 2000. The Company intends to satisfy these commitments utilizing its revolving credit facility.</w:t>
      </w:r>
    </w:p>
    <w:p>
      <w:pPr>
        <w:spacing w:after="0" w:line="165"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The Company spent approximately $32.4 million in the first nine months of 2000 related to business acquisitions which are discussed earlier under the caption "Business Combinations." The Company funded the purchase price of these acquisitions using its revolving credit facility.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3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UNIVERSAL FOREST PRODUCTS,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AND RESULTS OF OPERATIONS - CONTINUED</w:t>
      </w:r>
    </w:p>
    <w:p>
      <w:pPr>
        <w:spacing w:after="0" w:line="342"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Cash flows provided by financing activities decreased to $2.5 million in the first nine months of 2000 from $9.2 million in the same period of 1999. On September 23, 2000, the Company had $23.0 million outstanding on its $175 million revolving credit facility. Financial covenants on the Company's revolving credit facility and senior unsecured notes include a minimum net worth requirement, a minimum interest coverage test and a maximum leverage ratio. The Company is well within its requirements at September 23, 2000.</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ENVIRONMENTAL CONSIDERATIONS AND REGULATIONS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Company is self-insured for environmental impairment liability and accrues for the estimated cost of monitoring or remediation activities. As of November 1, 2000, the Company owns or operates 21 wood preserving facilities throughout the United States that treat lumber products with a chemical preservative. In accordance with applicable federal, state and local environmental laws, ordinances and regulations, the Company may be potentially liable for costs and expenses related to the environmental condition of the Company's real property. The Company has established reserves for remediation activities at its North East, MD; Union City, GA; Stockertown, PA; Elizabeth City, NC; Auburndale, FL; and Schertz, TX facilities.</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has accrued in other long-term liabilities amounts totaling $2.3 million on September 23, 2000 and September 25, 1999 for the activities described above. Management believes that the potential future costs of known remediation efforts will not have a material adverse effect on its future financial position, results of operations or liquidity.</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UNIVERSAL FOREST PRODUCTS, INC.</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200" w:lineRule="exact"/>
        <w:rPr>
          <w:sz w:val="20"/>
          <w:szCs w:val="20"/>
          <w:color w:val="auto"/>
        </w:rPr>
      </w:pPr>
    </w:p>
    <w:p>
      <w:pPr>
        <w:spacing w:after="0" w:line="309"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The Company is exposed to market risks related to fluctuations in interest rates on its variable rate debt, which consists of a revolving credit facility and industrial development revenue bonds. The Company does not currently use interest rate swaps, futures contracts or options on futures, or other types of derivative financial instruments to mitigate this risk.</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The Company does not have an obligation to prepay fixed rate debt prior to maturity, and as a result, interest rate risk and changes in fair market value should not have a significant impact on such debt until the company would be required to refinance it.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UNIVERSAL FOREST PRODUCTS, INC.</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PART II. OTHER INFORMATION</w:t>
      </w:r>
    </w:p>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Changes in Securities.</w:t>
      </w:r>
    </w:p>
    <w:p>
      <w:pPr>
        <w:spacing w:after="0" w:line="166" w:lineRule="exact"/>
        <w:rPr>
          <w:sz w:val="20"/>
          <w:szCs w:val="20"/>
          <w:color w:val="auto"/>
        </w:rPr>
      </w:pPr>
    </w:p>
    <w:p>
      <w:pPr>
        <w:ind w:left="620" w:hanging="610"/>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6"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72" w:lineRule="exact"/>
        <w:rPr>
          <w:rFonts w:ascii="Courier New" w:cs="Courier New" w:eastAsia="Courier New" w:hAnsi="Courier New"/>
          <w:sz w:val="15"/>
          <w:szCs w:val="15"/>
          <w:color w:val="auto"/>
        </w:rPr>
      </w:pPr>
    </w:p>
    <w:p>
      <w:pPr>
        <w:ind w:left="620" w:right="3319" w:hanging="610"/>
        <w:spacing w:after="0" w:line="234"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of equity securities in the third quarter not registered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920" w:type="dxa"/>
            <w:vAlign w:val="bottom"/>
          </w:tcPr>
          <w:p>
            <w:pPr>
              <w:ind w:left="820"/>
              <w:spacing w:after="0"/>
              <w:rPr>
                <w:sz w:val="20"/>
                <w:szCs w:val="20"/>
                <w:color w:val="auto"/>
              </w:rPr>
            </w:pPr>
            <w:r>
              <w:rPr>
                <w:rFonts w:ascii="Courier New" w:cs="Courier New" w:eastAsia="Courier New" w:hAnsi="Courier New"/>
                <w:sz w:val="15"/>
                <w:szCs w:val="15"/>
                <w:color w:val="auto"/>
              </w:rPr>
              <w:t>Date of</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Class of</w:t>
            </w:r>
          </w:p>
        </w:tc>
        <w:tc>
          <w:tcPr>
            <w:tcW w:w="1080" w:type="dxa"/>
            <w:vAlign w:val="bottom"/>
          </w:tcPr>
          <w:p>
            <w:pPr>
              <w:ind w:left="120"/>
              <w:spacing w:after="0"/>
              <w:rPr>
                <w:sz w:val="20"/>
                <w:szCs w:val="20"/>
                <w:color w:val="auto"/>
              </w:rPr>
            </w:pPr>
            <w:r>
              <w:rPr>
                <w:rFonts w:ascii="Courier New" w:cs="Courier New" w:eastAsia="Courier New" w:hAnsi="Courier New"/>
                <w:sz w:val="15"/>
                <w:szCs w:val="15"/>
                <w:color w:val="auto"/>
              </w:rPr>
              <w:t>Number</w:t>
            </w:r>
          </w:p>
        </w:tc>
        <w:tc>
          <w:tcPr>
            <w:tcW w:w="1840" w:type="dxa"/>
            <w:vAlign w:val="bottom"/>
          </w:tcPr>
          <w:p>
            <w:pPr>
              <w:spacing w:after="0"/>
              <w:rPr>
                <w:sz w:val="14"/>
                <w:szCs w:val="14"/>
                <w:color w:val="auto"/>
              </w:rPr>
            </w:pPr>
          </w:p>
        </w:tc>
        <w:tc>
          <w:tcPr>
            <w:tcW w:w="140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Consideration</w:t>
            </w:r>
          </w:p>
        </w:tc>
      </w:tr>
      <w:tr>
        <w:trPr>
          <w:trHeight w:val="168"/>
        </w:trPr>
        <w:tc>
          <w:tcPr>
            <w:tcW w:w="2420" w:type="dxa"/>
            <w:vAlign w:val="bottom"/>
          </w:tcPr>
          <w:p>
            <w:pPr>
              <w:spacing w:after="0"/>
              <w:rPr>
                <w:sz w:val="14"/>
                <w:szCs w:val="14"/>
                <w:color w:val="auto"/>
              </w:rPr>
            </w:pPr>
          </w:p>
        </w:tc>
        <w:tc>
          <w:tcPr>
            <w:tcW w:w="192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Sale</w:t>
            </w: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Stock</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 Shares</w:t>
            </w:r>
          </w:p>
        </w:tc>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Purchasers</w:t>
            </w:r>
          </w:p>
        </w:tc>
        <w:tc>
          <w:tcPr>
            <w:tcW w:w="140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8"/>
              </w:rPr>
              <w:t>Exchanged</w:t>
            </w:r>
          </w:p>
        </w:tc>
      </w:tr>
      <w:tr>
        <w:trPr>
          <w:trHeight w:val="168"/>
        </w:trPr>
        <w:tc>
          <w:tcPr>
            <w:tcW w:w="2420" w:type="dxa"/>
            <w:vAlign w:val="bottom"/>
          </w:tcPr>
          <w:p>
            <w:pPr>
              <w:spacing w:after="0"/>
              <w:rPr>
                <w:sz w:val="14"/>
                <w:szCs w:val="14"/>
                <w:color w:val="auto"/>
              </w:rPr>
            </w:pPr>
          </w:p>
        </w:tc>
        <w:tc>
          <w:tcPr>
            <w:tcW w:w="192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Stock Gift Program</w:t>
            </w:r>
          </w:p>
        </w:tc>
        <w:tc>
          <w:tcPr>
            <w:tcW w:w="1920" w:type="dxa"/>
            <w:vAlign w:val="bottom"/>
          </w:tcPr>
          <w:p>
            <w:pPr>
              <w:ind w:left="820"/>
              <w:spacing w:after="0"/>
              <w:rPr>
                <w:sz w:val="20"/>
                <w:szCs w:val="20"/>
                <w:color w:val="auto"/>
              </w:rPr>
            </w:pPr>
            <w:r>
              <w:rPr>
                <w:rFonts w:ascii="Courier New" w:cs="Courier New" w:eastAsia="Courier New" w:hAnsi="Courier New"/>
                <w:sz w:val="15"/>
                <w:szCs w:val="15"/>
                <w:color w:val="auto"/>
              </w:rPr>
              <w:t>Various</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w:t>
            </w: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Eligible persons</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UNIVERSAL FOREST PRODUCTS,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Pursuant to the requirements of the Securities and Exchange Act of 1934, the Company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UNIVERSAL FOREST PRODUCTS, INC.</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right="160" w:firstLine="88"/>
        <w:spacing w:after="0" w:line="234" w:lineRule="auto"/>
        <w:rPr>
          <w:sz w:val="20"/>
          <w:szCs w:val="20"/>
          <w:color w:val="auto"/>
        </w:rPr>
      </w:pPr>
      <w:r>
        <w:rPr>
          <w:rFonts w:ascii="Courier New" w:cs="Courier New" w:eastAsia="Courier New" w:hAnsi="Courier New"/>
          <w:sz w:val="15"/>
          <w:szCs w:val="15"/>
          <w:color w:val="auto"/>
        </w:rPr>
        <w:t>November 3, 2000 --------------------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By:</w:t>
        <w:tab/>
        <w:t>/s/ William G. Currie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William G. Currie</w:t>
      </w:r>
    </w:p>
    <w:p>
      <w:pPr>
        <w:spacing w:after="0" w:line="237" w:lineRule="auto"/>
        <w:tabs>
          <w:tab w:leader="none" w:pos="500" w:val="left"/>
        </w:tabs>
        <w:rPr>
          <w:sz w:val="20"/>
          <w:szCs w:val="20"/>
          <w:color w:val="auto"/>
        </w:rPr>
      </w:pPr>
      <w:r>
        <w:rPr>
          <w:rFonts w:ascii="Courier New" w:cs="Courier New" w:eastAsia="Courier New" w:hAnsi="Courier New"/>
          <w:sz w:val="15"/>
          <w:szCs w:val="15"/>
          <w:color w:val="auto"/>
        </w:rPr>
        <w:t>Its:</w:t>
        <w:tab/>
        <w:t>Vice Chairman of the Board and</w:t>
      </w:r>
    </w:p>
    <w:p>
      <w:pPr>
        <w:ind w:left="52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3">
            <w:col w:w="440" w:space="100"/>
            <w:col w:w="1900" w:space="720"/>
            <w:col w:w="707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November 3,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By:</w:t>
        <w:tab/>
        <w:t>/s/ Michael R. Cole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Michael R. Cole</w:t>
      </w:r>
    </w:p>
    <w:p>
      <w:pPr>
        <w:spacing w:after="0" w:line="237" w:lineRule="auto"/>
        <w:rPr>
          <w:sz w:val="20"/>
          <w:szCs w:val="20"/>
          <w:color w:val="auto"/>
        </w:rPr>
      </w:pPr>
      <w:r>
        <w:rPr>
          <w:rFonts w:ascii="Courier New" w:cs="Courier New" w:eastAsia="Courier New" w:hAnsi="Courier New"/>
          <w:sz w:val="15"/>
          <w:szCs w:val="15"/>
          <w:color w:val="auto"/>
        </w:rPr>
        <w:t>Its: Chief Financial Officer</w:t>
      </w:r>
    </w:p>
    <w:p>
      <w:pPr>
        <w:spacing w:after="0" w:line="200" w:lineRule="exact"/>
        <w:rPr>
          <w:sz w:val="20"/>
          <w:szCs w:val="20"/>
          <w:color w:val="auto"/>
        </w:rPr>
      </w:pPr>
    </w:p>
    <w:p>
      <w:pPr>
        <w:sectPr>
          <w:pgSz w:w="11900" w:h="16838" w:orient="portrait"/>
          <w:cols w:equalWidth="0" w:num="3">
            <w:col w:w="440" w:space="100"/>
            <w:col w:w="1900" w:space="720"/>
            <w:col w:w="707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UNIVERSAL FOREST PRODUCTS, INC.</w:t>
      </w:r>
    </w:p>
    <w:p>
      <w:pPr>
        <w:spacing w:after="0" w:line="1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1140" w:space="180"/>
            <w:col w:w="4260" w:space="720"/>
            <w:col w:w="3939"/>
          </w:cols>
          <w:pgMar w:left="220" w:top="28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27.3QTR00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ectPr>
          <w:pgSz w:w="11900" w:h="16838" w:orient="portrait"/>
          <w:cols w:equalWidth="0" w:num="3">
            <w:col w:w="800" w:space="520"/>
            <w:col w:w="4440" w:space="720"/>
            <w:col w:w="375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type w:val="continuous"/>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9-MOS</w:t>
      </w:r>
    </w:p>
    <w:p>
      <w:pPr>
        <w:ind w:left="2180"/>
        <w:spacing w:after="0" w:line="237" w:lineRule="auto"/>
        <w:rPr>
          <w:sz w:val="20"/>
          <w:szCs w:val="20"/>
          <w:color w:val="auto"/>
        </w:rPr>
      </w:pPr>
      <w:r>
        <w:rPr>
          <w:rFonts w:ascii="Courier New" w:cs="Courier New" w:eastAsia="Courier New" w:hAnsi="Courier New"/>
          <w:sz w:val="15"/>
          <w:szCs w:val="15"/>
          <w:color w:val="auto"/>
        </w:rPr>
        <w:t>DEC-30-2000</w:t>
      </w:r>
    </w:p>
    <w:p>
      <w:pPr>
        <w:ind w:left="2440"/>
        <w:spacing w:after="0" w:line="238" w:lineRule="auto"/>
        <w:rPr>
          <w:sz w:val="20"/>
          <w:szCs w:val="20"/>
          <w:color w:val="auto"/>
        </w:rPr>
      </w:pPr>
      <w:r>
        <w:rPr>
          <w:rFonts w:ascii="Courier New" w:cs="Courier New" w:eastAsia="Courier New" w:hAnsi="Courier New"/>
          <w:sz w:val="15"/>
          <w:szCs w:val="15"/>
          <w:color w:val="auto"/>
        </w:rPr>
        <w:t>DEC-26-1999</w:t>
      </w:r>
    </w:p>
    <w:p>
      <w:pPr>
        <w:ind w:left="2620"/>
        <w:spacing w:after="0" w:line="237" w:lineRule="auto"/>
        <w:rPr>
          <w:sz w:val="20"/>
          <w:szCs w:val="20"/>
          <w:color w:val="auto"/>
        </w:rPr>
      </w:pPr>
      <w:r>
        <w:rPr>
          <w:rFonts w:ascii="Courier New" w:cs="Courier New" w:eastAsia="Courier New" w:hAnsi="Courier New"/>
          <w:sz w:val="15"/>
          <w:szCs w:val="15"/>
          <w:color w:val="auto"/>
        </w:rPr>
        <w:t>SEP-23-2000</w:t>
      </w:r>
    </w:p>
    <w:p>
      <w:pPr>
        <w:ind w:left="3760"/>
        <w:spacing w:after="0" w:line="238" w:lineRule="auto"/>
        <w:rPr>
          <w:sz w:val="20"/>
          <w:szCs w:val="20"/>
          <w:color w:val="auto"/>
        </w:rPr>
      </w:pPr>
      <w:r>
        <w:rPr>
          <w:rFonts w:ascii="Courier New" w:cs="Courier New" w:eastAsia="Courier New" w:hAnsi="Courier New"/>
          <w:sz w:val="15"/>
          <w:szCs w:val="15"/>
          <w:color w:val="auto"/>
        </w:rPr>
        <w:t>7780</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101813</w:t>
      </w:r>
    </w:p>
    <w:p>
      <w:pPr>
        <w:ind w:left="3240"/>
        <w:spacing w:after="0" w:line="237" w:lineRule="auto"/>
        <w:rPr>
          <w:sz w:val="20"/>
          <w:szCs w:val="20"/>
          <w:color w:val="auto"/>
        </w:rPr>
      </w:pPr>
      <w:r>
        <w:rPr>
          <w:rFonts w:ascii="Courier New" w:cs="Courier New" w:eastAsia="Courier New" w:hAnsi="Courier New"/>
          <w:sz w:val="15"/>
          <w:szCs w:val="15"/>
          <w:color w:val="auto"/>
        </w:rPr>
        <w:t>1383</w:t>
      </w:r>
    </w:p>
    <w:p>
      <w:pPr>
        <w:ind w:left="3140"/>
        <w:spacing w:after="0" w:line="238" w:lineRule="auto"/>
        <w:rPr>
          <w:sz w:val="20"/>
          <w:szCs w:val="20"/>
          <w:color w:val="auto"/>
        </w:rPr>
      </w:pPr>
      <w:r>
        <w:rPr>
          <w:rFonts w:ascii="Courier New" w:cs="Courier New" w:eastAsia="Courier New" w:hAnsi="Courier New"/>
          <w:sz w:val="15"/>
          <w:szCs w:val="15"/>
          <w:color w:val="auto"/>
        </w:rPr>
        <w:t>114139</w:t>
      </w:r>
    </w:p>
    <w:p>
      <w:pPr>
        <w:ind w:left="2700"/>
        <w:spacing w:after="0" w:line="238" w:lineRule="auto"/>
        <w:rPr>
          <w:sz w:val="20"/>
          <w:szCs w:val="20"/>
          <w:color w:val="auto"/>
        </w:rPr>
      </w:pPr>
      <w:r>
        <w:rPr>
          <w:rFonts w:ascii="Courier New" w:cs="Courier New" w:eastAsia="Courier New" w:hAnsi="Courier New"/>
          <w:sz w:val="15"/>
          <w:szCs w:val="15"/>
          <w:color w:val="auto"/>
        </w:rPr>
        <w:t>229395</w:t>
      </w:r>
    </w:p>
    <w:p>
      <w:pPr>
        <w:ind w:left="3580"/>
        <w:spacing w:after="0" w:line="237" w:lineRule="auto"/>
        <w:rPr>
          <w:sz w:val="20"/>
          <w:szCs w:val="20"/>
          <w:color w:val="auto"/>
        </w:rPr>
      </w:pPr>
      <w:r>
        <w:rPr>
          <w:rFonts w:ascii="Courier New" w:cs="Courier New" w:eastAsia="Courier New" w:hAnsi="Courier New"/>
          <w:sz w:val="15"/>
          <w:szCs w:val="15"/>
          <w:color w:val="auto"/>
        </w:rPr>
        <w:t>252646</w:t>
      </w:r>
    </w:p>
    <w:p>
      <w:pPr>
        <w:ind w:left="2980"/>
        <w:spacing w:after="0" w:line="238" w:lineRule="auto"/>
        <w:rPr>
          <w:sz w:val="20"/>
          <w:szCs w:val="20"/>
          <w:color w:val="auto"/>
        </w:rPr>
      </w:pPr>
      <w:r>
        <w:rPr>
          <w:rFonts w:ascii="Courier New" w:cs="Courier New" w:eastAsia="Courier New" w:hAnsi="Courier New"/>
          <w:sz w:val="15"/>
          <w:szCs w:val="15"/>
          <w:color w:val="auto"/>
        </w:rPr>
        <w:t>84370</w:t>
      </w:r>
    </w:p>
    <w:p>
      <w:pPr>
        <w:ind w:left="2880"/>
        <w:spacing w:after="0" w:line="237" w:lineRule="auto"/>
        <w:rPr>
          <w:sz w:val="20"/>
          <w:szCs w:val="20"/>
          <w:color w:val="auto"/>
        </w:rPr>
      </w:pPr>
      <w:r>
        <w:rPr>
          <w:rFonts w:ascii="Courier New" w:cs="Courier New" w:eastAsia="Courier New" w:hAnsi="Courier New"/>
          <w:sz w:val="15"/>
          <w:szCs w:val="15"/>
          <w:color w:val="auto"/>
        </w:rPr>
        <w:t>515664</w:t>
      </w:r>
    </w:p>
    <w:p>
      <w:pPr>
        <w:ind w:left="2280"/>
        <w:spacing w:after="0" w:line="238" w:lineRule="auto"/>
        <w:rPr>
          <w:sz w:val="20"/>
          <w:szCs w:val="20"/>
          <w:color w:val="auto"/>
        </w:rPr>
      </w:pPr>
      <w:r>
        <w:rPr>
          <w:rFonts w:ascii="Courier New" w:cs="Courier New" w:eastAsia="Courier New" w:hAnsi="Courier New"/>
          <w:sz w:val="15"/>
          <w:szCs w:val="15"/>
          <w:color w:val="auto"/>
        </w:rPr>
        <w:t>105794</w:t>
      </w:r>
    </w:p>
    <w:p>
      <w:pPr>
        <w:ind w:left="3940"/>
        <w:spacing w:after="0" w:line="237" w:lineRule="auto"/>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500"/>
        <w:spacing w:after="0" w:line="237" w:lineRule="auto"/>
        <w:rPr>
          <w:sz w:val="20"/>
          <w:szCs w:val="20"/>
          <w:color w:val="auto"/>
        </w:rPr>
      </w:pPr>
      <w:r>
        <w:rPr>
          <w:rFonts w:ascii="Courier New" w:cs="Courier New" w:eastAsia="Courier New" w:hAnsi="Courier New"/>
          <w:sz w:val="15"/>
          <w:szCs w:val="15"/>
          <w:color w:val="auto"/>
        </w:rPr>
        <w:t>20062</w:t>
      </w:r>
    </w:p>
    <w:p>
      <w:pPr>
        <w:ind w:left="3680"/>
        <w:spacing w:after="0" w:line="238" w:lineRule="auto"/>
        <w:rPr>
          <w:sz w:val="20"/>
          <w:szCs w:val="20"/>
          <w:color w:val="auto"/>
        </w:rPr>
      </w:pPr>
      <w:r>
        <w:rPr>
          <w:rFonts w:ascii="Courier New" w:cs="Courier New" w:eastAsia="Courier New" w:hAnsi="Courier New"/>
          <w:sz w:val="15"/>
          <w:szCs w:val="15"/>
          <w:color w:val="auto"/>
        </w:rPr>
        <w:t>0</w:t>
      </w:r>
    </w:p>
    <w:p>
      <w:pPr>
        <w:ind w:left="1660"/>
        <w:spacing w:after="0" w:line="237" w:lineRule="auto"/>
        <w:rPr>
          <w:sz w:val="20"/>
          <w:szCs w:val="20"/>
          <w:color w:val="auto"/>
        </w:rPr>
      </w:pPr>
      <w:r>
        <w:rPr>
          <w:rFonts w:ascii="Courier New" w:cs="Courier New" w:eastAsia="Courier New" w:hAnsi="Courier New"/>
          <w:sz w:val="15"/>
          <w:szCs w:val="15"/>
          <w:color w:val="auto"/>
        </w:rPr>
        <w:t>515664</w:t>
      </w:r>
    </w:p>
    <w:p>
      <w:pPr>
        <w:ind w:left="3400"/>
        <w:spacing w:after="0" w:line="238" w:lineRule="auto"/>
        <w:rPr>
          <w:sz w:val="20"/>
          <w:szCs w:val="20"/>
          <w:color w:val="auto"/>
        </w:rPr>
      </w:pPr>
      <w:r>
        <w:rPr>
          <w:rFonts w:ascii="Courier New" w:cs="Courier New" w:eastAsia="Courier New" w:hAnsi="Courier New"/>
          <w:sz w:val="15"/>
          <w:szCs w:val="15"/>
          <w:color w:val="auto"/>
        </w:rPr>
        <w:t>1106680</w:t>
      </w:r>
    </w:p>
    <w:p>
      <w:pPr>
        <w:ind w:left="2620"/>
        <w:spacing w:after="0" w:line="237" w:lineRule="auto"/>
        <w:rPr>
          <w:sz w:val="20"/>
          <w:szCs w:val="20"/>
          <w:color w:val="auto"/>
        </w:rPr>
      </w:pPr>
      <w:r>
        <w:rPr>
          <w:rFonts w:ascii="Courier New" w:cs="Courier New" w:eastAsia="Courier New" w:hAnsi="Courier New"/>
          <w:sz w:val="15"/>
          <w:szCs w:val="15"/>
          <w:color w:val="auto"/>
        </w:rPr>
        <w:t>1106680</w:t>
      </w:r>
    </w:p>
    <w:p>
      <w:pPr>
        <w:jc w:val="right"/>
        <w:ind w:right="5939"/>
        <w:spacing w:after="0" w:line="238" w:lineRule="auto"/>
        <w:rPr>
          <w:sz w:val="20"/>
          <w:szCs w:val="20"/>
          <w:color w:val="auto"/>
        </w:rPr>
      </w:pPr>
      <w:r>
        <w:rPr>
          <w:rFonts w:ascii="Courier New" w:cs="Courier New" w:eastAsia="Courier New" w:hAnsi="Courier New"/>
          <w:sz w:val="15"/>
          <w:szCs w:val="15"/>
          <w:color w:val="auto"/>
        </w:rPr>
        <w:t>960044</w:t>
      </w:r>
    </w:p>
    <w:p>
      <w:pPr>
        <w:ind w:left="2980"/>
        <w:spacing w:after="0" w:line="238" w:lineRule="auto"/>
        <w:rPr>
          <w:sz w:val="20"/>
          <w:szCs w:val="20"/>
          <w:color w:val="auto"/>
        </w:rPr>
      </w:pPr>
      <w:r>
        <w:rPr>
          <w:rFonts w:ascii="Courier New" w:cs="Courier New" w:eastAsia="Courier New" w:hAnsi="Courier New"/>
          <w:sz w:val="15"/>
          <w:szCs w:val="15"/>
          <w:color w:val="auto"/>
        </w:rPr>
        <w:t>960044</w:t>
      </w:r>
    </w:p>
    <w:p>
      <w:pPr>
        <w:ind w:left="2800"/>
        <w:spacing w:after="0" w:line="237" w:lineRule="auto"/>
        <w:rPr>
          <w:sz w:val="20"/>
          <w:szCs w:val="20"/>
          <w:color w:val="auto"/>
        </w:rPr>
      </w:pPr>
      <w:r>
        <w:rPr>
          <w:rFonts w:ascii="Courier New" w:cs="Courier New" w:eastAsia="Courier New" w:hAnsi="Courier New"/>
          <w:sz w:val="15"/>
          <w:szCs w:val="15"/>
          <w:color w:val="auto"/>
        </w:rPr>
        <w:t>91248</w:t>
      </w:r>
    </w:p>
    <w:p>
      <w:pPr>
        <w:ind w:left="3140"/>
        <w:spacing w:after="0" w:line="238" w:lineRule="auto"/>
        <w:rPr>
          <w:sz w:val="20"/>
          <w:szCs w:val="20"/>
          <w:color w:val="auto"/>
        </w:rPr>
      </w:pPr>
      <w:r>
        <w:rPr>
          <w:rFonts w:ascii="Courier New" w:cs="Courier New" w:eastAsia="Courier New" w:hAnsi="Courier New"/>
          <w:sz w:val="15"/>
          <w:szCs w:val="15"/>
          <w:color w:val="auto"/>
        </w:rPr>
        <w:t>0</w:t>
      </w:r>
    </w:p>
    <w:p>
      <w:pPr>
        <w:ind w:left="2620"/>
        <w:spacing w:after="0" w:line="237" w:lineRule="auto"/>
        <w:rPr>
          <w:sz w:val="20"/>
          <w:szCs w:val="20"/>
          <w:color w:val="auto"/>
        </w:rPr>
      </w:pPr>
      <w:r>
        <w:rPr>
          <w:rFonts w:ascii="Courier New" w:cs="Courier New" w:eastAsia="Courier New" w:hAnsi="Courier New"/>
          <w:sz w:val="15"/>
          <w:szCs w:val="15"/>
          <w:color w:val="auto"/>
        </w:rPr>
        <w:t>10042</w:t>
      </w:r>
    </w:p>
    <w:p>
      <w:pPr>
        <w:ind w:left="2880"/>
        <w:spacing w:after="0" w:line="238" w:lineRule="auto"/>
        <w:rPr>
          <w:sz w:val="20"/>
          <w:szCs w:val="20"/>
          <w:color w:val="auto"/>
        </w:rPr>
      </w:pPr>
      <w:r>
        <w:rPr>
          <w:rFonts w:ascii="Courier New" w:cs="Courier New" w:eastAsia="Courier New" w:hAnsi="Courier New"/>
          <w:sz w:val="15"/>
          <w:szCs w:val="15"/>
          <w:color w:val="auto"/>
        </w:rPr>
        <w:t>45346</w:t>
      </w:r>
    </w:p>
    <w:p>
      <w:pPr>
        <w:ind w:left="3140"/>
        <w:spacing w:after="0" w:line="237" w:lineRule="auto"/>
        <w:rPr>
          <w:sz w:val="20"/>
          <w:szCs w:val="20"/>
          <w:color w:val="auto"/>
        </w:rPr>
      </w:pPr>
      <w:r>
        <w:rPr>
          <w:rFonts w:ascii="Courier New" w:cs="Courier New" w:eastAsia="Courier New" w:hAnsi="Courier New"/>
          <w:sz w:val="15"/>
          <w:szCs w:val="15"/>
          <w:color w:val="auto"/>
        </w:rPr>
        <w:t>17693</w:t>
      </w:r>
    </w:p>
    <w:p>
      <w:pPr>
        <w:ind w:left="2540"/>
        <w:spacing w:after="0" w:line="238" w:lineRule="auto"/>
        <w:rPr>
          <w:sz w:val="20"/>
          <w:szCs w:val="20"/>
          <w:color w:val="auto"/>
        </w:rPr>
      </w:pPr>
      <w:r>
        <w:rPr>
          <w:rFonts w:ascii="Courier New" w:cs="Courier New" w:eastAsia="Courier New" w:hAnsi="Courier New"/>
          <w:sz w:val="15"/>
          <w:szCs w:val="15"/>
          <w:color w:val="auto"/>
        </w:rPr>
        <w:t>27653</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ind w:left="3140"/>
        <w:spacing w:after="0" w:line="237" w:lineRule="auto"/>
        <w:rPr>
          <w:sz w:val="20"/>
          <w:szCs w:val="20"/>
          <w:color w:val="auto"/>
        </w:rPr>
      </w:pPr>
      <w:r>
        <w:rPr>
          <w:rFonts w:ascii="Courier New" w:cs="Courier New" w:eastAsia="Courier New" w:hAnsi="Courier New"/>
          <w:sz w:val="15"/>
          <w:szCs w:val="15"/>
          <w:color w:val="auto"/>
        </w:rPr>
        <w:t>27146</w:t>
      </w:r>
    </w:p>
    <w:p>
      <w:pPr>
        <w:ind w:left="3320"/>
        <w:spacing w:after="0" w:line="238" w:lineRule="auto"/>
        <w:rPr>
          <w:sz w:val="20"/>
          <w:szCs w:val="20"/>
          <w:color w:val="auto"/>
        </w:rPr>
      </w:pPr>
      <w:r>
        <w:rPr>
          <w:rFonts w:ascii="Courier New" w:cs="Courier New" w:eastAsia="Courier New" w:hAnsi="Courier New"/>
          <w:sz w:val="15"/>
          <w:szCs w:val="15"/>
          <w:color w:val="auto"/>
        </w:rPr>
        <w:t>1.35</w:t>
      </w:r>
    </w:p>
    <w:p>
      <w:pPr>
        <w:ind w:left="3140"/>
        <w:spacing w:after="0" w:line="237" w:lineRule="auto"/>
        <w:rPr>
          <w:sz w:val="20"/>
          <w:szCs w:val="20"/>
          <w:color w:val="auto"/>
        </w:rPr>
      </w:pPr>
      <w:r>
        <w:rPr>
          <w:rFonts w:ascii="Courier New" w:cs="Courier New" w:eastAsia="Courier New" w:hAnsi="Courier New"/>
          <w:sz w:val="15"/>
          <w:szCs w:val="15"/>
          <w:color w:val="auto"/>
        </w:rPr>
        <w:t>1.32</w:t>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upperLetter"/>
      <w:start w:val="1"/>
    </w:lvl>
  </w:abstractNum>
  <w:abstractNum w:abstractNumId="2">
    <w:nsid w:val="507ED7AB"/>
    <w:multiLevelType w:val="hybridMultilevel"/>
    <w:lvl w:ilvl="0">
      <w:lvlJc w:val="left"/>
      <w:lvlText w:val="%1."/>
      <w:numFmt w:val="upperLetter"/>
      <w:start w:val="3"/>
    </w:lvl>
  </w:abstractNum>
  <w:abstractNum w:abstractNumId="3">
    <w:nsid w:val="2EB141F2"/>
    <w:multiLevelType w:val="hybridMultilevel"/>
    <w:lvl w:ilvl="0">
      <w:lvlJc w:val="left"/>
      <w:lvlText w:val="%1."/>
      <w:numFmt w:val="upperLetter"/>
      <w:start w:val="4"/>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2019-12-14T02:12:26Z</dcterms:created>
  <dcterms:modified xsi:type="dcterms:W3CDTF">2019-12-14T02:12:26Z</dcterms:modified>
</cp:coreProperties>
</file>