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right="10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20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20" w:type="dxa"/>
            <w:vAlign w:val="bottom"/>
            <w:gridSpan w:val="16"/>
            <w:vMerge w:val="restart"/>
          </w:tcPr>
          <w:p>
            <w:pPr>
              <w:jc w:val="center"/>
              <w:ind w:left="9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4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4"/>
                </w:rPr>
                <w:t>BRAVATA SCOTT T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</w:tcPr>
          <w:p>
            <w:pPr>
              <w:ind w:left="60"/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 of Accounting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 (I)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Year (Instr. 3 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15,969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208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16,879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-6381750</wp:posOffset>
            </wp:positionV>
            <wp:extent cx="7045960" cy="63950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9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non-discretionary transactions affected in account pursuant to the terms of the Company's 401(k) Retirement Plan.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Scott T. Bravata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69765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2023-02-15T12:44:21Z</dcterms:created>
  <dcterms:modified xsi:type="dcterms:W3CDTF">2023-02-15T12:44:21Z</dcterms:modified>
</cp:coreProperties>
</file>