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tabs>
          <w:tab w:leader="none" w:pos="900" w:val="left"/>
          <w:tab w:leader="none" w:pos="4760" w:val="left"/>
          <w:tab w:leader="none" w:pos="8660" w:val="left"/>
        </w:tabs>
        <w:rPr>
          <w:sz w:val="20"/>
          <w:szCs w:val="20"/>
          <w:color w:val="auto"/>
        </w:rPr>
      </w:pPr>
      <w:r>
        <w:rPr>
          <w:rFonts w:ascii="Arial" w:cs="Arial" w:eastAsia="Arial" w:hAnsi="Arial"/>
          <w:sz w:val="14"/>
          <w:szCs w:val="14"/>
          <w:color w:val="auto"/>
        </w:rPr>
        <w:t>CUSIP NO.</w:t>
      </w:r>
      <w:r>
        <w:rPr>
          <w:sz w:val="20"/>
          <w:szCs w:val="20"/>
          <w:color w:val="auto"/>
        </w:rPr>
        <w:tab/>
      </w:r>
      <w:r>
        <w:rPr>
          <w:rFonts w:ascii="Arial" w:cs="Arial" w:eastAsia="Arial" w:hAnsi="Arial"/>
          <w:sz w:val="14"/>
          <w:szCs w:val="14"/>
          <w:color w:val="auto"/>
        </w:rPr>
        <w:t>913543104</w:t>
      </w:r>
      <w:r>
        <w:rPr>
          <w:sz w:val="20"/>
          <w:szCs w:val="20"/>
          <w:color w:val="auto"/>
        </w:rPr>
        <w:tab/>
      </w:r>
      <w:r>
        <w:rPr>
          <w:rFonts w:ascii="Arial" w:cs="Arial" w:eastAsia="Arial" w:hAnsi="Arial"/>
          <w:sz w:val="14"/>
          <w:szCs w:val="14"/>
          <w:color w:val="auto"/>
        </w:rPr>
        <w:t>13G</w:t>
      </w:r>
      <w:r>
        <w:rPr>
          <w:sz w:val="20"/>
          <w:szCs w:val="20"/>
          <w:color w:val="auto"/>
        </w:rPr>
        <w:tab/>
      </w:r>
      <w:r>
        <w:rPr>
          <w:rFonts w:ascii="Arial" w:cs="Arial" w:eastAsia="Arial" w:hAnsi="Arial"/>
          <w:sz w:val="11"/>
          <w:szCs w:val="11"/>
          <w:color w:val="auto"/>
        </w:rPr>
        <w:t>Page 1 of 14</w:t>
      </w:r>
    </w:p>
    <w:p>
      <w:pPr>
        <w:sectPr>
          <w:pgSz w:w="11900" w:h="16838" w:orient="portrait"/>
          <w:cols w:equalWidth="0" w:num="1">
            <w:col w:w="9679"/>
          </w:cols>
          <w:pgMar w:left="780" w:top="237" w:right="1440" w:bottom="1440" w:gutter="0" w:footer="0" w:header="0"/>
        </w:sectPr>
      </w:pPr>
    </w:p>
    <w:p>
      <w:pPr>
        <w:spacing w:after="0" w:line="200" w:lineRule="exact"/>
        <w:rPr>
          <w:sz w:val="24"/>
          <w:szCs w:val="24"/>
          <w:color w:val="auto"/>
        </w:rPr>
      </w:pPr>
    </w:p>
    <w:p>
      <w:pPr>
        <w:spacing w:after="0" w:line="274" w:lineRule="exact"/>
        <w:rPr>
          <w:sz w:val="24"/>
          <w:szCs w:val="24"/>
          <w:color w:val="auto"/>
        </w:rPr>
      </w:pPr>
    </w:p>
    <w:p>
      <w:pPr>
        <w:ind w:left="4380"/>
        <w:spacing w:after="0"/>
        <w:rPr>
          <w:sz w:val="20"/>
          <w:szCs w:val="20"/>
          <w:color w:val="auto"/>
        </w:rPr>
      </w:pPr>
      <w:r>
        <w:rPr>
          <w:rFonts w:ascii="Arial" w:cs="Arial" w:eastAsia="Arial" w:hAnsi="Arial"/>
          <w:sz w:val="14"/>
          <w:szCs w:val="14"/>
          <w:color w:val="auto"/>
        </w:rPr>
        <w:t>UNITED STATES</w:t>
      </w:r>
    </w:p>
    <w:p>
      <w:pPr>
        <w:spacing w:after="0" w:line="28" w:lineRule="exact"/>
        <w:rPr>
          <w:sz w:val="24"/>
          <w:szCs w:val="24"/>
          <w:color w:val="auto"/>
        </w:rPr>
      </w:pPr>
    </w:p>
    <w:p>
      <w:pPr>
        <w:jc w:val="right"/>
        <w:ind w:right="3459"/>
        <w:spacing w:after="0"/>
        <w:rPr>
          <w:sz w:val="20"/>
          <w:szCs w:val="20"/>
          <w:color w:val="auto"/>
        </w:rPr>
      </w:pPr>
      <w:r>
        <w:rPr>
          <w:rFonts w:ascii="Arial" w:cs="Arial" w:eastAsia="Arial" w:hAnsi="Arial"/>
          <w:sz w:val="14"/>
          <w:szCs w:val="14"/>
          <w:color w:val="auto"/>
        </w:rPr>
        <w:t>SECURITIES AND EXCHANGE COMMISSION</w:t>
      </w:r>
    </w:p>
    <w:p>
      <w:pPr>
        <w:spacing w:after="0" w:line="28" w:lineRule="exact"/>
        <w:rPr>
          <w:sz w:val="24"/>
          <w:szCs w:val="24"/>
          <w:color w:val="auto"/>
        </w:rPr>
      </w:pPr>
    </w:p>
    <w:p>
      <w:pPr>
        <w:jc w:val="right"/>
        <w:ind w:right="4379"/>
        <w:spacing w:after="0"/>
        <w:rPr>
          <w:sz w:val="20"/>
          <w:szCs w:val="20"/>
          <w:color w:val="auto"/>
        </w:rPr>
      </w:pPr>
      <w:r>
        <w:rPr>
          <w:rFonts w:ascii="Arial" w:cs="Arial" w:eastAsia="Arial" w:hAnsi="Arial"/>
          <w:sz w:val="14"/>
          <w:szCs w:val="14"/>
          <w:color w:val="auto"/>
        </w:rPr>
        <w:t>Washington, D.C. 20549</w:t>
      </w:r>
    </w:p>
    <w:p>
      <w:pPr>
        <w:spacing w:after="0" w:line="244"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SCHEDULE 13G</w:t>
      </w:r>
    </w:p>
    <w:p>
      <w:pPr>
        <w:spacing w:after="0" w:line="244" w:lineRule="exact"/>
        <w:rPr>
          <w:sz w:val="24"/>
          <w:szCs w:val="24"/>
          <w:color w:val="auto"/>
        </w:rPr>
      </w:pPr>
    </w:p>
    <w:p>
      <w:pPr>
        <w:ind w:left="3040"/>
        <w:spacing w:after="0"/>
        <w:rPr>
          <w:sz w:val="20"/>
          <w:szCs w:val="20"/>
          <w:color w:val="auto"/>
        </w:rPr>
      </w:pPr>
      <w:r>
        <w:rPr>
          <w:rFonts w:ascii="Arial" w:cs="Arial" w:eastAsia="Arial" w:hAnsi="Arial"/>
          <w:sz w:val="14"/>
          <w:szCs w:val="14"/>
          <w:color w:val="auto"/>
        </w:rPr>
        <w:t>Under the Securities Exchange Act of 1934</w:t>
      </w:r>
    </w:p>
    <w:p>
      <w:pPr>
        <w:spacing w:after="0" w:line="28" w:lineRule="exact"/>
        <w:rPr>
          <w:sz w:val="24"/>
          <w:szCs w:val="24"/>
          <w:color w:val="auto"/>
        </w:rPr>
      </w:pPr>
    </w:p>
    <w:p>
      <w:pPr>
        <w:ind w:left="4040"/>
        <w:spacing w:after="0"/>
        <w:rPr>
          <w:sz w:val="20"/>
          <w:szCs w:val="20"/>
          <w:color w:val="auto"/>
        </w:rPr>
      </w:pPr>
      <w:r>
        <w:rPr>
          <w:rFonts w:ascii="Arial" w:cs="Arial" w:eastAsia="Arial" w:hAnsi="Arial"/>
          <w:sz w:val="14"/>
          <w:szCs w:val="14"/>
          <w:color w:val="auto"/>
        </w:rPr>
        <w:t>(Amendment No. 3)*</w:t>
      </w:r>
    </w:p>
    <w:p>
      <w:pPr>
        <w:spacing w:after="0" w:line="244" w:lineRule="exact"/>
        <w:rPr>
          <w:sz w:val="24"/>
          <w:szCs w:val="24"/>
          <w:color w:val="auto"/>
        </w:rPr>
      </w:pPr>
    </w:p>
    <w:p>
      <w:pPr>
        <w:ind w:left="3480"/>
        <w:spacing w:after="0"/>
        <w:rPr>
          <w:sz w:val="20"/>
          <w:szCs w:val="20"/>
          <w:color w:val="auto"/>
        </w:rPr>
      </w:pPr>
      <w:r>
        <w:rPr>
          <w:rFonts w:ascii="Arial" w:cs="Arial" w:eastAsia="Arial" w:hAnsi="Arial"/>
          <w:sz w:val="14"/>
          <w:szCs w:val="14"/>
          <w:color w:val="auto"/>
        </w:rPr>
        <w:t>UNIVERSAL FOREST PRODUCTS, INC.</w:t>
      </w:r>
    </w:p>
    <w:p>
      <w:pPr>
        <w:spacing w:after="0" w:line="69" w:lineRule="exact"/>
        <w:rPr>
          <w:sz w:val="24"/>
          <w:szCs w:val="24"/>
          <w:color w:val="auto"/>
        </w:rPr>
      </w:pPr>
    </w:p>
    <w:p>
      <w:pPr>
        <w:ind w:left="4160"/>
        <w:spacing w:after="0"/>
        <w:rPr>
          <w:sz w:val="20"/>
          <w:szCs w:val="20"/>
          <w:color w:val="auto"/>
        </w:rPr>
      </w:pPr>
      <w:r>
        <w:rPr>
          <w:rFonts w:ascii="Arial" w:cs="Arial" w:eastAsia="Arial" w:hAnsi="Arial"/>
          <w:sz w:val="14"/>
          <w:szCs w:val="14"/>
          <w:color w:val="auto"/>
        </w:rPr>
        <w:t>(Name of Issuer)</w:t>
      </w:r>
    </w:p>
    <w:p>
      <w:pPr>
        <w:spacing w:after="0" w:line="285" w:lineRule="exact"/>
        <w:rPr>
          <w:sz w:val="24"/>
          <w:szCs w:val="24"/>
          <w:color w:val="auto"/>
        </w:rPr>
      </w:pPr>
    </w:p>
    <w:p>
      <w:pPr>
        <w:ind w:left="3700"/>
        <w:spacing w:after="0"/>
        <w:rPr>
          <w:sz w:val="20"/>
          <w:szCs w:val="20"/>
          <w:color w:val="auto"/>
        </w:rPr>
      </w:pPr>
      <w:r>
        <w:rPr>
          <w:rFonts w:ascii="Arial" w:cs="Arial" w:eastAsia="Arial" w:hAnsi="Arial"/>
          <w:sz w:val="14"/>
          <w:szCs w:val="14"/>
          <w:color w:val="auto"/>
        </w:rPr>
        <w:t>Common Stock, no par value</w:t>
      </w:r>
    </w:p>
    <w:p>
      <w:pPr>
        <w:spacing w:after="0" w:line="69" w:lineRule="exact"/>
        <w:rPr>
          <w:sz w:val="24"/>
          <w:szCs w:val="24"/>
          <w:color w:val="auto"/>
        </w:rPr>
      </w:pPr>
    </w:p>
    <w:p>
      <w:pPr>
        <w:ind w:left="3540"/>
        <w:spacing w:after="0"/>
        <w:rPr>
          <w:sz w:val="20"/>
          <w:szCs w:val="20"/>
          <w:color w:val="auto"/>
        </w:rPr>
      </w:pPr>
      <w:r>
        <w:rPr>
          <w:rFonts w:ascii="Arial" w:cs="Arial" w:eastAsia="Arial" w:hAnsi="Arial"/>
          <w:sz w:val="14"/>
          <w:szCs w:val="14"/>
          <w:color w:val="auto"/>
        </w:rPr>
        <w:t>(Title of Class of Securities)</w:t>
      </w:r>
    </w:p>
    <w:p>
      <w:pPr>
        <w:spacing w:after="0" w:line="285" w:lineRule="exact"/>
        <w:rPr>
          <w:sz w:val="24"/>
          <w:szCs w:val="24"/>
          <w:color w:val="auto"/>
        </w:rPr>
      </w:pPr>
    </w:p>
    <w:p>
      <w:pPr>
        <w:jc w:val="center"/>
        <w:ind w:right="199"/>
        <w:spacing w:after="0"/>
        <w:rPr>
          <w:sz w:val="20"/>
          <w:szCs w:val="20"/>
          <w:color w:val="auto"/>
        </w:rPr>
      </w:pPr>
      <w:r>
        <w:rPr>
          <w:rFonts w:ascii="Arial" w:cs="Arial" w:eastAsia="Arial" w:hAnsi="Arial"/>
          <w:sz w:val="14"/>
          <w:szCs w:val="14"/>
          <w:color w:val="auto"/>
        </w:rPr>
        <w:t>913543104</w:t>
      </w:r>
    </w:p>
    <w:p>
      <w:pPr>
        <w:spacing w:after="0" w:line="231" w:lineRule="exact"/>
        <w:rPr>
          <w:sz w:val="24"/>
          <w:szCs w:val="24"/>
          <w:color w:val="auto"/>
        </w:rPr>
      </w:pPr>
    </w:p>
    <w:p>
      <w:pPr>
        <w:jc w:val="center"/>
        <w:ind w:right="279"/>
        <w:spacing w:after="0"/>
        <w:rPr>
          <w:sz w:val="20"/>
          <w:szCs w:val="20"/>
          <w:color w:val="auto"/>
        </w:rPr>
      </w:pPr>
      <w:r>
        <w:rPr>
          <w:rFonts w:ascii="Arial" w:cs="Arial" w:eastAsia="Arial" w:hAnsi="Arial"/>
          <w:sz w:val="14"/>
          <w:szCs w:val="14"/>
          <w:color w:val="auto"/>
        </w:rPr>
        <w:t>(CUSIP Number)</w:t>
      </w:r>
    </w:p>
    <w:p>
      <w:pPr>
        <w:spacing w:after="0" w:line="244" w:lineRule="exact"/>
        <w:rPr>
          <w:sz w:val="24"/>
          <w:szCs w:val="24"/>
          <w:color w:val="auto"/>
        </w:rPr>
      </w:pPr>
    </w:p>
    <w:p>
      <w:pPr>
        <w:ind w:left="4100"/>
        <w:spacing w:after="0"/>
        <w:rPr>
          <w:sz w:val="20"/>
          <w:szCs w:val="20"/>
          <w:color w:val="auto"/>
        </w:rPr>
      </w:pPr>
      <w:r>
        <w:rPr>
          <w:rFonts w:ascii="Arial" w:cs="Arial" w:eastAsia="Arial" w:hAnsi="Arial"/>
          <w:sz w:val="14"/>
          <w:szCs w:val="14"/>
          <w:color w:val="auto"/>
        </w:rPr>
        <w:t>December 31, 2008</w:t>
      </w:r>
    </w:p>
    <w:p>
      <w:pPr>
        <w:spacing w:after="0" w:line="69" w:lineRule="exact"/>
        <w:rPr>
          <w:sz w:val="24"/>
          <w:szCs w:val="24"/>
          <w:color w:val="auto"/>
        </w:rPr>
      </w:pPr>
    </w:p>
    <w:p>
      <w:pPr>
        <w:ind w:left="2460"/>
        <w:spacing w:after="0"/>
        <w:rPr>
          <w:sz w:val="20"/>
          <w:szCs w:val="20"/>
          <w:color w:val="auto"/>
        </w:rPr>
      </w:pPr>
      <w:r>
        <w:rPr>
          <w:rFonts w:ascii="Arial" w:cs="Arial" w:eastAsia="Arial" w:hAnsi="Arial"/>
          <w:sz w:val="14"/>
          <w:szCs w:val="14"/>
          <w:color w:val="auto"/>
        </w:rPr>
        <w:t>(Date of Event Which Requires Filing of this Statement)</w:t>
      </w:r>
    </w:p>
    <w:p>
      <w:pPr>
        <w:spacing w:after="0" w:line="285" w:lineRule="exact"/>
        <w:rPr>
          <w:sz w:val="24"/>
          <w:szCs w:val="24"/>
          <w:color w:val="auto"/>
        </w:rPr>
      </w:pPr>
    </w:p>
    <w:p>
      <w:pPr>
        <w:ind w:left="180"/>
        <w:spacing w:after="0"/>
        <w:rPr>
          <w:sz w:val="20"/>
          <w:szCs w:val="20"/>
          <w:color w:val="auto"/>
        </w:rPr>
      </w:pPr>
      <w:r>
        <w:rPr>
          <w:rFonts w:ascii="Arial" w:cs="Arial" w:eastAsia="Arial" w:hAnsi="Arial"/>
          <w:sz w:val="14"/>
          <w:szCs w:val="14"/>
          <w:color w:val="auto"/>
        </w:rPr>
        <w:t>Check the appropriate box to designate the rule pursuant to which this Schedule is filed:</w:t>
      </w:r>
    </w:p>
    <w:p>
      <w:pPr>
        <w:spacing w:after="0" w:line="150" w:lineRule="exact"/>
        <w:rPr>
          <w:sz w:val="24"/>
          <w:szCs w:val="24"/>
          <w:color w:val="auto"/>
        </w:rPr>
      </w:pPr>
    </w:p>
    <w:p>
      <w:pPr>
        <w:ind w:left="600" w:hanging="430"/>
        <w:spacing w:after="0"/>
        <w:tabs>
          <w:tab w:leader="none" w:pos="600" w:val="left"/>
        </w:tabs>
        <w:numPr>
          <w:ilvl w:val="0"/>
          <w:numId w:val="1"/>
        </w:numPr>
        <w:rPr>
          <w:rFonts w:ascii="Arial" w:cs="Arial" w:eastAsia="Arial" w:hAnsi="Arial"/>
          <w:sz w:val="22"/>
          <w:szCs w:val="22"/>
          <w:color w:val="auto"/>
        </w:rPr>
      </w:pPr>
      <w:r>
        <w:rPr>
          <w:rFonts w:ascii="Arial" w:cs="Arial" w:eastAsia="Arial" w:hAnsi="Arial"/>
          <w:sz w:val="14"/>
          <w:szCs w:val="14"/>
          <w:color w:val="auto"/>
        </w:rPr>
        <w:t>Rule 13d-1(b)</w:t>
      </w:r>
    </w:p>
    <w:p>
      <w:pPr>
        <w:spacing w:after="0" w:line="28" w:lineRule="exact"/>
        <w:rPr>
          <w:rFonts w:ascii="Arial" w:cs="Arial" w:eastAsia="Arial" w:hAnsi="Arial"/>
          <w:sz w:val="22"/>
          <w:szCs w:val="22"/>
          <w:color w:val="auto"/>
        </w:rPr>
      </w:pPr>
    </w:p>
    <w:p>
      <w:pPr>
        <w:ind w:left="180"/>
        <w:spacing w:after="0"/>
        <w:rPr>
          <w:rFonts w:ascii="Arial" w:cs="Arial" w:eastAsia="Arial" w:hAnsi="Arial"/>
          <w:sz w:val="22"/>
          <w:szCs w:val="22"/>
          <w:color w:val="auto"/>
        </w:rPr>
      </w:pPr>
      <w:r>
        <w:rPr>
          <w:rFonts w:ascii="Arial" w:cs="Arial" w:eastAsia="Arial" w:hAnsi="Arial"/>
          <w:sz w:val="14"/>
          <w:szCs w:val="14"/>
          <w:color w:val="auto"/>
        </w:rPr>
        <w:t>o</w:t>
      </w:r>
      <w:r>
        <w:rPr>
          <w:rFonts w:ascii="Arial" w:cs="Arial" w:eastAsia="Arial" w:hAnsi="Arial"/>
          <w:sz w:val="12"/>
          <w:szCs w:val="12"/>
          <w:color w:val="auto"/>
        </w:rPr>
        <w:t>Rule 13d-1(c)</w:t>
      </w:r>
    </w:p>
    <w:p>
      <w:pPr>
        <w:spacing w:after="0" w:line="97" w:lineRule="exact"/>
        <w:rPr>
          <w:sz w:val="24"/>
          <w:szCs w:val="24"/>
          <w:color w:val="auto"/>
        </w:rPr>
      </w:pPr>
    </w:p>
    <w:p>
      <w:pPr>
        <w:ind w:left="600" w:hanging="430"/>
        <w:spacing w:after="0"/>
        <w:tabs>
          <w:tab w:leader="none" w:pos="600" w:val="left"/>
        </w:tabs>
        <w:numPr>
          <w:ilvl w:val="0"/>
          <w:numId w:val="2"/>
        </w:numPr>
        <w:rPr>
          <w:rFonts w:ascii="Arial" w:cs="Arial" w:eastAsia="Arial" w:hAnsi="Arial"/>
          <w:sz w:val="14"/>
          <w:szCs w:val="14"/>
          <w:color w:val="auto"/>
        </w:rPr>
      </w:pPr>
      <w:r>
        <w:rPr>
          <w:rFonts w:ascii="Arial" w:cs="Arial" w:eastAsia="Arial" w:hAnsi="Arial"/>
          <w:sz w:val="14"/>
          <w:szCs w:val="14"/>
          <w:color w:val="auto"/>
        </w:rPr>
        <w:t>Rule 13d-1(d)</w:t>
      </w:r>
    </w:p>
    <w:p>
      <w:pPr>
        <w:spacing w:after="0" w:line="339" w:lineRule="exact"/>
        <w:rPr>
          <w:sz w:val="24"/>
          <w:szCs w:val="24"/>
          <w:color w:val="auto"/>
        </w:rPr>
      </w:pPr>
    </w:p>
    <w:p>
      <w:pPr>
        <w:ind w:left="180" w:right="4239"/>
        <w:spacing w:after="0" w:line="358" w:lineRule="auto"/>
        <w:rPr>
          <w:sz w:val="20"/>
          <w:szCs w:val="20"/>
          <w:color w:val="auto"/>
        </w:rPr>
      </w:pPr>
      <w:r>
        <w:rPr>
          <w:rFonts w:ascii="Arial" w:cs="Arial" w:eastAsia="Arial" w:hAnsi="Arial"/>
          <w:sz w:val="12"/>
          <w:szCs w:val="1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6" w:lineRule="exact"/>
        <w:rPr>
          <w:sz w:val="24"/>
          <w:szCs w:val="24"/>
          <w:color w:val="auto"/>
        </w:rPr>
      </w:pPr>
    </w:p>
    <w:p>
      <w:pPr>
        <w:ind w:left="180" w:right="4039"/>
        <w:spacing w:after="0" w:line="287" w:lineRule="auto"/>
        <w:rPr>
          <w:sz w:val="20"/>
          <w:szCs w:val="20"/>
          <w:color w:val="auto"/>
        </w:rPr>
      </w:pPr>
      <w:r>
        <w:rPr>
          <w:rFonts w:ascii="Arial" w:cs="Arial" w:eastAsia="Arial" w:hAnsi="Arial"/>
          <w:sz w:val="14"/>
          <w:szCs w:val="14"/>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-339090</wp:posOffset>
            </wp:positionH>
            <wp:positionV relativeFrom="paragraph">
              <wp:posOffset>330200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679"/>
          </w:cols>
          <w:pgMar w:left="780" w:top="237" w:right="1440" w:bottom="1440" w:gutter="0" w:footer="0" w:header="0"/>
          <w:type w:val="continuous"/>
        </w:sectPr>
      </w:pPr>
    </w:p>
    <w:bookmarkStart w:id="1" w:name="page2"/>
    <w:bookmarkEnd w:id="1"/>
    <w:p>
      <w:pPr>
        <w:spacing w:after="0"/>
        <w:tabs>
          <w:tab w:leader="none" w:pos="900" w:val="left"/>
          <w:tab w:leader="none" w:pos="4760" w:val="left"/>
          <w:tab w:leader="none" w:pos="8660" w:val="left"/>
        </w:tabs>
        <w:rPr>
          <w:sz w:val="20"/>
          <w:szCs w:val="20"/>
          <w:color w:val="auto"/>
        </w:rPr>
      </w:pPr>
      <w:r>
        <w:rPr>
          <w:rFonts w:ascii="Arial" w:cs="Arial" w:eastAsia="Arial" w:hAnsi="Arial"/>
          <w:sz w:val="14"/>
          <w:szCs w:val="14"/>
          <w:color w:val="auto"/>
        </w:rPr>
        <w:t>CUSIP NO.</w:t>
      </w:r>
      <w:r>
        <w:rPr>
          <w:sz w:val="20"/>
          <w:szCs w:val="20"/>
          <w:color w:val="auto"/>
        </w:rPr>
        <w:tab/>
      </w:r>
      <w:r>
        <w:rPr>
          <w:rFonts w:ascii="Arial" w:cs="Arial" w:eastAsia="Arial" w:hAnsi="Arial"/>
          <w:sz w:val="14"/>
          <w:szCs w:val="14"/>
          <w:color w:val="auto"/>
        </w:rPr>
        <w:t>913543104</w:t>
      </w:r>
      <w:r>
        <w:rPr>
          <w:sz w:val="20"/>
          <w:szCs w:val="20"/>
          <w:color w:val="auto"/>
        </w:rPr>
        <w:tab/>
      </w:r>
      <w:r>
        <w:rPr>
          <w:rFonts w:ascii="Arial" w:cs="Arial" w:eastAsia="Arial" w:hAnsi="Arial"/>
          <w:sz w:val="14"/>
          <w:szCs w:val="14"/>
          <w:color w:val="auto"/>
        </w:rPr>
        <w:t>13G</w:t>
      </w:r>
      <w:r>
        <w:rPr>
          <w:sz w:val="20"/>
          <w:szCs w:val="20"/>
          <w:color w:val="auto"/>
        </w:rPr>
        <w:tab/>
      </w:r>
      <w:r>
        <w:rPr>
          <w:rFonts w:ascii="Arial" w:cs="Arial" w:eastAsia="Arial" w:hAnsi="Arial"/>
          <w:sz w:val="11"/>
          <w:szCs w:val="11"/>
          <w:color w:val="auto"/>
        </w:rPr>
        <w:t>Page 2 of 14</w:t>
      </w:r>
    </w:p>
    <w:p>
      <w:pPr>
        <w:spacing w:after="0" w:line="244" w:lineRule="exact"/>
        <w:rPr>
          <w:sz w:val="20"/>
          <w:szCs w:val="20"/>
          <w:color w:val="auto"/>
        </w:rPr>
      </w:pPr>
    </w:p>
    <w:p>
      <w:pPr>
        <w:ind w:left="660" w:right="6899" w:hanging="652"/>
        <w:spacing w:after="0" w:line="692" w:lineRule="auto"/>
        <w:tabs>
          <w:tab w:leader="none" w:pos="660" w:val="left"/>
        </w:tabs>
        <w:numPr>
          <w:ilvl w:val="0"/>
          <w:numId w:val="3"/>
        </w:numPr>
        <w:rPr>
          <w:rFonts w:ascii="Arial" w:cs="Arial" w:eastAsia="Arial" w:hAnsi="Arial"/>
          <w:sz w:val="12"/>
          <w:szCs w:val="12"/>
          <w:color w:val="auto"/>
        </w:rPr>
      </w:pPr>
      <w:r>
        <w:rPr>
          <w:rFonts w:ascii="Arial" w:cs="Arial" w:eastAsia="Arial" w:hAnsi="Arial"/>
          <w:sz w:val="12"/>
          <w:szCs w:val="12"/>
          <w:color w:val="auto"/>
        </w:rPr>
        <w:t>NAMES OF REPORTING PERSONS. Franklin Resources, Inc.</w:t>
      </w:r>
    </w:p>
    <w:p>
      <w:pPr>
        <w:spacing w:after="0" w:line="1" w:lineRule="exact"/>
        <w:rPr>
          <w:rFonts w:ascii="Arial" w:cs="Arial" w:eastAsia="Arial" w:hAnsi="Arial"/>
          <w:sz w:val="12"/>
          <w:szCs w:val="12"/>
          <w:color w:val="auto"/>
        </w:rPr>
      </w:pPr>
    </w:p>
    <w:p>
      <w:pPr>
        <w:ind w:left="660" w:hanging="652"/>
        <w:spacing w:after="0"/>
        <w:tabs>
          <w:tab w:leader="none" w:pos="660" w:val="left"/>
        </w:tabs>
        <w:numPr>
          <w:ilvl w:val="0"/>
          <w:numId w:val="3"/>
        </w:numPr>
        <w:rPr>
          <w:rFonts w:ascii="Arial" w:cs="Arial" w:eastAsia="Arial" w:hAnsi="Arial"/>
          <w:sz w:val="14"/>
          <w:szCs w:val="14"/>
          <w:color w:val="auto"/>
        </w:rPr>
      </w:pPr>
      <w:r>
        <w:rPr>
          <w:rFonts w:ascii="Arial" w:cs="Arial" w:eastAsia="Arial" w:hAnsi="Arial"/>
          <w:sz w:val="14"/>
          <w:szCs w:val="14"/>
          <w:color w:val="auto"/>
        </w:rPr>
        <w:t>CHECK THE APPROPRIATE BOX IF A MEMBER OF A GROUP</w:t>
      </w:r>
    </w:p>
    <w:p>
      <w:pPr>
        <w:spacing w:after="0" w:line="257" w:lineRule="exact"/>
        <w:rPr>
          <w:rFonts w:ascii="Arial" w:cs="Arial" w:eastAsia="Arial" w:hAnsi="Arial"/>
          <w:sz w:val="14"/>
          <w:szCs w:val="14"/>
          <w:color w:val="auto"/>
        </w:rPr>
      </w:pPr>
    </w:p>
    <w:p>
      <w:pPr>
        <w:spacing w:after="0"/>
        <w:tabs>
          <w:tab w:leader="none" w:pos="0" w:val="left"/>
        </w:tabs>
        <w:numPr>
          <w:ilvl w:val="1"/>
          <w:numId w:val="3"/>
        </w:numPr>
        <w:rPr>
          <w:rFonts w:ascii="Arial" w:cs="Arial" w:eastAsia="Arial" w:hAnsi="Arial"/>
          <w:sz w:val="14"/>
          <w:szCs w:val="14"/>
          <w:color w:val="auto"/>
        </w:rPr>
      </w:pPr>
    </w:p>
    <w:p>
      <w:pPr>
        <w:spacing w:after="0" w:line="14" w:lineRule="exact"/>
        <w:rPr>
          <w:rFonts w:ascii="Arial" w:cs="Arial" w:eastAsia="Arial" w:hAnsi="Arial"/>
          <w:sz w:val="14"/>
          <w:szCs w:val="14"/>
          <w:color w:val="auto"/>
        </w:rPr>
      </w:pPr>
    </w:p>
    <w:p>
      <w:pPr>
        <w:ind w:left="1080" w:hanging="423"/>
        <w:spacing w:after="0"/>
        <w:tabs>
          <w:tab w:leader="none" w:pos="1080" w:val="left"/>
        </w:tabs>
        <w:numPr>
          <w:ilvl w:val="1"/>
          <w:numId w:val="3"/>
        </w:numPr>
        <w:rPr>
          <w:rFonts w:ascii="Arial" w:cs="Arial" w:eastAsia="Arial" w:hAnsi="Arial"/>
          <w:sz w:val="14"/>
          <w:szCs w:val="14"/>
          <w:color w:val="auto"/>
        </w:rPr>
      </w:pPr>
      <w:r>
        <w:rPr>
          <w:rFonts w:ascii="Arial" w:cs="Arial" w:eastAsia="Arial" w:hAnsi="Arial"/>
          <w:sz w:val="14"/>
          <w:szCs w:val="14"/>
          <w:color w:val="auto"/>
        </w:rPr>
        <w:t>X</w:t>
      </w:r>
    </w:p>
    <w:p>
      <w:pPr>
        <w:spacing w:after="0" w:line="325" w:lineRule="exact"/>
        <w:rPr>
          <w:rFonts w:ascii="Arial" w:cs="Arial" w:eastAsia="Arial" w:hAnsi="Arial"/>
          <w:sz w:val="14"/>
          <w:szCs w:val="14"/>
          <w:color w:val="auto"/>
        </w:rPr>
      </w:pPr>
    </w:p>
    <w:p>
      <w:pPr>
        <w:ind w:left="660" w:hanging="652"/>
        <w:spacing w:after="0"/>
        <w:tabs>
          <w:tab w:leader="none" w:pos="660" w:val="left"/>
        </w:tabs>
        <w:numPr>
          <w:ilvl w:val="0"/>
          <w:numId w:val="3"/>
        </w:numPr>
        <w:rPr>
          <w:rFonts w:ascii="Arial" w:cs="Arial" w:eastAsia="Arial" w:hAnsi="Arial"/>
          <w:sz w:val="14"/>
          <w:szCs w:val="14"/>
          <w:color w:val="auto"/>
        </w:rPr>
      </w:pPr>
      <w:r>
        <w:rPr>
          <w:rFonts w:ascii="Arial" w:cs="Arial" w:eastAsia="Arial" w:hAnsi="Arial"/>
          <w:sz w:val="14"/>
          <w:szCs w:val="14"/>
          <w:color w:val="auto"/>
        </w:rPr>
        <w:t>SEC USE ONLY</w:t>
      </w:r>
    </w:p>
    <w:p>
      <w:pPr>
        <w:spacing w:after="0" w:line="244" w:lineRule="exact"/>
        <w:rPr>
          <w:rFonts w:ascii="Arial" w:cs="Arial" w:eastAsia="Arial" w:hAnsi="Arial"/>
          <w:sz w:val="14"/>
          <w:szCs w:val="14"/>
          <w:color w:val="auto"/>
        </w:rPr>
      </w:pPr>
    </w:p>
    <w:p>
      <w:pPr>
        <w:ind w:left="660" w:hanging="652"/>
        <w:spacing w:after="0"/>
        <w:tabs>
          <w:tab w:leader="none" w:pos="660" w:val="left"/>
        </w:tabs>
        <w:numPr>
          <w:ilvl w:val="0"/>
          <w:numId w:val="3"/>
        </w:numPr>
        <w:rPr>
          <w:rFonts w:ascii="Arial" w:cs="Arial" w:eastAsia="Arial" w:hAnsi="Arial"/>
          <w:sz w:val="14"/>
          <w:szCs w:val="14"/>
          <w:color w:val="auto"/>
        </w:rPr>
      </w:pPr>
      <w:r>
        <w:rPr>
          <w:rFonts w:ascii="Arial" w:cs="Arial" w:eastAsia="Arial" w:hAnsi="Arial"/>
          <w:sz w:val="14"/>
          <w:szCs w:val="14"/>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6979" w:hanging="643"/>
        <w:spacing w:after="0" w:line="603" w:lineRule="auto"/>
        <w:tabs>
          <w:tab w:leader="none" w:pos="1300" w:val="left"/>
        </w:tabs>
        <w:numPr>
          <w:ilvl w:val="1"/>
          <w:numId w:val="4"/>
        </w:numPr>
        <w:rPr>
          <w:rFonts w:ascii="Arial" w:cs="Arial" w:eastAsia="Arial" w:hAnsi="Arial"/>
          <w:sz w:val="14"/>
          <w:szCs w:val="14"/>
          <w:color w:val="auto"/>
        </w:rPr>
      </w:pPr>
      <w:r>
        <w:rPr>
          <w:rFonts w:ascii="Arial" w:cs="Arial" w:eastAsia="Arial" w:hAnsi="Arial"/>
          <w:sz w:val="14"/>
          <w:szCs w:val="14"/>
          <w:color w:val="auto"/>
        </w:rPr>
        <w:t>SOLE VOTING POWER (See Item 4)</w:t>
      </w:r>
    </w:p>
    <w:p>
      <w:pPr>
        <w:spacing w:after="0" w:line="1" w:lineRule="exact"/>
        <w:rPr>
          <w:rFonts w:ascii="Arial" w:cs="Arial" w:eastAsia="Arial" w:hAnsi="Arial"/>
          <w:sz w:val="14"/>
          <w:szCs w:val="14"/>
          <w:color w:val="auto"/>
        </w:rPr>
      </w:pPr>
    </w:p>
    <w:p>
      <w:pPr>
        <w:ind w:left="1300" w:right="6779" w:hanging="643"/>
        <w:spacing w:after="0" w:line="603" w:lineRule="auto"/>
        <w:tabs>
          <w:tab w:leader="none" w:pos="1300" w:val="left"/>
        </w:tabs>
        <w:numPr>
          <w:ilvl w:val="1"/>
          <w:numId w:val="4"/>
        </w:numPr>
        <w:rPr>
          <w:rFonts w:ascii="Arial" w:cs="Arial" w:eastAsia="Arial" w:hAnsi="Arial"/>
          <w:sz w:val="14"/>
          <w:szCs w:val="14"/>
          <w:color w:val="auto"/>
        </w:rPr>
      </w:pPr>
      <w:r>
        <w:rPr>
          <w:rFonts w:ascii="Arial" w:cs="Arial" w:eastAsia="Arial" w:hAnsi="Arial"/>
          <w:sz w:val="14"/>
          <w:szCs w:val="14"/>
          <w:color w:val="auto"/>
        </w:rPr>
        <w:t>SHARED VOTING POWER (See Item 4)</w:t>
      </w:r>
    </w:p>
    <w:p>
      <w:pPr>
        <w:spacing w:after="0" w:line="1" w:lineRule="exact"/>
        <w:rPr>
          <w:rFonts w:ascii="Arial" w:cs="Arial" w:eastAsia="Arial" w:hAnsi="Arial"/>
          <w:sz w:val="14"/>
          <w:szCs w:val="14"/>
          <w:color w:val="auto"/>
        </w:rPr>
      </w:pPr>
    </w:p>
    <w:p>
      <w:pPr>
        <w:ind w:left="1300" w:right="6679" w:hanging="643"/>
        <w:spacing w:after="0" w:line="603" w:lineRule="auto"/>
        <w:tabs>
          <w:tab w:leader="none" w:pos="1300" w:val="left"/>
        </w:tabs>
        <w:numPr>
          <w:ilvl w:val="1"/>
          <w:numId w:val="4"/>
        </w:numPr>
        <w:rPr>
          <w:rFonts w:ascii="Arial" w:cs="Arial" w:eastAsia="Arial" w:hAnsi="Arial"/>
          <w:sz w:val="14"/>
          <w:szCs w:val="14"/>
          <w:color w:val="auto"/>
        </w:rPr>
      </w:pPr>
      <w:r>
        <w:rPr>
          <w:rFonts w:ascii="Arial" w:cs="Arial" w:eastAsia="Arial" w:hAnsi="Arial"/>
          <w:sz w:val="14"/>
          <w:szCs w:val="14"/>
          <w:color w:val="auto"/>
        </w:rPr>
        <w:t>SOLE DISPOSITIVE POWER (See Item 4)</w:t>
      </w:r>
    </w:p>
    <w:p>
      <w:pPr>
        <w:spacing w:after="0" w:line="1" w:lineRule="exact"/>
        <w:rPr>
          <w:rFonts w:ascii="Arial" w:cs="Arial" w:eastAsia="Arial" w:hAnsi="Arial"/>
          <w:sz w:val="14"/>
          <w:szCs w:val="14"/>
          <w:color w:val="auto"/>
        </w:rPr>
      </w:pPr>
    </w:p>
    <w:p>
      <w:pPr>
        <w:ind w:left="1300" w:right="6479" w:hanging="643"/>
        <w:spacing w:after="0" w:line="603" w:lineRule="auto"/>
        <w:tabs>
          <w:tab w:leader="none" w:pos="1300" w:val="left"/>
        </w:tabs>
        <w:numPr>
          <w:ilvl w:val="1"/>
          <w:numId w:val="4"/>
        </w:numPr>
        <w:rPr>
          <w:rFonts w:ascii="Arial" w:cs="Arial" w:eastAsia="Arial" w:hAnsi="Arial"/>
          <w:sz w:val="14"/>
          <w:szCs w:val="14"/>
          <w:color w:val="auto"/>
        </w:rPr>
      </w:pPr>
      <w:r>
        <w:rPr>
          <w:rFonts w:ascii="Arial" w:cs="Arial" w:eastAsia="Arial" w:hAnsi="Arial"/>
          <w:sz w:val="14"/>
          <w:szCs w:val="14"/>
          <w:color w:val="auto"/>
        </w:rPr>
        <w:t>SHARED DISPOSITIVE POWER (See Item 4)</w:t>
      </w:r>
    </w:p>
    <w:p>
      <w:pPr>
        <w:spacing w:after="0" w:line="1" w:lineRule="exact"/>
        <w:rPr>
          <w:rFonts w:ascii="Arial" w:cs="Arial" w:eastAsia="Arial" w:hAnsi="Arial"/>
          <w:sz w:val="14"/>
          <w:szCs w:val="14"/>
          <w:color w:val="auto"/>
        </w:rPr>
      </w:pPr>
    </w:p>
    <w:p>
      <w:pPr>
        <w:ind w:left="640" w:right="4099" w:hanging="632"/>
        <w:spacing w:after="0" w:line="593" w:lineRule="auto"/>
        <w:tabs>
          <w:tab w:leader="none" w:pos="654" w:val="left"/>
        </w:tabs>
        <w:numPr>
          <w:ilvl w:val="0"/>
          <w:numId w:val="5"/>
        </w:numPr>
        <w:rPr>
          <w:rFonts w:ascii="Arial" w:cs="Arial" w:eastAsia="Arial" w:hAnsi="Arial"/>
          <w:sz w:val="14"/>
          <w:szCs w:val="14"/>
          <w:color w:val="auto"/>
        </w:rPr>
      </w:pPr>
      <w:r>
        <w:rPr>
          <w:rFonts w:ascii="Arial" w:cs="Arial" w:eastAsia="Arial" w:hAnsi="Arial"/>
          <w:sz w:val="14"/>
          <w:szCs w:val="14"/>
          <w:color w:val="auto"/>
        </w:rPr>
        <w:t>AGGREGATE AMOUNT BENEFICIALLY OWNED BY EACH REPORTING PERSON 1,986,700</w:t>
      </w:r>
    </w:p>
    <w:p>
      <w:pPr>
        <w:spacing w:after="0" w:line="1" w:lineRule="exact"/>
        <w:rPr>
          <w:rFonts w:ascii="Arial" w:cs="Arial" w:eastAsia="Arial" w:hAnsi="Arial"/>
          <w:sz w:val="14"/>
          <w:szCs w:val="14"/>
          <w:color w:val="auto"/>
        </w:rPr>
      </w:pPr>
    </w:p>
    <w:p>
      <w:pPr>
        <w:ind w:left="660" w:right="5179" w:hanging="652"/>
        <w:spacing w:after="0" w:line="318" w:lineRule="auto"/>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CHECK IF THE AGGREGATE AMOUNT IN ROW (9) EXCLUDES CERTAIN SHARES o</w:t>
      </w:r>
    </w:p>
    <w:p>
      <w:pPr>
        <w:spacing w:after="0" w:line="167" w:lineRule="exact"/>
        <w:rPr>
          <w:rFonts w:ascii="Arial" w:cs="Arial" w:eastAsia="Arial" w:hAnsi="Arial"/>
          <w:sz w:val="14"/>
          <w:szCs w:val="14"/>
          <w:color w:val="auto"/>
        </w:rPr>
      </w:pPr>
    </w:p>
    <w:p>
      <w:pPr>
        <w:ind w:left="660" w:right="5219" w:hanging="652"/>
        <w:spacing w:after="0" w:line="593" w:lineRule="auto"/>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PERCENT OF CLASS REPRESENTED BY AMOUNT IN ROW (9) 10.4%</w:t>
      </w:r>
    </w:p>
    <w:p>
      <w:pPr>
        <w:spacing w:after="0" w:line="1" w:lineRule="exact"/>
        <w:rPr>
          <w:rFonts w:ascii="Arial" w:cs="Arial" w:eastAsia="Arial" w:hAnsi="Arial"/>
          <w:sz w:val="14"/>
          <w:szCs w:val="14"/>
          <w:color w:val="auto"/>
        </w:rPr>
      </w:pPr>
    </w:p>
    <w:p>
      <w:pPr>
        <w:ind w:left="660" w:right="7139" w:hanging="652"/>
        <w:spacing w:after="0" w:line="787" w:lineRule="auto"/>
        <w:tabs>
          <w:tab w:leader="none" w:pos="660" w:val="left"/>
        </w:tabs>
        <w:numPr>
          <w:ilvl w:val="0"/>
          <w:numId w:val="5"/>
        </w:numPr>
        <w:rPr>
          <w:rFonts w:ascii="Arial" w:cs="Arial" w:eastAsia="Arial" w:hAnsi="Arial"/>
          <w:sz w:val="12"/>
          <w:szCs w:val="12"/>
          <w:color w:val="auto"/>
        </w:rPr>
      </w:pPr>
      <w:r>
        <w:rPr>
          <w:rFonts w:ascii="Arial" w:cs="Arial" w:eastAsia="Arial" w:hAnsi="Arial"/>
          <w:sz w:val="12"/>
          <w:szCs w:val="12"/>
          <w:color w:val="auto"/>
        </w:rPr>
        <w:t>TYPE OF REPORTING PERSON HC, CO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150495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679"/>
          </w:cols>
          <w:pgMar w:left="780" w:top="345" w:right="1440" w:bottom="1440" w:gutter="0" w:footer="0" w:header="0"/>
        </w:sectPr>
      </w:pPr>
    </w:p>
    <w:bookmarkStart w:id="2" w:name="page3"/>
    <w:bookmarkEnd w:id="2"/>
    <w:p>
      <w:pPr>
        <w:spacing w:after="0"/>
        <w:tabs>
          <w:tab w:leader="none" w:pos="900" w:val="left"/>
          <w:tab w:leader="none" w:pos="4760" w:val="left"/>
          <w:tab w:leader="none" w:pos="8660" w:val="left"/>
        </w:tabs>
        <w:rPr>
          <w:sz w:val="20"/>
          <w:szCs w:val="20"/>
          <w:color w:val="auto"/>
        </w:rPr>
      </w:pPr>
      <w:r>
        <w:rPr>
          <w:rFonts w:ascii="Arial" w:cs="Arial" w:eastAsia="Arial" w:hAnsi="Arial"/>
          <w:sz w:val="14"/>
          <w:szCs w:val="14"/>
          <w:color w:val="auto"/>
        </w:rPr>
        <w:t>CUSIP NO.</w:t>
      </w:r>
      <w:r>
        <w:rPr>
          <w:sz w:val="20"/>
          <w:szCs w:val="20"/>
          <w:color w:val="auto"/>
        </w:rPr>
        <w:tab/>
      </w:r>
      <w:r>
        <w:rPr>
          <w:rFonts w:ascii="Arial" w:cs="Arial" w:eastAsia="Arial" w:hAnsi="Arial"/>
          <w:sz w:val="14"/>
          <w:szCs w:val="14"/>
          <w:color w:val="auto"/>
        </w:rPr>
        <w:t>913543104</w:t>
      </w:r>
      <w:r>
        <w:rPr>
          <w:sz w:val="20"/>
          <w:szCs w:val="20"/>
          <w:color w:val="auto"/>
        </w:rPr>
        <w:tab/>
      </w:r>
      <w:r>
        <w:rPr>
          <w:rFonts w:ascii="Arial" w:cs="Arial" w:eastAsia="Arial" w:hAnsi="Arial"/>
          <w:sz w:val="14"/>
          <w:szCs w:val="14"/>
          <w:color w:val="auto"/>
        </w:rPr>
        <w:t>13G</w:t>
      </w:r>
      <w:r>
        <w:rPr>
          <w:sz w:val="20"/>
          <w:szCs w:val="20"/>
          <w:color w:val="auto"/>
        </w:rPr>
        <w:tab/>
      </w:r>
      <w:r>
        <w:rPr>
          <w:rFonts w:ascii="Arial" w:cs="Arial" w:eastAsia="Arial" w:hAnsi="Arial"/>
          <w:sz w:val="11"/>
          <w:szCs w:val="11"/>
          <w:color w:val="auto"/>
        </w:rPr>
        <w:t>Page 3 of 14</w:t>
      </w:r>
    </w:p>
    <w:p>
      <w:pPr>
        <w:spacing w:after="0" w:line="200" w:lineRule="exact"/>
        <w:rPr>
          <w:sz w:val="20"/>
          <w:szCs w:val="20"/>
          <w:color w:val="auto"/>
        </w:rPr>
      </w:pPr>
    </w:p>
    <w:p>
      <w:pPr>
        <w:spacing w:after="0" w:line="260" w:lineRule="exact"/>
        <w:rPr>
          <w:sz w:val="20"/>
          <w:szCs w:val="20"/>
          <w:color w:val="auto"/>
        </w:rPr>
      </w:pPr>
    </w:p>
    <w:p>
      <w:pPr>
        <w:ind w:left="660" w:right="6899" w:hanging="652"/>
        <w:spacing w:after="0" w:line="603" w:lineRule="auto"/>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NAMES OF REPORTING PERSONS. Charles B. Johnson</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CHECK THE APPROPRIATE BOX IF A MEMBER OF A GROUP</w:t>
      </w:r>
    </w:p>
    <w:p>
      <w:pPr>
        <w:spacing w:after="0" w:line="257" w:lineRule="exact"/>
        <w:rPr>
          <w:rFonts w:ascii="Arial" w:cs="Arial" w:eastAsia="Arial" w:hAnsi="Arial"/>
          <w:sz w:val="14"/>
          <w:szCs w:val="14"/>
          <w:color w:val="auto"/>
        </w:rPr>
      </w:pPr>
    </w:p>
    <w:p>
      <w:pPr>
        <w:spacing w:after="0"/>
        <w:tabs>
          <w:tab w:leader="none" w:pos="0" w:val="left"/>
        </w:tabs>
        <w:numPr>
          <w:ilvl w:val="1"/>
          <w:numId w:val="6"/>
        </w:numPr>
        <w:rPr>
          <w:rFonts w:ascii="Arial" w:cs="Arial" w:eastAsia="Arial" w:hAnsi="Arial"/>
          <w:sz w:val="14"/>
          <w:szCs w:val="14"/>
          <w:color w:val="auto"/>
        </w:rPr>
      </w:pPr>
    </w:p>
    <w:p>
      <w:pPr>
        <w:spacing w:after="0" w:line="14" w:lineRule="exact"/>
        <w:rPr>
          <w:rFonts w:ascii="Arial" w:cs="Arial" w:eastAsia="Arial" w:hAnsi="Arial"/>
          <w:sz w:val="14"/>
          <w:szCs w:val="14"/>
          <w:color w:val="auto"/>
        </w:rPr>
      </w:pPr>
    </w:p>
    <w:p>
      <w:pPr>
        <w:ind w:left="1080" w:hanging="423"/>
        <w:spacing w:after="0"/>
        <w:tabs>
          <w:tab w:leader="none" w:pos="1080" w:val="left"/>
        </w:tabs>
        <w:numPr>
          <w:ilvl w:val="1"/>
          <w:numId w:val="6"/>
        </w:numPr>
        <w:rPr>
          <w:rFonts w:ascii="Arial" w:cs="Arial" w:eastAsia="Arial" w:hAnsi="Arial"/>
          <w:sz w:val="14"/>
          <w:szCs w:val="14"/>
          <w:color w:val="auto"/>
        </w:rPr>
      </w:pPr>
      <w:r>
        <w:rPr>
          <w:rFonts w:ascii="Arial" w:cs="Arial" w:eastAsia="Arial" w:hAnsi="Arial"/>
          <w:sz w:val="14"/>
          <w:szCs w:val="14"/>
          <w:color w:val="auto"/>
        </w:rPr>
        <w:t>X</w:t>
      </w:r>
    </w:p>
    <w:p>
      <w:pPr>
        <w:spacing w:after="0" w:line="325" w:lineRule="exact"/>
        <w:rPr>
          <w:rFonts w:ascii="Arial" w:cs="Arial" w:eastAsia="Arial" w:hAnsi="Arial"/>
          <w:sz w:val="14"/>
          <w:szCs w:val="14"/>
          <w:color w:val="auto"/>
        </w:rPr>
      </w:pPr>
    </w:p>
    <w:p>
      <w:pPr>
        <w:ind w:left="660" w:hanging="652"/>
        <w:spacing w:after="0"/>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SEC USE ONLY</w:t>
      </w:r>
    </w:p>
    <w:p>
      <w:pPr>
        <w:spacing w:after="0" w:line="244" w:lineRule="exact"/>
        <w:rPr>
          <w:rFonts w:ascii="Arial" w:cs="Arial" w:eastAsia="Arial" w:hAnsi="Arial"/>
          <w:sz w:val="14"/>
          <w:szCs w:val="14"/>
          <w:color w:val="auto"/>
        </w:rPr>
      </w:pPr>
    </w:p>
    <w:p>
      <w:pPr>
        <w:ind w:left="660" w:hanging="652"/>
        <w:spacing w:after="0"/>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300" w:right="6979" w:hanging="643"/>
        <w:spacing w:after="0" w:line="593" w:lineRule="auto"/>
        <w:tabs>
          <w:tab w:leader="none" w:pos="1300" w:val="left"/>
        </w:tabs>
        <w:numPr>
          <w:ilvl w:val="1"/>
          <w:numId w:val="7"/>
        </w:numPr>
        <w:rPr>
          <w:rFonts w:ascii="Arial" w:cs="Arial" w:eastAsia="Arial" w:hAnsi="Arial"/>
          <w:sz w:val="14"/>
          <w:szCs w:val="14"/>
          <w:color w:val="auto"/>
        </w:rPr>
      </w:pPr>
      <w:r>
        <w:rPr>
          <w:rFonts w:ascii="Arial" w:cs="Arial" w:eastAsia="Arial" w:hAnsi="Arial"/>
          <w:sz w:val="14"/>
          <w:szCs w:val="14"/>
          <w:color w:val="auto"/>
        </w:rPr>
        <w:t>SOLE VOTING POWER (See Item 4)</w:t>
      </w:r>
    </w:p>
    <w:p>
      <w:pPr>
        <w:spacing w:after="0" w:line="1" w:lineRule="exact"/>
        <w:rPr>
          <w:rFonts w:ascii="Arial" w:cs="Arial" w:eastAsia="Arial" w:hAnsi="Arial"/>
          <w:sz w:val="14"/>
          <w:szCs w:val="14"/>
          <w:color w:val="auto"/>
        </w:rPr>
      </w:pPr>
    </w:p>
    <w:p>
      <w:pPr>
        <w:ind w:left="1300" w:right="6779" w:hanging="643"/>
        <w:spacing w:after="0" w:line="593" w:lineRule="auto"/>
        <w:tabs>
          <w:tab w:leader="none" w:pos="1300" w:val="left"/>
        </w:tabs>
        <w:numPr>
          <w:ilvl w:val="1"/>
          <w:numId w:val="7"/>
        </w:numPr>
        <w:rPr>
          <w:rFonts w:ascii="Arial" w:cs="Arial" w:eastAsia="Arial" w:hAnsi="Arial"/>
          <w:sz w:val="14"/>
          <w:szCs w:val="14"/>
          <w:color w:val="auto"/>
        </w:rPr>
      </w:pPr>
      <w:r>
        <w:rPr>
          <w:rFonts w:ascii="Arial" w:cs="Arial" w:eastAsia="Arial" w:hAnsi="Arial"/>
          <w:sz w:val="14"/>
          <w:szCs w:val="14"/>
          <w:color w:val="auto"/>
        </w:rPr>
        <w:t>SHARED VOTING POWER (See Item 4)</w:t>
      </w:r>
    </w:p>
    <w:p>
      <w:pPr>
        <w:spacing w:after="0" w:line="1" w:lineRule="exact"/>
        <w:rPr>
          <w:rFonts w:ascii="Arial" w:cs="Arial" w:eastAsia="Arial" w:hAnsi="Arial"/>
          <w:sz w:val="14"/>
          <w:szCs w:val="14"/>
          <w:color w:val="auto"/>
        </w:rPr>
      </w:pPr>
    </w:p>
    <w:p>
      <w:pPr>
        <w:ind w:left="1300" w:right="6679" w:hanging="643"/>
        <w:spacing w:after="0" w:line="593" w:lineRule="auto"/>
        <w:tabs>
          <w:tab w:leader="none" w:pos="1300" w:val="left"/>
        </w:tabs>
        <w:numPr>
          <w:ilvl w:val="1"/>
          <w:numId w:val="7"/>
        </w:numPr>
        <w:rPr>
          <w:rFonts w:ascii="Arial" w:cs="Arial" w:eastAsia="Arial" w:hAnsi="Arial"/>
          <w:sz w:val="14"/>
          <w:szCs w:val="14"/>
          <w:color w:val="auto"/>
        </w:rPr>
      </w:pPr>
      <w:r>
        <w:rPr>
          <w:rFonts w:ascii="Arial" w:cs="Arial" w:eastAsia="Arial" w:hAnsi="Arial"/>
          <w:sz w:val="14"/>
          <w:szCs w:val="14"/>
          <w:color w:val="auto"/>
        </w:rPr>
        <w:t>SOLE DISPOSITIVE POWER (See Item 4)</w:t>
      </w:r>
    </w:p>
    <w:p>
      <w:pPr>
        <w:spacing w:after="0" w:line="1" w:lineRule="exact"/>
        <w:rPr>
          <w:rFonts w:ascii="Arial" w:cs="Arial" w:eastAsia="Arial" w:hAnsi="Arial"/>
          <w:sz w:val="14"/>
          <w:szCs w:val="14"/>
          <w:color w:val="auto"/>
        </w:rPr>
      </w:pPr>
    </w:p>
    <w:p>
      <w:pPr>
        <w:ind w:left="1300" w:right="6479" w:hanging="643"/>
        <w:spacing w:after="0" w:line="593" w:lineRule="auto"/>
        <w:tabs>
          <w:tab w:leader="none" w:pos="1300" w:val="left"/>
        </w:tabs>
        <w:numPr>
          <w:ilvl w:val="1"/>
          <w:numId w:val="7"/>
        </w:numPr>
        <w:rPr>
          <w:rFonts w:ascii="Arial" w:cs="Arial" w:eastAsia="Arial" w:hAnsi="Arial"/>
          <w:sz w:val="14"/>
          <w:szCs w:val="14"/>
          <w:color w:val="auto"/>
        </w:rPr>
      </w:pPr>
      <w:r>
        <w:rPr>
          <w:rFonts w:ascii="Arial" w:cs="Arial" w:eastAsia="Arial" w:hAnsi="Arial"/>
          <w:sz w:val="14"/>
          <w:szCs w:val="14"/>
          <w:color w:val="auto"/>
        </w:rPr>
        <w:t>SHARED DISPOSITIVE POWER (See Item 4)</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AGGREGATE AMOUNT BENEFICIALLY OWNED BY EACH REPORTING PERSON</w:t>
      </w:r>
    </w:p>
    <w:p>
      <w:pPr>
        <w:spacing w:after="0" w:line="200" w:lineRule="exact"/>
        <w:rPr>
          <w:rFonts w:ascii="Arial" w:cs="Arial" w:eastAsia="Arial" w:hAnsi="Arial"/>
          <w:sz w:val="14"/>
          <w:szCs w:val="14"/>
          <w:color w:val="auto"/>
        </w:rPr>
      </w:pPr>
    </w:p>
    <w:p>
      <w:pPr>
        <w:spacing w:after="0" w:line="273" w:lineRule="exact"/>
        <w:rPr>
          <w:rFonts w:ascii="Arial" w:cs="Arial" w:eastAsia="Arial" w:hAnsi="Arial"/>
          <w:sz w:val="14"/>
          <w:szCs w:val="14"/>
          <w:color w:val="auto"/>
        </w:rPr>
      </w:pPr>
    </w:p>
    <w:p>
      <w:pPr>
        <w:ind w:left="640"/>
        <w:spacing w:after="0"/>
        <w:rPr>
          <w:rFonts w:ascii="Arial" w:cs="Arial" w:eastAsia="Arial" w:hAnsi="Arial"/>
          <w:sz w:val="14"/>
          <w:szCs w:val="14"/>
          <w:color w:val="auto"/>
        </w:rPr>
      </w:pPr>
      <w:r>
        <w:rPr>
          <w:rFonts w:ascii="Arial" w:cs="Arial" w:eastAsia="Arial" w:hAnsi="Arial"/>
          <w:sz w:val="14"/>
          <w:szCs w:val="14"/>
          <w:color w:val="auto"/>
        </w:rPr>
        <w:t>1,986,700</w:t>
      </w:r>
    </w:p>
    <w:p>
      <w:pPr>
        <w:spacing w:after="0" w:line="217" w:lineRule="exact"/>
        <w:rPr>
          <w:rFonts w:ascii="Arial" w:cs="Arial" w:eastAsia="Arial" w:hAnsi="Arial"/>
          <w:sz w:val="14"/>
          <w:szCs w:val="14"/>
          <w:color w:val="auto"/>
        </w:rPr>
      </w:pPr>
    </w:p>
    <w:p>
      <w:pPr>
        <w:ind w:left="660" w:right="5179" w:hanging="652"/>
        <w:spacing w:after="0" w:line="318"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CHECK IF THE AGGREGATE AMOUNT IN ROW (9) EXCLUDES CERTAIN SHARES o</w:t>
      </w:r>
    </w:p>
    <w:p>
      <w:pPr>
        <w:spacing w:after="0" w:line="167" w:lineRule="exact"/>
        <w:rPr>
          <w:rFonts w:ascii="Arial" w:cs="Arial" w:eastAsia="Arial" w:hAnsi="Arial"/>
          <w:sz w:val="14"/>
          <w:szCs w:val="14"/>
          <w:color w:val="auto"/>
        </w:rPr>
      </w:pPr>
    </w:p>
    <w:p>
      <w:pPr>
        <w:ind w:left="660" w:right="5219" w:hanging="652"/>
        <w:spacing w:after="0" w:line="641"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PERCENT OF CLASS REPRESENTED BY AMOUNT IN ROW (9) 10.4%</w:t>
      </w:r>
    </w:p>
    <w:p>
      <w:pPr>
        <w:spacing w:after="0" w:line="85" w:lineRule="exact"/>
        <w:rPr>
          <w:rFonts w:ascii="Arial" w:cs="Arial" w:eastAsia="Arial" w:hAnsi="Arial"/>
          <w:sz w:val="14"/>
          <w:szCs w:val="14"/>
          <w:color w:val="auto"/>
        </w:rPr>
      </w:pPr>
    </w:p>
    <w:p>
      <w:pPr>
        <w:ind w:left="660" w:right="7139" w:hanging="652"/>
        <w:spacing w:after="0" w:line="641"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TYPE OF REPORTING PERSON 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179070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679"/>
          </w:cols>
          <w:pgMar w:left="780" w:top="345" w:right="1440" w:bottom="1440" w:gutter="0" w:footer="0" w:header="0"/>
        </w:sectPr>
      </w:pPr>
    </w:p>
    <w:bookmarkStart w:id="3" w:name="page4"/>
    <w:bookmarkEnd w:id="3"/>
    <w:p>
      <w:pPr>
        <w:spacing w:after="0"/>
        <w:tabs>
          <w:tab w:leader="none" w:pos="900" w:val="left"/>
          <w:tab w:leader="none" w:pos="4760" w:val="left"/>
          <w:tab w:leader="none" w:pos="8660" w:val="left"/>
        </w:tabs>
        <w:rPr>
          <w:sz w:val="20"/>
          <w:szCs w:val="20"/>
          <w:color w:val="auto"/>
        </w:rPr>
      </w:pPr>
      <w:r>
        <w:rPr>
          <w:rFonts w:ascii="Arial" w:cs="Arial" w:eastAsia="Arial" w:hAnsi="Arial"/>
          <w:sz w:val="14"/>
          <w:szCs w:val="14"/>
          <w:color w:val="auto"/>
        </w:rPr>
        <w:t>CUSIP NO.</w:t>
      </w:r>
      <w:r>
        <w:rPr>
          <w:sz w:val="20"/>
          <w:szCs w:val="20"/>
          <w:color w:val="auto"/>
        </w:rPr>
        <w:tab/>
      </w:r>
      <w:r>
        <w:rPr>
          <w:rFonts w:ascii="Arial" w:cs="Arial" w:eastAsia="Arial" w:hAnsi="Arial"/>
          <w:sz w:val="14"/>
          <w:szCs w:val="14"/>
          <w:color w:val="auto"/>
        </w:rPr>
        <w:t>913543104</w:t>
      </w:r>
      <w:r>
        <w:rPr>
          <w:sz w:val="20"/>
          <w:szCs w:val="20"/>
          <w:color w:val="auto"/>
        </w:rPr>
        <w:tab/>
      </w:r>
      <w:r>
        <w:rPr>
          <w:rFonts w:ascii="Arial" w:cs="Arial" w:eastAsia="Arial" w:hAnsi="Arial"/>
          <w:sz w:val="14"/>
          <w:szCs w:val="14"/>
          <w:color w:val="auto"/>
        </w:rPr>
        <w:t>13G</w:t>
      </w:r>
      <w:r>
        <w:rPr>
          <w:sz w:val="20"/>
          <w:szCs w:val="20"/>
          <w:color w:val="auto"/>
        </w:rPr>
        <w:tab/>
      </w:r>
      <w:r>
        <w:rPr>
          <w:rFonts w:ascii="Arial" w:cs="Arial" w:eastAsia="Arial" w:hAnsi="Arial"/>
          <w:sz w:val="11"/>
          <w:szCs w:val="11"/>
          <w:color w:val="auto"/>
        </w:rPr>
        <w:t>Page 4 of 14</w:t>
      </w:r>
    </w:p>
    <w:p>
      <w:pPr>
        <w:spacing w:after="0" w:line="200" w:lineRule="exact"/>
        <w:rPr>
          <w:sz w:val="20"/>
          <w:szCs w:val="20"/>
          <w:color w:val="auto"/>
        </w:rPr>
      </w:pPr>
    </w:p>
    <w:p>
      <w:pPr>
        <w:spacing w:after="0" w:line="260" w:lineRule="exact"/>
        <w:rPr>
          <w:sz w:val="20"/>
          <w:szCs w:val="20"/>
          <w:color w:val="auto"/>
        </w:rPr>
      </w:pPr>
    </w:p>
    <w:p>
      <w:pPr>
        <w:ind w:left="660" w:right="6899" w:hanging="652"/>
        <w:spacing w:after="0" w:line="704" w:lineRule="auto"/>
        <w:tabs>
          <w:tab w:leader="none" w:pos="660" w:val="left"/>
        </w:tabs>
        <w:numPr>
          <w:ilvl w:val="0"/>
          <w:numId w:val="9"/>
        </w:numPr>
        <w:rPr>
          <w:rFonts w:ascii="Arial" w:cs="Arial" w:eastAsia="Arial" w:hAnsi="Arial"/>
          <w:sz w:val="12"/>
          <w:szCs w:val="12"/>
          <w:color w:val="auto"/>
        </w:rPr>
      </w:pPr>
      <w:r>
        <w:rPr>
          <w:rFonts w:ascii="Arial" w:cs="Arial" w:eastAsia="Arial" w:hAnsi="Arial"/>
          <w:sz w:val="12"/>
          <w:szCs w:val="12"/>
          <w:color w:val="auto"/>
        </w:rPr>
        <w:t>NAMES OF REPORTING PERSONS. Rupert H. Johnson, Jr.</w:t>
      </w:r>
    </w:p>
    <w:p>
      <w:pPr>
        <w:ind w:left="660" w:hanging="652"/>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CHECK THE APPROPRIATE BOX IF A MEMBER OF A GROUP</w:t>
      </w:r>
    </w:p>
    <w:p>
      <w:pPr>
        <w:spacing w:after="0" w:line="257" w:lineRule="exact"/>
        <w:rPr>
          <w:rFonts w:ascii="Arial" w:cs="Arial" w:eastAsia="Arial" w:hAnsi="Arial"/>
          <w:sz w:val="14"/>
          <w:szCs w:val="14"/>
          <w:color w:val="auto"/>
        </w:rPr>
      </w:pPr>
    </w:p>
    <w:p>
      <w:pPr>
        <w:spacing w:after="0"/>
        <w:tabs>
          <w:tab w:leader="none" w:pos="0" w:val="left"/>
        </w:tabs>
        <w:numPr>
          <w:ilvl w:val="1"/>
          <w:numId w:val="9"/>
        </w:numPr>
        <w:rPr>
          <w:rFonts w:ascii="Arial" w:cs="Arial" w:eastAsia="Arial" w:hAnsi="Arial"/>
          <w:sz w:val="14"/>
          <w:szCs w:val="14"/>
          <w:color w:val="auto"/>
        </w:rPr>
      </w:pPr>
    </w:p>
    <w:p>
      <w:pPr>
        <w:spacing w:after="0" w:line="14" w:lineRule="exact"/>
        <w:rPr>
          <w:rFonts w:ascii="Arial" w:cs="Arial" w:eastAsia="Arial" w:hAnsi="Arial"/>
          <w:sz w:val="14"/>
          <w:szCs w:val="14"/>
          <w:color w:val="auto"/>
        </w:rPr>
      </w:pPr>
    </w:p>
    <w:p>
      <w:pPr>
        <w:ind w:left="1080" w:hanging="423"/>
        <w:spacing w:after="0"/>
        <w:tabs>
          <w:tab w:leader="none" w:pos="1080" w:val="left"/>
        </w:tabs>
        <w:numPr>
          <w:ilvl w:val="1"/>
          <w:numId w:val="9"/>
        </w:numPr>
        <w:rPr>
          <w:rFonts w:ascii="Arial" w:cs="Arial" w:eastAsia="Arial" w:hAnsi="Arial"/>
          <w:sz w:val="14"/>
          <w:szCs w:val="14"/>
          <w:color w:val="auto"/>
        </w:rPr>
      </w:pPr>
      <w:r>
        <w:rPr>
          <w:rFonts w:ascii="Arial" w:cs="Arial" w:eastAsia="Arial" w:hAnsi="Arial"/>
          <w:sz w:val="14"/>
          <w:szCs w:val="14"/>
          <w:color w:val="auto"/>
        </w:rPr>
        <w:t>X</w:t>
      </w:r>
    </w:p>
    <w:p>
      <w:pPr>
        <w:spacing w:after="0" w:line="325" w:lineRule="exact"/>
        <w:rPr>
          <w:rFonts w:ascii="Arial" w:cs="Arial" w:eastAsia="Arial" w:hAnsi="Arial"/>
          <w:sz w:val="14"/>
          <w:szCs w:val="14"/>
          <w:color w:val="auto"/>
        </w:rPr>
      </w:pPr>
    </w:p>
    <w:p>
      <w:pPr>
        <w:ind w:left="660" w:hanging="652"/>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SEC USE ONLY</w:t>
      </w:r>
    </w:p>
    <w:p>
      <w:pPr>
        <w:spacing w:after="0" w:line="244" w:lineRule="exact"/>
        <w:rPr>
          <w:rFonts w:ascii="Arial" w:cs="Arial" w:eastAsia="Arial" w:hAnsi="Arial"/>
          <w:sz w:val="14"/>
          <w:szCs w:val="14"/>
          <w:color w:val="auto"/>
        </w:rPr>
      </w:pPr>
    </w:p>
    <w:p>
      <w:pPr>
        <w:ind w:left="660" w:hanging="652"/>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300" w:right="6979" w:hanging="643"/>
        <w:spacing w:after="0" w:line="593" w:lineRule="auto"/>
        <w:tabs>
          <w:tab w:leader="none" w:pos="1300" w:val="left"/>
        </w:tabs>
        <w:numPr>
          <w:ilvl w:val="1"/>
          <w:numId w:val="10"/>
        </w:numPr>
        <w:rPr>
          <w:rFonts w:ascii="Arial" w:cs="Arial" w:eastAsia="Arial" w:hAnsi="Arial"/>
          <w:sz w:val="14"/>
          <w:szCs w:val="14"/>
          <w:color w:val="auto"/>
        </w:rPr>
      </w:pPr>
      <w:r>
        <w:rPr>
          <w:rFonts w:ascii="Arial" w:cs="Arial" w:eastAsia="Arial" w:hAnsi="Arial"/>
          <w:sz w:val="14"/>
          <w:szCs w:val="14"/>
          <w:color w:val="auto"/>
        </w:rPr>
        <w:t>SOLE VOTING POWER (See Item 4)</w:t>
      </w:r>
    </w:p>
    <w:p>
      <w:pPr>
        <w:spacing w:after="0" w:line="1" w:lineRule="exact"/>
        <w:rPr>
          <w:rFonts w:ascii="Arial" w:cs="Arial" w:eastAsia="Arial" w:hAnsi="Arial"/>
          <w:sz w:val="14"/>
          <w:szCs w:val="14"/>
          <w:color w:val="auto"/>
        </w:rPr>
      </w:pPr>
    </w:p>
    <w:p>
      <w:pPr>
        <w:ind w:left="1300" w:right="6779" w:hanging="643"/>
        <w:spacing w:after="0" w:line="593" w:lineRule="auto"/>
        <w:tabs>
          <w:tab w:leader="none" w:pos="1300" w:val="left"/>
        </w:tabs>
        <w:numPr>
          <w:ilvl w:val="1"/>
          <w:numId w:val="10"/>
        </w:numPr>
        <w:rPr>
          <w:rFonts w:ascii="Arial" w:cs="Arial" w:eastAsia="Arial" w:hAnsi="Arial"/>
          <w:sz w:val="14"/>
          <w:szCs w:val="14"/>
          <w:color w:val="auto"/>
        </w:rPr>
      </w:pPr>
      <w:r>
        <w:rPr>
          <w:rFonts w:ascii="Arial" w:cs="Arial" w:eastAsia="Arial" w:hAnsi="Arial"/>
          <w:sz w:val="14"/>
          <w:szCs w:val="14"/>
          <w:color w:val="auto"/>
        </w:rPr>
        <w:t>SHARED VOTING POWER (See Item 4)</w:t>
      </w:r>
    </w:p>
    <w:p>
      <w:pPr>
        <w:spacing w:after="0" w:line="1" w:lineRule="exact"/>
        <w:rPr>
          <w:rFonts w:ascii="Arial" w:cs="Arial" w:eastAsia="Arial" w:hAnsi="Arial"/>
          <w:sz w:val="14"/>
          <w:szCs w:val="14"/>
          <w:color w:val="auto"/>
        </w:rPr>
      </w:pPr>
    </w:p>
    <w:p>
      <w:pPr>
        <w:ind w:left="1300" w:right="6679" w:hanging="643"/>
        <w:spacing w:after="0" w:line="593" w:lineRule="auto"/>
        <w:tabs>
          <w:tab w:leader="none" w:pos="1300" w:val="left"/>
        </w:tabs>
        <w:numPr>
          <w:ilvl w:val="1"/>
          <w:numId w:val="10"/>
        </w:numPr>
        <w:rPr>
          <w:rFonts w:ascii="Arial" w:cs="Arial" w:eastAsia="Arial" w:hAnsi="Arial"/>
          <w:sz w:val="14"/>
          <w:szCs w:val="14"/>
          <w:color w:val="auto"/>
        </w:rPr>
      </w:pPr>
      <w:r>
        <w:rPr>
          <w:rFonts w:ascii="Arial" w:cs="Arial" w:eastAsia="Arial" w:hAnsi="Arial"/>
          <w:sz w:val="14"/>
          <w:szCs w:val="14"/>
          <w:color w:val="auto"/>
        </w:rPr>
        <w:t>SOLE DISPOSITIVE POWER (See Item 4)</w:t>
      </w:r>
    </w:p>
    <w:p>
      <w:pPr>
        <w:spacing w:after="0" w:line="1" w:lineRule="exact"/>
        <w:rPr>
          <w:rFonts w:ascii="Arial" w:cs="Arial" w:eastAsia="Arial" w:hAnsi="Arial"/>
          <w:sz w:val="14"/>
          <w:szCs w:val="14"/>
          <w:color w:val="auto"/>
        </w:rPr>
      </w:pPr>
    </w:p>
    <w:p>
      <w:pPr>
        <w:ind w:left="1300" w:right="6479" w:hanging="643"/>
        <w:spacing w:after="0" w:line="593" w:lineRule="auto"/>
        <w:tabs>
          <w:tab w:leader="none" w:pos="1300" w:val="left"/>
        </w:tabs>
        <w:numPr>
          <w:ilvl w:val="1"/>
          <w:numId w:val="10"/>
        </w:numPr>
        <w:rPr>
          <w:rFonts w:ascii="Arial" w:cs="Arial" w:eastAsia="Arial" w:hAnsi="Arial"/>
          <w:sz w:val="14"/>
          <w:szCs w:val="14"/>
          <w:color w:val="auto"/>
        </w:rPr>
      </w:pPr>
      <w:r>
        <w:rPr>
          <w:rFonts w:ascii="Arial" w:cs="Arial" w:eastAsia="Arial" w:hAnsi="Arial"/>
          <w:sz w:val="14"/>
          <w:szCs w:val="14"/>
          <w:color w:val="auto"/>
        </w:rPr>
        <w:t>SHARED DISPOSITIVE POWER (See Item 4)</w:t>
      </w:r>
    </w:p>
    <w:p>
      <w:pPr>
        <w:spacing w:after="0" w:line="1" w:lineRule="exact"/>
        <w:rPr>
          <w:rFonts w:ascii="Arial" w:cs="Arial" w:eastAsia="Arial" w:hAnsi="Arial"/>
          <w:sz w:val="14"/>
          <w:szCs w:val="14"/>
          <w:color w:val="auto"/>
        </w:rPr>
      </w:pPr>
    </w:p>
    <w:p>
      <w:pPr>
        <w:ind w:left="660" w:right="4099" w:hanging="652"/>
        <w:spacing w:after="0" w:line="593"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AGGREGATE AMOUNT BENEFICIALLY OWNED BY EACH REPORTING PERSON 1,986,700</w:t>
      </w:r>
    </w:p>
    <w:p>
      <w:pPr>
        <w:spacing w:after="0" w:line="1" w:lineRule="exact"/>
        <w:rPr>
          <w:rFonts w:ascii="Arial" w:cs="Arial" w:eastAsia="Arial" w:hAnsi="Arial"/>
          <w:sz w:val="14"/>
          <w:szCs w:val="14"/>
          <w:color w:val="auto"/>
        </w:rPr>
      </w:pPr>
    </w:p>
    <w:p>
      <w:pPr>
        <w:ind w:left="660" w:right="5179" w:hanging="652"/>
        <w:spacing w:after="0" w:line="318"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CHECK IF THE AGGREGATE AMOUNT IN ROW (9) EXCLUDES CERTAIN SHARES o</w:t>
      </w:r>
    </w:p>
    <w:p>
      <w:pPr>
        <w:spacing w:after="0" w:line="167" w:lineRule="exact"/>
        <w:rPr>
          <w:rFonts w:ascii="Arial" w:cs="Arial" w:eastAsia="Arial" w:hAnsi="Arial"/>
          <w:sz w:val="14"/>
          <w:szCs w:val="14"/>
          <w:color w:val="auto"/>
        </w:rPr>
      </w:pPr>
    </w:p>
    <w:p>
      <w:pPr>
        <w:ind w:left="660" w:right="5219" w:hanging="652"/>
        <w:spacing w:after="0" w:line="641"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PERCENT OF CLASS REPRESENTED BY AMOUNT IN ROW (9) 10.4%</w:t>
      </w:r>
    </w:p>
    <w:p>
      <w:pPr>
        <w:spacing w:after="0" w:line="85" w:lineRule="exact"/>
        <w:rPr>
          <w:rFonts w:ascii="Arial" w:cs="Arial" w:eastAsia="Arial" w:hAnsi="Arial"/>
          <w:sz w:val="14"/>
          <w:szCs w:val="14"/>
          <w:color w:val="auto"/>
        </w:rPr>
      </w:pPr>
    </w:p>
    <w:p>
      <w:pPr>
        <w:ind w:left="660" w:right="7139" w:hanging="652"/>
        <w:spacing w:after="0" w:line="641"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TYPE OF REPORTING PERSON 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179070</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679"/>
          </w:cols>
          <w:pgMar w:left="780" w:top="345" w:right="1440" w:bottom="1440" w:gutter="0" w:footer="0" w:header="0"/>
        </w:sectPr>
      </w:pPr>
    </w:p>
    <w:bookmarkStart w:id="4" w:name="page5"/>
    <w:bookmarkEnd w:id="4"/>
    <w:p>
      <w:pPr>
        <w:spacing w:after="0"/>
        <w:tabs>
          <w:tab w:leader="none" w:pos="900" w:val="left"/>
          <w:tab w:leader="none" w:pos="4760" w:val="left"/>
          <w:tab w:leader="none" w:pos="8660" w:val="left"/>
        </w:tabs>
        <w:rPr>
          <w:sz w:val="20"/>
          <w:szCs w:val="20"/>
          <w:color w:val="auto"/>
        </w:rPr>
      </w:pPr>
      <w:r>
        <w:rPr>
          <w:rFonts w:ascii="Arial" w:cs="Arial" w:eastAsia="Arial" w:hAnsi="Arial"/>
          <w:sz w:val="14"/>
          <w:szCs w:val="14"/>
          <w:color w:val="auto"/>
        </w:rPr>
        <w:t>CUSIP NO.</w:t>
      </w:r>
      <w:r>
        <w:rPr>
          <w:sz w:val="20"/>
          <w:szCs w:val="20"/>
          <w:color w:val="auto"/>
        </w:rPr>
        <w:tab/>
      </w:r>
      <w:r>
        <w:rPr>
          <w:rFonts w:ascii="Arial" w:cs="Arial" w:eastAsia="Arial" w:hAnsi="Arial"/>
          <w:sz w:val="14"/>
          <w:szCs w:val="14"/>
          <w:color w:val="auto"/>
        </w:rPr>
        <w:t>913543104</w:t>
      </w:r>
      <w:r>
        <w:rPr>
          <w:sz w:val="20"/>
          <w:szCs w:val="20"/>
          <w:color w:val="auto"/>
        </w:rPr>
        <w:tab/>
      </w:r>
      <w:r>
        <w:rPr>
          <w:rFonts w:ascii="Arial" w:cs="Arial" w:eastAsia="Arial" w:hAnsi="Arial"/>
          <w:sz w:val="14"/>
          <w:szCs w:val="14"/>
          <w:color w:val="auto"/>
        </w:rPr>
        <w:t>13G</w:t>
      </w:r>
      <w:r>
        <w:rPr>
          <w:sz w:val="20"/>
          <w:szCs w:val="20"/>
          <w:color w:val="auto"/>
        </w:rPr>
        <w:tab/>
      </w:r>
      <w:r>
        <w:rPr>
          <w:rFonts w:ascii="Arial" w:cs="Arial" w:eastAsia="Arial" w:hAnsi="Arial"/>
          <w:sz w:val="11"/>
          <w:szCs w:val="11"/>
          <w:color w:val="auto"/>
        </w:rPr>
        <w:t>Page 5 of 14</w:t>
      </w:r>
    </w:p>
    <w:p>
      <w:pPr>
        <w:spacing w:after="0" w:line="200" w:lineRule="exact"/>
        <w:rPr>
          <w:sz w:val="20"/>
          <w:szCs w:val="20"/>
          <w:color w:val="auto"/>
        </w:rPr>
      </w:pPr>
    </w:p>
    <w:p>
      <w:pPr>
        <w:spacing w:after="0" w:line="260" w:lineRule="exact"/>
        <w:rPr>
          <w:sz w:val="20"/>
          <w:szCs w:val="20"/>
          <w:color w:val="auto"/>
        </w:rPr>
      </w:pPr>
    </w:p>
    <w:p>
      <w:pPr>
        <w:ind w:left="720" w:hanging="712"/>
        <w:spacing w:after="0"/>
        <w:tabs>
          <w:tab w:leader="none" w:pos="7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NAMES OF REPORTING PERSONS.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720" w:hanging="712"/>
        <w:spacing w:after="0"/>
        <w:tabs>
          <w:tab w:leader="none" w:pos="7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CHECK THE APPROPRIATE BOX IF A MEMBER OF A GROUP</w:t>
      </w:r>
    </w:p>
    <w:p>
      <w:pPr>
        <w:spacing w:after="0" w:line="258" w:lineRule="exact"/>
        <w:rPr>
          <w:sz w:val="20"/>
          <w:szCs w:val="20"/>
          <w:color w:val="auto"/>
        </w:rPr>
      </w:pPr>
    </w:p>
    <w:p>
      <w:pPr>
        <w:ind w:left="760"/>
        <w:spacing w:after="0"/>
        <w:rPr>
          <w:sz w:val="20"/>
          <w:szCs w:val="20"/>
          <w:color w:val="auto"/>
        </w:rPr>
      </w:pPr>
      <w:r>
        <w:rPr>
          <w:rFonts w:ascii="Arial" w:cs="Arial" w:eastAsia="Arial" w:hAnsi="Arial"/>
          <w:sz w:val="14"/>
          <w:szCs w:val="14"/>
          <w:color w:val="auto"/>
        </w:rPr>
        <w:t>(a)</w:t>
      </w:r>
    </w:p>
    <w:p>
      <w:pPr>
        <w:spacing w:after="0" w:line="15" w:lineRule="exact"/>
        <w:rPr>
          <w:sz w:val="20"/>
          <w:szCs w:val="20"/>
          <w:color w:val="auto"/>
        </w:rPr>
      </w:pPr>
    </w:p>
    <w:p>
      <w:pPr>
        <w:ind w:left="1160" w:hanging="409"/>
        <w:spacing w:after="0"/>
        <w:tabs>
          <w:tab w:leader="none" w:pos="1160" w:val="left"/>
        </w:tabs>
        <w:numPr>
          <w:ilvl w:val="1"/>
          <w:numId w:val="14"/>
        </w:numPr>
        <w:rPr>
          <w:rFonts w:ascii="Arial" w:cs="Arial" w:eastAsia="Arial" w:hAnsi="Arial"/>
          <w:sz w:val="14"/>
          <w:szCs w:val="14"/>
          <w:color w:val="auto"/>
        </w:rPr>
      </w:pPr>
      <w:r>
        <w:rPr>
          <w:rFonts w:ascii="Arial" w:cs="Arial" w:eastAsia="Arial" w:hAnsi="Arial"/>
          <w:sz w:val="14"/>
          <w:szCs w:val="14"/>
          <w:color w:val="auto"/>
        </w:rPr>
        <w:t>X</w:t>
      </w:r>
    </w:p>
    <w:p>
      <w:pPr>
        <w:spacing w:after="0" w:line="325" w:lineRule="exact"/>
        <w:rPr>
          <w:rFonts w:ascii="Arial" w:cs="Arial" w:eastAsia="Arial" w:hAnsi="Arial"/>
          <w:sz w:val="14"/>
          <w:szCs w:val="14"/>
          <w:color w:val="auto"/>
        </w:rPr>
      </w:pPr>
    </w:p>
    <w:p>
      <w:pPr>
        <w:ind w:left="720" w:hanging="712"/>
        <w:spacing w:after="0"/>
        <w:tabs>
          <w:tab w:leader="none" w:pos="7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SEC USE ONLY</w:t>
      </w:r>
    </w:p>
    <w:p>
      <w:pPr>
        <w:spacing w:after="0" w:line="244" w:lineRule="exact"/>
        <w:rPr>
          <w:rFonts w:ascii="Arial" w:cs="Arial" w:eastAsia="Arial" w:hAnsi="Arial"/>
          <w:sz w:val="14"/>
          <w:szCs w:val="14"/>
          <w:color w:val="auto"/>
        </w:rPr>
      </w:pPr>
    </w:p>
    <w:p>
      <w:pPr>
        <w:ind w:left="760" w:right="6199" w:hanging="752"/>
        <w:spacing w:after="0" w:line="641" w:lineRule="auto"/>
        <w:tabs>
          <w:tab w:leader="none" w:pos="733" w:val="left"/>
        </w:tabs>
        <w:numPr>
          <w:ilvl w:val="0"/>
          <w:numId w:val="15"/>
        </w:numPr>
        <w:rPr>
          <w:rFonts w:ascii="Arial" w:cs="Arial" w:eastAsia="Arial" w:hAnsi="Arial"/>
          <w:sz w:val="14"/>
          <w:szCs w:val="14"/>
          <w:color w:val="auto"/>
        </w:rPr>
      </w:pPr>
      <w:r>
        <w:rPr>
          <w:rFonts w:ascii="Arial" w:cs="Arial" w:eastAsia="Arial" w:hAnsi="Arial"/>
          <w:sz w:val="14"/>
          <w:szCs w:val="14"/>
          <w:color w:val="auto"/>
        </w:rPr>
        <w:t>CITIZENSHIP OR PLACE OF ORGANIZATION Delaware</w:t>
      </w:r>
    </w:p>
    <w:p>
      <w:pPr>
        <w:spacing w:after="0" w:line="342" w:lineRule="exact"/>
        <w:rPr>
          <w:sz w:val="20"/>
          <w:szCs w:val="20"/>
          <w:color w:val="auto"/>
        </w:rPr>
      </w:pPr>
    </w:p>
    <w:p>
      <w:pPr>
        <w:ind w:left="1460" w:right="6819" w:hanging="709"/>
        <w:spacing w:after="0" w:line="603" w:lineRule="auto"/>
        <w:tabs>
          <w:tab w:leader="none" w:pos="1460" w:val="left"/>
        </w:tabs>
        <w:numPr>
          <w:ilvl w:val="1"/>
          <w:numId w:val="16"/>
        </w:numPr>
        <w:rPr>
          <w:rFonts w:ascii="Arial" w:cs="Arial" w:eastAsia="Arial" w:hAnsi="Arial"/>
          <w:sz w:val="14"/>
          <w:szCs w:val="14"/>
          <w:color w:val="auto"/>
        </w:rPr>
      </w:pPr>
      <w:r>
        <w:rPr>
          <w:rFonts w:ascii="Arial" w:cs="Arial" w:eastAsia="Arial" w:hAnsi="Arial"/>
          <w:sz w:val="14"/>
          <w:szCs w:val="14"/>
          <w:color w:val="auto"/>
        </w:rPr>
        <w:t>SOLE VOTING POWER 1,924,500</w:t>
      </w:r>
    </w:p>
    <w:p>
      <w:pPr>
        <w:spacing w:after="0" w:line="1" w:lineRule="exact"/>
        <w:rPr>
          <w:rFonts w:ascii="Arial" w:cs="Arial" w:eastAsia="Arial" w:hAnsi="Arial"/>
          <w:sz w:val="14"/>
          <w:szCs w:val="14"/>
          <w:color w:val="auto"/>
        </w:rPr>
      </w:pPr>
    </w:p>
    <w:p>
      <w:pPr>
        <w:ind w:left="1460" w:right="6619" w:hanging="709"/>
        <w:spacing w:after="0" w:line="593" w:lineRule="auto"/>
        <w:tabs>
          <w:tab w:leader="none" w:pos="1460" w:val="left"/>
        </w:tabs>
        <w:numPr>
          <w:ilvl w:val="1"/>
          <w:numId w:val="16"/>
        </w:numPr>
        <w:rPr>
          <w:rFonts w:ascii="Arial" w:cs="Arial" w:eastAsia="Arial" w:hAnsi="Arial"/>
          <w:sz w:val="14"/>
          <w:szCs w:val="14"/>
          <w:color w:val="auto"/>
        </w:rPr>
      </w:pPr>
      <w:r>
        <w:rPr>
          <w:rFonts w:ascii="Arial" w:cs="Arial" w:eastAsia="Arial" w:hAnsi="Arial"/>
          <w:sz w:val="14"/>
          <w:szCs w:val="14"/>
          <w:color w:val="auto"/>
        </w:rPr>
        <w:t>SHARED VOTING POWER 0</w:t>
      </w:r>
    </w:p>
    <w:p>
      <w:pPr>
        <w:spacing w:after="0" w:line="1" w:lineRule="exact"/>
        <w:rPr>
          <w:rFonts w:ascii="Arial" w:cs="Arial" w:eastAsia="Arial" w:hAnsi="Arial"/>
          <w:sz w:val="14"/>
          <w:szCs w:val="14"/>
          <w:color w:val="auto"/>
        </w:rPr>
      </w:pPr>
    </w:p>
    <w:p>
      <w:pPr>
        <w:ind w:left="1460" w:right="6519" w:hanging="709"/>
        <w:spacing w:after="0" w:line="603" w:lineRule="auto"/>
        <w:tabs>
          <w:tab w:leader="none" w:pos="1460" w:val="left"/>
        </w:tabs>
        <w:numPr>
          <w:ilvl w:val="1"/>
          <w:numId w:val="16"/>
        </w:numPr>
        <w:rPr>
          <w:rFonts w:ascii="Arial" w:cs="Arial" w:eastAsia="Arial" w:hAnsi="Arial"/>
          <w:sz w:val="14"/>
          <w:szCs w:val="14"/>
          <w:color w:val="auto"/>
        </w:rPr>
      </w:pPr>
      <w:r>
        <w:rPr>
          <w:rFonts w:ascii="Arial" w:cs="Arial" w:eastAsia="Arial" w:hAnsi="Arial"/>
          <w:sz w:val="14"/>
          <w:szCs w:val="14"/>
          <w:color w:val="auto"/>
        </w:rPr>
        <w:t>SOLE DISPOSITIVE POWER 1,986,700</w:t>
      </w:r>
    </w:p>
    <w:p>
      <w:pPr>
        <w:spacing w:after="0" w:line="1" w:lineRule="exact"/>
        <w:rPr>
          <w:rFonts w:ascii="Arial" w:cs="Arial" w:eastAsia="Arial" w:hAnsi="Arial"/>
          <w:sz w:val="14"/>
          <w:szCs w:val="14"/>
          <w:color w:val="auto"/>
        </w:rPr>
      </w:pPr>
    </w:p>
    <w:p>
      <w:pPr>
        <w:ind w:left="1460" w:right="6319" w:hanging="709"/>
        <w:spacing w:after="0" w:line="593" w:lineRule="auto"/>
        <w:tabs>
          <w:tab w:leader="none" w:pos="1460" w:val="left"/>
        </w:tabs>
        <w:numPr>
          <w:ilvl w:val="1"/>
          <w:numId w:val="16"/>
        </w:numPr>
        <w:rPr>
          <w:rFonts w:ascii="Arial" w:cs="Arial" w:eastAsia="Arial" w:hAnsi="Arial"/>
          <w:sz w:val="14"/>
          <w:szCs w:val="14"/>
          <w:color w:val="auto"/>
        </w:rPr>
      </w:pPr>
      <w:r>
        <w:rPr>
          <w:rFonts w:ascii="Arial" w:cs="Arial" w:eastAsia="Arial" w:hAnsi="Arial"/>
          <w:sz w:val="14"/>
          <w:szCs w:val="14"/>
          <w:color w:val="auto"/>
        </w:rPr>
        <w:t>SHARED DISPOSITIVE POWER 0</w:t>
      </w:r>
    </w:p>
    <w:p>
      <w:pPr>
        <w:spacing w:after="0" w:line="1" w:lineRule="exact"/>
        <w:rPr>
          <w:rFonts w:ascii="Arial" w:cs="Arial" w:eastAsia="Arial" w:hAnsi="Arial"/>
          <w:sz w:val="14"/>
          <w:szCs w:val="14"/>
          <w:color w:val="auto"/>
        </w:rPr>
      </w:pPr>
    </w:p>
    <w:p>
      <w:pPr>
        <w:ind w:left="720" w:hanging="712"/>
        <w:spacing w:after="0"/>
        <w:tabs>
          <w:tab w:leader="none" w:pos="7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AGGREGATE AMOUNT BENEFICIALLY OWNED BY EACH REPORTING PERSON</w:t>
      </w:r>
    </w:p>
    <w:p>
      <w:pPr>
        <w:spacing w:after="0" w:line="258" w:lineRule="exact"/>
        <w:rPr>
          <w:sz w:val="20"/>
          <w:szCs w:val="20"/>
          <w:color w:val="auto"/>
        </w:rPr>
      </w:pPr>
    </w:p>
    <w:p>
      <w:pPr>
        <w:ind w:left="760"/>
        <w:spacing w:after="0"/>
        <w:rPr>
          <w:sz w:val="20"/>
          <w:szCs w:val="20"/>
          <w:color w:val="auto"/>
        </w:rPr>
      </w:pPr>
      <w:r>
        <w:rPr>
          <w:rFonts w:ascii="Arial" w:cs="Arial" w:eastAsia="Arial" w:hAnsi="Arial"/>
          <w:sz w:val="14"/>
          <w:szCs w:val="14"/>
          <w:color w:val="auto"/>
        </w:rPr>
        <w:t>1,986,700</w:t>
      </w:r>
    </w:p>
    <w:p>
      <w:pPr>
        <w:spacing w:after="0" w:line="217" w:lineRule="exact"/>
        <w:rPr>
          <w:sz w:val="20"/>
          <w:szCs w:val="20"/>
          <w:color w:val="auto"/>
        </w:rPr>
      </w:pPr>
    </w:p>
    <w:p>
      <w:pPr>
        <w:ind w:left="760" w:right="5119" w:hanging="752"/>
        <w:spacing w:after="0" w:line="318" w:lineRule="auto"/>
        <w:tabs>
          <w:tab w:leader="none" w:pos="733" w:val="left"/>
        </w:tabs>
        <w:numPr>
          <w:ilvl w:val="0"/>
          <w:numId w:val="18"/>
        </w:numPr>
        <w:rPr>
          <w:rFonts w:ascii="Arial" w:cs="Arial" w:eastAsia="Arial" w:hAnsi="Arial"/>
          <w:sz w:val="14"/>
          <w:szCs w:val="14"/>
          <w:color w:val="auto"/>
        </w:rPr>
      </w:pPr>
      <w:r>
        <w:rPr>
          <w:rFonts w:ascii="Arial" w:cs="Arial" w:eastAsia="Arial" w:hAnsi="Arial"/>
          <w:sz w:val="14"/>
          <w:szCs w:val="14"/>
          <w:color w:val="auto"/>
        </w:rPr>
        <w:t>CHECK IF THE AGGREGATE AMOUNT IN ROW (9) EXCLUDES CERTAIN SHARES o</w:t>
      </w:r>
    </w:p>
    <w:p>
      <w:pPr>
        <w:spacing w:after="0" w:line="167" w:lineRule="exact"/>
        <w:rPr>
          <w:rFonts w:ascii="Arial" w:cs="Arial" w:eastAsia="Arial" w:hAnsi="Arial"/>
          <w:sz w:val="14"/>
          <w:szCs w:val="14"/>
          <w:color w:val="auto"/>
        </w:rPr>
      </w:pPr>
    </w:p>
    <w:p>
      <w:pPr>
        <w:ind w:left="720" w:hanging="712"/>
        <w:spacing w:after="0"/>
        <w:tabs>
          <w:tab w:leader="none" w:pos="7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PERCENT OF CLASS REPRESENTED BY AMOUNT IN ROW (9)</w:t>
      </w:r>
    </w:p>
    <w:p>
      <w:pPr>
        <w:spacing w:after="0" w:line="258" w:lineRule="exact"/>
        <w:rPr>
          <w:sz w:val="20"/>
          <w:szCs w:val="20"/>
          <w:color w:val="auto"/>
        </w:rPr>
      </w:pPr>
    </w:p>
    <w:p>
      <w:pPr>
        <w:ind w:left="760"/>
        <w:spacing w:after="0"/>
        <w:rPr>
          <w:sz w:val="20"/>
          <w:szCs w:val="20"/>
          <w:color w:val="auto"/>
        </w:rPr>
      </w:pPr>
      <w:r>
        <w:rPr>
          <w:rFonts w:ascii="Arial" w:cs="Arial" w:eastAsia="Arial" w:hAnsi="Arial"/>
          <w:sz w:val="14"/>
          <w:szCs w:val="14"/>
          <w:color w:val="auto"/>
        </w:rPr>
        <w:t>10.4%</w:t>
      </w:r>
    </w:p>
    <w:p>
      <w:pPr>
        <w:spacing w:after="0" w:line="217" w:lineRule="exact"/>
        <w:rPr>
          <w:sz w:val="20"/>
          <w:szCs w:val="20"/>
          <w:color w:val="auto"/>
        </w:rPr>
      </w:pPr>
    </w:p>
    <w:p>
      <w:pPr>
        <w:ind w:left="760" w:right="7079" w:hanging="752"/>
        <w:spacing w:after="0" w:line="787" w:lineRule="auto"/>
        <w:tabs>
          <w:tab w:leader="none" w:pos="733" w:val="left"/>
        </w:tabs>
        <w:numPr>
          <w:ilvl w:val="0"/>
          <w:numId w:val="19"/>
        </w:numPr>
        <w:rPr>
          <w:rFonts w:ascii="Arial" w:cs="Arial" w:eastAsia="Arial" w:hAnsi="Arial"/>
          <w:sz w:val="12"/>
          <w:szCs w:val="12"/>
          <w:color w:val="auto"/>
        </w:rPr>
      </w:pPr>
      <w:r>
        <w:rPr>
          <w:rFonts w:ascii="Arial" w:cs="Arial" w:eastAsia="Arial" w:hAnsi="Arial"/>
          <w:sz w:val="12"/>
          <w:szCs w:val="12"/>
          <w:color w:val="auto"/>
        </w:rPr>
        <w:t>TYPE OF REPORTING PERSON IA, OO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150495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679"/>
          </w:cols>
          <w:pgMar w:left="780" w:top="345" w:right="1440" w:bottom="1440" w:gutter="0" w:footer="0" w:header="0"/>
        </w:sectPr>
      </w:pPr>
    </w:p>
    <w:bookmarkStart w:id="5" w:name="page6"/>
    <w:bookmarkEnd w:id="5"/>
    <w:p>
      <w:pPr>
        <w:spacing w:after="0"/>
        <w:tabs>
          <w:tab w:leader="none" w:pos="900" w:val="left"/>
          <w:tab w:leader="none" w:pos="4760" w:val="left"/>
          <w:tab w:leader="none" w:pos="8660" w:val="left"/>
        </w:tabs>
        <w:rPr>
          <w:sz w:val="20"/>
          <w:szCs w:val="20"/>
          <w:color w:val="auto"/>
        </w:rPr>
      </w:pPr>
      <w:r>
        <w:rPr>
          <w:rFonts w:ascii="Arial" w:cs="Arial" w:eastAsia="Arial" w:hAnsi="Arial"/>
          <w:sz w:val="14"/>
          <w:szCs w:val="14"/>
          <w:color w:val="auto"/>
        </w:rPr>
        <w:t>CUSIP NO.</w:t>
      </w:r>
      <w:r>
        <w:rPr>
          <w:sz w:val="20"/>
          <w:szCs w:val="20"/>
          <w:color w:val="auto"/>
        </w:rPr>
        <w:tab/>
      </w:r>
      <w:r>
        <w:rPr>
          <w:rFonts w:ascii="Arial" w:cs="Arial" w:eastAsia="Arial" w:hAnsi="Arial"/>
          <w:sz w:val="14"/>
          <w:szCs w:val="14"/>
          <w:color w:val="auto"/>
        </w:rPr>
        <w:t>913543104</w:t>
      </w:r>
      <w:r>
        <w:rPr>
          <w:sz w:val="20"/>
          <w:szCs w:val="20"/>
          <w:color w:val="auto"/>
        </w:rPr>
        <w:tab/>
      </w:r>
      <w:r>
        <w:rPr>
          <w:rFonts w:ascii="Arial" w:cs="Arial" w:eastAsia="Arial" w:hAnsi="Arial"/>
          <w:sz w:val="14"/>
          <w:szCs w:val="14"/>
          <w:color w:val="auto"/>
        </w:rPr>
        <w:t>13G</w:t>
      </w:r>
      <w:r>
        <w:rPr>
          <w:sz w:val="20"/>
          <w:szCs w:val="20"/>
          <w:color w:val="auto"/>
        </w:rPr>
        <w:tab/>
      </w:r>
      <w:r>
        <w:rPr>
          <w:rFonts w:ascii="Arial" w:cs="Arial" w:eastAsia="Arial" w:hAnsi="Arial"/>
          <w:sz w:val="11"/>
          <w:szCs w:val="11"/>
          <w:color w:val="auto"/>
        </w:rPr>
        <w:t>Page 6 of 14</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color w:val="auto"/>
        </w:rPr>
        <w:t>Item 1.</w:t>
      </w:r>
    </w:p>
    <w:p>
      <w:pPr>
        <w:spacing w:after="0" w:line="231" w:lineRule="exact"/>
        <w:rPr>
          <w:sz w:val="20"/>
          <w:szCs w:val="20"/>
          <w:color w:val="auto"/>
        </w:rPr>
      </w:pPr>
    </w:p>
    <w:p>
      <w:pPr>
        <w:ind w:left="680" w:hanging="672"/>
        <w:spacing w:after="0"/>
        <w:tabs>
          <w:tab w:leader="none" w:pos="6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Name of Issuer</w:t>
      </w:r>
    </w:p>
    <w:p>
      <w:pPr>
        <w:spacing w:after="0" w:line="257" w:lineRule="exact"/>
        <w:rPr>
          <w:rFonts w:ascii="Arial" w:cs="Arial" w:eastAsia="Arial" w:hAnsi="Arial"/>
          <w:sz w:val="14"/>
          <w:szCs w:val="14"/>
          <w:color w:val="auto"/>
        </w:rPr>
      </w:pPr>
    </w:p>
    <w:p>
      <w:pPr>
        <w:ind w:left="680"/>
        <w:spacing w:after="0"/>
        <w:rPr>
          <w:rFonts w:ascii="Arial" w:cs="Arial" w:eastAsia="Arial" w:hAnsi="Arial"/>
          <w:sz w:val="14"/>
          <w:szCs w:val="14"/>
          <w:color w:val="auto"/>
        </w:rPr>
      </w:pPr>
      <w:r>
        <w:rPr>
          <w:rFonts w:ascii="Arial" w:cs="Arial" w:eastAsia="Arial" w:hAnsi="Arial"/>
          <w:sz w:val="14"/>
          <w:szCs w:val="14"/>
          <w:color w:val="auto"/>
        </w:rPr>
        <w:t>UNIVERSAL FOREST PRODUCTS, INC.</w:t>
      </w:r>
    </w:p>
    <w:p>
      <w:pPr>
        <w:spacing w:after="0" w:line="217" w:lineRule="exact"/>
        <w:rPr>
          <w:rFonts w:ascii="Arial" w:cs="Arial" w:eastAsia="Arial" w:hAnsi="Arial"/>
          <w:sz w:val="14"/>
          <w:szCs w:val="14"/>
          <w:color w:val="auto"/>
        </w:rPr>
      </w:pPr>
    </w:p>
    <w:p>
      <w:pPr>
        <w:ind w:left="680" w:hanging="672"/>
        <w:spacing w:after="0"/>
        <w:tabs>
          <w:tab w:leader="none" w:pos="6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Address of Issuer's Principal Executive Offices</w:t>
      </w:r>
    </w:p>
    <w:p>
      <w:pPr>
        <w:spacing w:after="0" w:line="257" w:lineRule="exact"/>
        <w:rPr>
          <w:rFonts w:ascii="Arial" w:cs="Arial" w:eastAsia="Arial" w:hAnsi="Arial"/>
          <w:sz w:val="14"/>
          <w:szCs w:val="14"/>
          <w:color w:val="auto"/>
        </w:rPr>
      </w:pPr>
    </w:p>
    <w:p>
      <w:pPr>
        <w:ind w:left="680" w:right="7659"/>
        <w:spacing w:after="0" w:line="435" w:lineRule="auto"/>
        <w:rPr>
          <w:rFonts w:ascii="Arial" w:cs="Arial" w:eastAsia="Arial" w:hAnsi="Arial"/>
          <w:sz w:val="14"/>
          <w:szCs w:val="14"/>
          <w:color w:val="auto"/>
        </w:rPr>
      </w:pPr>
      <w:r>
        <w:rPr>
          <w:rFonts w:ascii="Arial" w:cs="Arial" w:eastAsia="Arial" w:hAnsi="Arial"/>
          <w:sz w:val="12"/>
          <w:szCs w:val="12"/>
          <w:color w:val="auto"/>
        </w:rPr>
        <w:t>2801 East Beltline NE Grand Rapids, MI 49525</w:t>
      </w: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color w:val="auto"/>
        </w:rPr>
        <w:t>Item 2.</w:t>
      </w:r>
    </w:p>
    <w:p>
      <w:pPr>
        <w:spacing w:after="0" w:line="231" w:lineRule="exact"/>
        <w:rPr>
          <w:sz w:val="20"/>
          <w:szCs w:val="20"/>
          <w:color w:val="auto"/>
        </w:rPr>
      </w:pPr>
    </w:p>
    <w:p>
      <w:pPr>
        <w:ind w:left="680" w:hanging="672"/>
        <w:spacing w:after="0"/>
        <w:tabs>
          <w:tab w:leader="none" w:pos="6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Name of Person Filing</w:t>
      </w:r>
    </w:p>
    <w:p>
      <w:pPr>
        <w:sectPr>
          <w:pgSz w:w="11900" w:h="16838" w:orient="portrait"/>
          <w:cols w:equalWidth="0" w:num="1">
            <w:col w:w="9679"/>
          </w:cols>
          <w:pgMar w:left="780" w:top="345" w:right="1440" w:bottom="1440" w:gutter="0" w:footer="0" w:header="0"/>
        </w:sectPr>
      </w:pPr>
    </w:p>
    <w:p>
      <w:pPr>
        <w:spacing w:after="0" w:line="244" w:lineRule="exact"/>
        <w:rPr>
          <w:sz w:val="20"/>
          <w:szCs w:val="20"/>
          <w:color w:val="auto"/>
        </w:rPr>
      </w:pPr>
    </w:p>
    <w:p>
      <w:pPr>
        <w:ind w:left="680"/>
        <w:spacing w:after="0"/>
        <w:rPr>
          <w:sz w:val="20"/>
          <w:szCs w:val="20"/>
          <w:color w:val="auto"/>
        </w:rPr>
      </w:pPr>
      <w:r>
        <w:rPr>
          <w:rFonts w:ascii="Arial" w:cs="Arial" w:eastAsia="Arial" w:hAnsi="Arial"/>
          <w:sz w:val="12"/>
          <w:szCs w:val="12"/>
          <w:color w:val="auto"/>
        </w:rPr>
        <w:t>(i):</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2"/>
          <w:szCs w:val="12"/>
          <w:color w:val="auto"/>
        </w:rPr>
        <w:t>Franklin Resources, Inc.</w:t>
      </w:r>
    </w:p>
    <w:p>
      <w:pPr>
        <w:spacing w:after="0" w:line="200" w:lineRule="exact"/>
        <w:rPr>
          <w:sz w:val="20"/>
          <w:szCs w:val="20"/>
          <w:color w:val="auto"/>
        </w:rPr>
      </w:pPr>
    </w:p>
    <w:p>
      <w:pPr>
        <w:sectPr>
          <w:pgSz w:w="11900" w:h="16838" w:orient="portrait"/>
          <w:cols w:equalWidth="0" w:num="2">
            <w:col w:w="840" w:space="580"/>
            <w:col w:w="8259"/>
          </w:cols>
          <w:pgMar w:left="780" w:top="345" w:right="1440" w:bottom="1440" w:gutter="0" w:footer="0" w:header="0"/>
          <w:type w:val="continuous"/>
        </w:sectPr>
      </w:pPr>
    </w:p>
    <w:p>
      <w:pPr>
        <w:spacing w:after="0" w:line="67" w:lineRule="exact"/>
        <w:rPr>
          <w:sz w:val="20"/>
          <w:szCs w:val="20"/>
          <w:color w:val="auto"/>
        </w:rPr>
      </w:pPr>
    </w:p>
    <w:p>
      <w:pPr>
        <w:ind w:left="680"/>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Arial" w:cs="Arial" w:eastAsia="Arial" w:hAnsi="Arial"/>
          <w:sz w:val="12"/>
          <w:szCs w:val="12"/>
          <w:color w:val="auto"/>
        </w:rPr>
        <w:t>Charles B. Johnson</w:t>
      </w:r>
    </w:p>
    <w:p>
      <w:pPr>
        <w:spacing w:after="0" w:line="223" w:lineRule="exact"/>
        <w:rPr>
          <w:sz w:val="20"/>
          <w:szCs w:val="20"/>
          <w:color w:val="auto"/>
        </w:rPr>
      </w:pPr>
    </w:p>
    <w:p>
      <w:pPr>
        <w:sectPr>
          <w:pgSz w:w="11900" w:h="16838" w:orient="portrait"/>
          <w:cols w:equalWidth="0" w:num="2">
            <w:col w:w="880" w:space="540"/>
            <w:col w:w="8259"/>
          </w:cols>
          <w:pgMar w:left="780" w:top="345" w:right="1440" w:bottom="1440" w:gutter="0" w:footer="0" w:header="0"/>
          <w:type w:val="continuous"/>
        </w:sectPr>
      </w:pPr>
    </w:p>
    <w:p>
      <w:pPr>
        <w:spacing w:after="0" w:line="44" w:lineRule="exact"/>
        <w:rPr>
          <w:sz w:val="20"/>
          <w:szCs w:val="20"/>
          <w:color w:val="auto"/>
        </w:rPr>
      </w:pPr>
    </w:p>
    <w:p>
      <w:pPr>
        <w:ind w:left="680"/>
        <w:spacing w:after="0"/>
        <w:rPr>
          <w:sz w:val="20"/>
          <w:szCs w:val="20"/>
          <w:color w:val="auto"/>
        </w:rPr>
      </w:pPr>
      <w:r>
        <w:rPr>
          <w:rFonts w:ascii="Arial" w:cs="Arial" w:eastAsia="Arial" w:hAnsi="Arial"/>
          <w:sz w:val="14"/>
          <w:szCs w:val="14"/>
          <w:color w:val="auto"/>
        </w:rPr>
        <w:t>(iii):</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1"/>
          <w:szCs w:val="11"/>
          <w:color w:val="auto"/>
        </w:rPr>
        <w:t>Rupert H. Johnson, Jr.</w:t>
      </w:r>
    </w:p>
    <w:p>
      <w:pPr>
        <w:spacing w:after="0" w:line="234" w:lineRule="exact"/>
        <w:rPr>
          <w:sz w:val="20"/>
          <w:szCs w:val="20"/>
          <w:color w:val="auto"/>
        </w:rPr>
      </w:pPr>
    </w:p>
    <w:p>
      <w:pPr>
        <w:sectPr>
          <w:pgSz w:w="11900" w:h="16838" w:orient="portrait"/>
          <w:cols w:equalWidth="0" w:num="2">
            <w:col w:w="920" w:space="500"/>
            <w:col w:w="8259"/>
          </w:cols>
          <w:pgMar w:left="780" w:top="345" w:right="1440" w:bottom="1440" w:gutter="0" w:footer="0" w:header="0"/>
          <w:type w:val="continuous"/>
        </w:sectPr>
      </w:pPr>
    </w:p>
    <w:p>
      <w:pPr>
        <w:spacing w:after="0" w:line="44" w:lineRule="exact"/>
        <w:rPr>
          <w:sz w:val="20"/>
          <w:szCs w:val="20"/>
          <w:color w:val="auto"/>
        </w:rPr>
      </w:pPr>
    </w:p>
    <w:p>
      <w:pPr>
        <w:ind w:left="680"/>
        <w:spacing w:after="0"/>
        <w:rPr>
          <w:sz w:val="20"/>
          <w:szCs w:val="20"/>
          <w:color w:val="auto"/>
        </w:rPr>
      </w:pPr>
      <w:r>
        <w:rPr>
          <w:rFonts w:ascii="Arial" w:cs="Arial" w:eastAsia="Arial" w:hAnsi="Arial"/>
          <w:sz w:val="12"/>
          <w:szCs w:val="12"/>
          <w:color w:val="auto"/>
        </w:rPr>
        <w:t>(iv):</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2"/>
          <w:szCs w:val="12"/>
          <w:color w:val="auto"/>
        </w:rPr>
        <w:t>Franklin Advisory Services, LLC</w:t>
      </w:r>
    </w:p>
    <w:p>
      <w:pPr>
        <w:spacing w:after="0" w:line="200" w:lineRule="exact"/>
        <w:rPr>
          <w:sz w:val="20"/>
          <w:szCs w:val="20"/>
          <w:color w:val="auto"/>
        </w:rPr>
      </w:pPr>
    </w:p>
    <w:p>
      <w:pPr>
        <w:sectPr>
          <w:pgSz w:w="11900" w:h="16838" w:orient="portrait"/>
          <w:cols w:equalWidth="0" w:num="2">
            <w:col w:w="900" w:space="520"/>
            <w:col w:w="8259"/>
          </w:cols>
          <w:pgMar w:left="780" w:top="345" w:right="1440" w:bottom="1440" w:gutter="0" w:footer="0" w:header="0"/>
          <w:type w:val="continuous"/>
        </w:sectPr>
      </w:pPr>
    </w:p>
    <w:p>
      <w:pPr>
        <w:spacing w:after="0" w:line="54"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2"/>
          <w:szCs w:val="12"/>
          <w:color w:val="auto"/>
        </w:rPr>
      </w:pPr>
      <w:r>
        <w:rPr>
          <w:rFonts w:ascii="Arial" w:cs="Arial" w:eastAsia="Arial" w:hAnsi="Arial"/>
          <w:sz w:val="12"/>
          <w:szCs w:val="12"/>
          <w:color w:val="auto"/>
        </w:rPr>
        <w:t>Address of Principal Business Office or, if none, Residence</w:t>
      </w:r>
    </w:p>
    <w:p>
      <w:pPr>
        <w:spacing w:after="0" w:line="280" w:lineRule="exact"/>
        <w:rPr>
          <w:rFonts w:ascii="Arial" w:cs="Arial" w:eastAsia="Arial" w:hAnsi="Arial"/>
          <w:sz w:val="12"/>
          <w:szCs w:val="12"/>
          <w:color w:val="auto"/>
        </w:rPr>
      </w:pPr>
    </w:p>
    <w:p>
      <w:pPr>
        <w:ind w:left="660"/>
        <w:spacing w:after="0"/>
        <w:rPr>
          <w:rFonts w:ascii="Arial" w:cs="Arial" w:eastAsia="Arial" w:hAnsi="Arial"/>
          <w:sz w:val="12"/>
          <w:szCs w:val="12"/>
          <w:color w:val="auto"/>
        </w:rPr>
      </w:pPr>
      <w:r>
        <w:rPr>
          <w:rFonts w:ascii="Arial" w:cs="Arial" w:eastAsia="Arial" w:hAnsi="Arial"/>
          <w:sz w:val="14"/>
          <w:szCs w:val="14"/>
          <w:color w:val="auto"/>
        </w:rPr>
        <w:t>(i), (ii), and (iii):</w:t>
      </w:r>
    </w:p>
    <w:p>
      <w:pPr>
        <w:spacing w:after="0" w:line="82" w:lineRule="exact"/>
        <w:rPr>
          <w:rFonts w:ascii="Arial" w:cs="Arial" w:eastAsia="Arial" w:hAnsi="Arial"/>
          <w:sz w:val="12"/>
          <w:szCs w:val="12"/>
          <w:color w:val="auto"/>
        </w:rPr>
      </w:pPr>
    </w:p>
    <w:p>
      <w:pPr>
        <w:ind w:left="660"/>
        <w:spacing w:after="0"/>
        <w:rPr>
          <w:rFonts w:ascii="Arial" w:cs="Arial" w:eastAsia="Arial" w:hAnsi="Arial"/>
          <w:sz w:val="12"/>
          <w:szCs w:val="12"/>
          <w:color w:val="auto"/>
        </w:rPr>
      </w:pPr>
      <w:r>
        <w:rPr>
          <w:rFonts w:ascii="Arial" w:cs="Arial" w:eastAsia="Arial" w:hAnsi="Arial"/>
          <w:sz w:val="14"/>
          <w:szCs w:val="14"/>
          <w:color w:val="auto"/>
        </w:rPr>
        <w:t>One Franklin Parkway</w:t>
      </w:r>
    </w:p>
    <w:p>
      <w:pPr>
        <w:spacing w:after="0" w:line="68" w:lineRule="exact"/>
        <w:rPr>
          <w:rFonts w:ascii="Arial" w:cs="Arial" w:eastAsia="Arial" w:hAnsi="Arial"/>
          <w:sz w:val="12"/>
          <w:szCs w:val="12"/>
          <w:color w:val="auto"/>
        </w:rPr>
      </w:pPr>
    </w:p>
    <w:p>
      <w:pPr>
        <w:ind w:left="660"/>
        <w:spacing w:after="0"/>
        <w:rPr>
          <w:rFonts w:ascii="Arial" w:cs="Arial" w:eastAsia="Arial" w:hAnsi="Arial"/>
          <w:sz w:val="12"/>
          <w:szCs w:val="12"/>
          <w:color w:val="auto"/>
        </w:rPr>
      </w:pPr>
      <w:r>
        <w:rPr>
          <w:rFonts w:ascii="Arial" w:cs="Arial" w:eastAsia="Arial" w:hAnsi="Arial"/>
          <w:sz w:val="14"/>
          <w:szCs w:val="14"/>
          <w:color w:val="auto"/>
        </w:rPr>
        <w:t>San Mateo, CA 94403-1906</w:t>
      </w:r>
    </w:p>
    <w:p>
      <w:pPr>
        <w:sectPr>
          <w:pgSz w:w="11900" w:h="16838" w:orient="portrait"/>
          <w:cols w:equalWidth="0" w:num="1">
            <w:col w:w="9679"/>
          </w:cols>
          <w:pgMar w:left="780" w:top="345" w:right="1440" w:bottom="1440" w:gutter="0" w:footer="0" w:header="0"/>
          <w:type w:val="continuous"/>
        </w:sectPr>
      </w:pPr>
    </w:p>
    <w:p>
      <w:pPr>
        <w:spacing w:after="0" w:line="231" w:lineRule="exact"/>
        <w:rPr>
          <w:sz w:val="20"/>
          <w:szCs w:val="20"/>
          <w:color w:val="auto"/>
        </w:rPr>
      </w:pPr>
    </w:p>
    <w:p>
      <w:pPr>
        <w:ind w:left="620"/>
        <w:spacing w:after="0"/>
        <w:rPr>
          <w:sz w:val="20"/>
          <w:szCs w:val="20"/>
          <w:color w:val="auto"/>
        </w:rPr>
      </w:pPr>
      <w:r>
        <w:rPr>
          <w:rFonts w:ascii="Arial" w:cs="Arial" w:eastAsia="Arial" w:hAnsi="Arial"/>
          <w:sz w:val="12"/>
          <w:szCs w:val="12"/>
          <w:color w:val="auto"/>
        </w:rPr>
        <w:t>(iv):</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2"/>
          <w:szCs w:val="12"/>
          <w:color w:val="auto"/>
        </w:rPr>
        <w:t>One Parker Plaza, Ninth Floor</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Fort Lee, NJ 07024-2938</w:t>
      </w:r>
    </w:p>
    <w:p>
      <w:pPr>
        <w:spacing w:after="0" w:line="200" w:lineRule="exact"/>
        <w:rPr>
          <w:sz w:val="20"/>
          <w:szCs w:val="20"/>
          <w:color w:val="auto"/>
        </w:rPr>
      </w:pPr>
    </w:p>
    <w:p>
      <w:pPr>
        <w:sectPr>
          <w:pgSz w:w="11900" w:h="16838" w:orient="portrait"/>
          <w:cols w:equalWidth="0" w:num="2">
            <w:col w:w="840" w:space="460"/>
            <w:col w:w="8379"/>
          </w:cols>
          <w:pgMar w:left="780" w:top="345" w:right="1440" w:bottom="1440" w:gutter="0" w:footer="0" w:header="0"/>
          <w:type w:val="continuous"/>
        </w:sectPr>
      </w:pPr>
    </w:p>
    <w:p>
      <w:pPr>
        <w:spacing w:after="0" w:line="71"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Citizenship</w:t>
      </w:r>
    </w:p>
    <w:p>
      <w:pPr>
        <w:spacing w:after="0" w:line="298" w:lineRule="exact"/>
        <w:rPr>
          <w:rFonts w:ascii="Arial" w:cs="Arial" w:eastAsia="Arial" w:hAnsi="Arial"/>
          <w:sz w:val="14"/>
          <w:szCs w:val="14"/>
          <w:color w:val="auto"/>
        </w:rPr>
      </w:pPr>
    </w:p>
    <w:p>
      <w:pPr>
        <w:ind w:left="660"/>
        <w:spacing w:after="0"/>
        <w:rPr>
          <w:rFonts w:ascii="Arial" w:cs="Arial" w:eastAsia="Arial" w:hAnsi="Arial"/>
          <w:sz w:val="14"/>
          <w:szCs w:val="14"/>
          <w:color w:val="auto"/>
        </w:rPr>
      </w:pPr>
      <w:r>
        <w:rPr>
          <w:rFonts w:ascii="Arial" w:cs="Arial" w:eastAsia="Arial" w:hAnsi="Arial"/>
          <w:sz w:val="14"/>
          <w:szCs w:val="14"/>
          <w:color w:val="auto"/>
        </w:rPr>
        <w:t>(i):</w:t>
      </w:r>
      <w:r>
        <w:rPr>
          <w:rFonts w:ascii="Arial" w:cs="Arial" w:eastAsia="Arial" w:hAnsi="Arial"/>
          <w:sz w:val="12"/>
          <w:szCs w:val="12"/>
          <w:color w:val="auto"/>
        </w:rPr>
        <w:t>Delaware</w:t>
      </w:r>
    </w:p>
    <w:p>
      <w:pPr>
        <w:spacing w:after="0" w:line="257" w:lineRule="exact"/>
        <w:rPr>
          <w:rFonts w:ascii="Arial" w:cs="Arial" w:eastAsia="Arial" w:hAnsi="Arial"/>
          <w:sz w:val="14"/>
          <w:szCs w:val="14"/>
          <w:color w:val="auto"/>
        </w:rPr>
      </w:pPr>
    </w:p>
    <w:p>
      <w:pPr>
        <w:ind w:left="660"/>
        <w:spacing w:after="0"/>
        <w:rPr>
          <w:rFonts w:ascii="Arial" w:cs="Arial" w:eastAsia="Arial" w:hAnsi="Arial"/>
          <w:sz w:val="14"/>
          <w:szCs w:val="14"/>
          <w:color w:val="auto"/>
        </w:rPr>
      </w:pPr>
      <w:r>
        <w:rPr>
          <w:rFonts w:ascii="Arial" w:cs="Arial" w:eastAsia="Arial" w:hAnsi="Arial"/>
          <w:sz w:val="14"/>
          <w:szCs w:val="14"/>
          <w:color w:val="auto"/>
        </w:rPr>
        <w:t>(ii) and (iii): USA</w:t>
      </w:r>
    </w:p>
    <w:p>
      <w:pPr>
        <w:spacing w:after="0" w:line="230" w:lineRule="exact"/>
        <w:rPr>
          <w:rFonts w:ascii="Arial" w:cs="Arial" w:eastAsia="Arial" w:hAnsi="Arial"/>
          <w:sz w:val="14"/>
          <w:szCs w:val="14"/>
          <w:color w:val="auto"/>
        </w:rPr>
      </w:pPr>
    </w:p>
    <w:p>
      <w:pPr>
        <w:ind w:left="660"/>
        <w:spacing w:after="0"/>
        <w:rPr>
          <w:rFonts w:ascii="Arial" w:cs="Arial" w:eastAsia="Arial" w:hAnsi="Arial"/>
          <w:sz w:val="14"/>
          <w:szCs w:val="14"/>
          <w:color w:val="auto"/>
        </w:rPr>
      </w:pPr>
      <w:r>
        <w:rPr>
          <w:rFonts w:ascii="Arial" w:cs="Arial" w:eastAsia="Arial" w:hAnsi="Arial"/>
          <w:sz w:val="14"/>
          <w:szCs w:val="14"/>
          <w:color w:val="auto"/>
        </w:rPr>
        <w:t>(iv):</w:t>
      </w:r>
      <w:r>
        <w:rPr>
          <w:rFonts w:ascii="Arial" w:cs="Arial" w:eastAsia="Arial" w:hAnsi="Arial"/>
          <w:sz w:val="12"/>
          <w:szCs w:val="12"/>
          <w:color w:val="auto"/>
        </w:rPr>
        <w:t>Delaware</w:t>
      </w:r>
    </w:p>
    <w:p>
      <w:pPr>
        <w:spacing w:after="0" w:line="244" w:lineRule="exact"/>
        <w:rPr>
          <w:rFonts w:ascii="Arial" w:cs="Arial" w:eastAsia="Arial" w:hAnsi="Arial"/>
          <w:sz w:val="14"/>
          <w:szCs w:val="14"/>
          <w:color w:val="auto"/>
        </w:rPr>
      </w:pPr>
    </w:p>
    <w:p>
      <w:pPr>
        <w:ind w:left="660" w:right="7439" w:hanging="652"/>
        <w:spacing w:after="0" w:line="716" w:lineRule="auto"/>
        <w:tabs>
          <w:tab w:leader="none" w:pos="66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Title of Class of Securities Common Stock, no par value</w:t>
      </w:r>
    </w:p>
    <w:p>
      <w:pPr>
        <w:ind w:left="660" w:right="8159" w:hanging="652"/>
        <w:spacing w:after="0" w:line="787" w:lineRule="auto"/>
        <w:tabs>
          <w:tab w:leader="none" w:pos="660" w:val="left"/>
        </w:tabs>
        <w:numPr>
          <w:ilvl w:val="0"/>
          <w:numId w:val="23"/>
        </w:numPr>
        <w:rPr>
          <w:rFonts w:ascii="Arial" w:cs="Arial" w:eastAsia="Arial" w:hAnsi="Arial"/>
          <w:sz w:val="12"/>
          <w:szCs w:val="12"/>
          <w:color w:val="auto"/>
        </w:rPr>
      </w:pPr>
      <w:r>
        <w:rPr>
          <w:rFonts w:ascii="Arial" w:cs="Arial" w:eastAsia="Arial" w:hAnsi="Arial"/>
          <w:sz w:val="12"/>
          <w:szCs w:val="12"/>
          <w:color w:val="auto"/>
        </w:rPr>
        <w:t>CUSIP Number 913543104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141605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679"/>
          </w:cols>
          <w:pgMar w:left="780" w:top="345" w:right="1440"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172"/>
        </w:trPr>
        <w:tc>
          <w:tcPr>
            <w:tcW w:w="800" w:type="dxa"/>
            <w:vAlign w:val="bottom"/>
          </w:tcPr>
          <w:p>
            <w:pPr>
              <w:spacing w:after="0"/>
              <w:rPr>
                <w:sz w:val="20"/>
                <w:szCs w:val="20"/>
                <w:color w:val="auto"/>
              </w:rPr>
            </w:pPr>
            <w:r>
              <w:rPr>
                <w:rFonts w:ascii="Arial" w:cs="Arial" w:eastAsia="Arial" w:hAnsi="Arial"/>
                <w:sz w:val="14"/>
                <w:szCs w:val="14"/>
                <w:color w:val="auto"/>
              </w:rPr>
              <w:t>CUSIP NO.</w:t>
            </w:r>
          </w:p>
        </w:tc>
        <w:tc>
          <w:tcPr>
            <w:tcW w:w="2360" w:type="dxa"/>
            <w:vAlign w:val="bottom"/>
          </w:tcPr>
          <w:p>
            <w:pPr>
              <w:jc w:val="right"/>
              <w:ind w:right="1552"/>
              <w:spacing w:after="0"/>
              <w:rPr>
                <w:sz w:val="20"/>
                <w:szCs w:val="20"/>
                <w:color w:val="auto"/>
              </w:rPr>
            </w:pPr>
            <w:r>
              <w:rPr>
                <w:rFonts w:ascii="Arial" w:cs="Arial" w:eastAsia="Arial" w:hAnsi="Arial"/>
                <w:sz w:val="14"/>
                <w:szCs w:val="14"/>
                <w:color w:val="auto"/>
              </w:rPr>
              <w:t>913543104</w:t>
            </w:r>
          </w:p>
        </w:tc>
        <w:tc>
          <w:tcPr>
            <w:tcW w:w="1840" w:type="dxa"/>
            <w:vAlign w:val="bottom"/>
          </w:tcPr>
          <w:p>
            <w:pPr>
              <w:ind w:left="1620"/>
              <w:spacing w:after="0"/>
              <w:rPr>
                <w:sz w:val="20"/>
                <w:szCs w:val="20"/>
                <w:color w:val="auto"/>
              </w:rPr>
            </w:pPr>
            <w:r>
              <w:rPr>
                <w:rFonts w:ascii="Arial" w:cs="Arial" w:eastAsia="Arial" w:hAnsi="Arial"/>
                <w:sz w:val="14"/>
                <w:szCs w:val="14"/>
                <w:color w:val="auto"/>
                <w:w w:val="75"/>
              </w:rPr>
              <w:t>13G</w:t>
            </w:r>
          </w:p>
        </w:tc>
      </w:tr>
    </w:tbl>
    <w:p>
      <w:pPr>
        <w:spacing w:after="0" w:line="200" w:lineRule="exact"/>
        <w:rPr>
          <w:sz w:val="20"/>
          <w:szCs w:val="20"/>
          <w:color w:val="auto"/>
        </w:rPr>
      </w:pPr>
    </w:p>
    <w:p>
      <w:pPr>
        <w:spacing w:after="0" w:line="249" w:lineRule="exact"/>
        <w:rPr>
          <w:sz w:val="20"/>
          <w:szCs w:val="20"/>
          <w:color w:val="auto"/>
        </w:rPr>
      </w:pPr>
    </w:p>
    <w:p>
      <w:pPr>
        <w:ind w:left="780" w:right="2120" w:hanging="769"/>
        <w:spacing w:after="0" w:line="318" w:lineRule="auto"/>
        <w:tabs>
          <w:tab w:leader="none" w:pos="760" w:val="left"/>
        </w:tabs>
        <w:rPr>
          <w:sz w:val="20"/>
          <w:szCs w:val="20"/>
          <w:color w:val="auto"/>
        </w:rPr>
      </w:pPr>
      <w:r>
        <w:rPr>
          <w:rFonts w:ascii="Arial" w:cs="Arial" w:eastAsia="Arial" w:hAnsi="Arial"/>
          <w:sz w:val="14"/>
          <w:szCs w:val="14"/>
          <w:color w:val="auto"/>
        </w:rPr>
        <w:t>Item 3.</w:t>
      </w:r>
      <w:r>
        <w:rPr>
          <w:sz w:val="20"/>
          <w:szCs w:val="20"/>
          <w:color w:val="auto"/>
        </w:rPr>
        <w:tab/>
      </w:r>
      <w:r>
        <w:rPr>
          <w:rFonts w:ascii="Arial" w:cs="Arial" w:eastAsia="Arial" w:hAnsi="Arial"/>
          <w:sz w:val="14"/>
          <w:szCs w:val="14"/>
          <w:color w:val="auto"/>
        </w:rPr>
        <w:t>If this statement is filed pursuant to §§240.13d-1(b) or 240.13d-2(b) or (c), check whether the person filing is a:</w:t>
      </w:r>
    </w:p>
    <w:p>
      <w:pPr>
        <w:spacing w:after="0" w:line="168" w:lineRule="exact"/>
        <w:rPr>
          <w:sz w:val="20"/>
          <w:szCs w:val="20"/>
          <w:color w:val="auto"/>
        </w:rPr>
      </w:pPr>
    </w:p>
    <w:p>
      <w:pPr>
        <w:ind w:left="1120" w:right="3560" w:hanging="315"/>
        <w:spacing w:after="0" w:line="301" w:lineRule="auto"/>
        <w:tabs>
          <w:tab w:leader="none" w:pos="1120" w:val="left"/>
        </w:tabs>
        <w:numPr>
          <w:ilvl w:val="2"/>
          <w:numId w:val="24"/>
        </w:numPr>
        <w:rPr>
          <w:rFonts w:ascii="Arial" w:cs="Arial" w:eastAsia="Arial" w:hAnsi="Arial"/>
          <w:sz w:val="14"/>
          <w:szCs w:val="14"/>
          <w:color w:val="auto"/>
        </w:rPr>
      </w:pPr>
      <w:r>
        <w:rPr>
          <w:rFonts w:ascii="Arial" w:cs="Arial" w:eastAsia="Arial" w:hAnsi="Arial"/>
          <w:sz w:val="14"/>
          <w:szCs w:val="14"/>
          <w:color w:val="auto"/>
        </w:rPr>
        <w:t>o Broker or dealer registered under section 15 of the Act (15 U.S.C. 78o).</w:t>
      </w:r>
    </w:p>
    <w:p>
      <w:pPr>
        <w:spacing w:after="0" w:line="1" w:lineRule="exact"/>
        <w:rPr>
          <w:rFonts w:ascii="Arial" w:cs="Arial" w:eastAsia="Arial" w:hAnsi="Arial"/>
          <w:sz w:val="14"/>
          <w:szCs w:val="14"/>
          <w:color w:val="auto"/>
        </w:rPr>
      </w:pPr>
    </w:p>
    <w:p>
      <w:pPr>
        <w:ind w:left="1100" w:hanging="322"/>
        <w:spacing w:after="0"/>
        <w:tabs>
          <w:tab w:leader="none" w:pos="1100" w:val="left"/>
        </w:tabs>
        <w:numPr>
          <w:ilvl w:val="1"/>
          <w:numId w:val="25"/>
        </w:numPr>
        <w:rPr>
          <w:rFonts w:ascii="Arial" w:cs="Arial" w:eastAsia="Arial" w:hAnsi="Arial"/>
          <w:sz w:val="14"/>
          <w:szCs w:val="14"/>
          <w:color w:val="auto"/>
        </w:rPr>
      </w:pPr>
      <w:r>
        <w:rPr>
          <w:rFonts w:ascii="Arial" w:cs="Arial" w:eastAsia="Arial" w:hAnsi="Arial"/>
          <w:sz w:val="14"/>
          <w:szCs w:val="14"/>
          <w:color w:val="auto"/>
        </w:rPr>
        <w:t>o Bank as defined in section 3(a)(6) of the Act (15 U.S.C. 78c).</w:t>
      </w:r>
    </w:p>
    <w:p>
      <w:pPr>
        <w:spacing w:after="0" w:line="122" w:lineRule="exact"/>
        <w:rPr>
          <w:rFonts w:ascii="Arial" w:cs="Arial" w:eastAsia="Arial" w:hAnsi="Arial"/>
          <w:sz w:val="14"/>
          <w:szCs w:val="14"/>
          <w:color w:val="auto"/>
        </w:rPr>
      </w:pPr>
    </w:p>
    <w:p>
      <w:pPr>
        <w:ind w:left="1100" w:right="3300" w:hanging="322"/>
        <w:spacing w:after="0" w:line="322" w:lineRule="auto"/>
        <w:tabs>
          <w:tab w:leader="none" w:pos="1100" w:val="left"/>
        </w:tabs>
        <w:numPr>
          <w:ilvl w:val="1"/>
          <w:numId w:val="25"/>
        </w:numPr>
        <w:rPr>
          <w:rFonts w:ascii="Arial" w:cs="Arial" w:eastAsia="Arial" w:hAnsi="Arial"/>
          <w:sz w:val="14"/>
          <w:szCs w:val="14"/>
          <w:color w:val="auto"/>
        </w:rPr>
      </w:pPr>
      <w:r>
        <w:rPr>
          <w:rFonts w:ascii="Arial" w:cs="Arial" w:eastAsia="Arial" w:hAnsi="Arial"/>
          <w:sz w:val="14"/>
          <w:szCs w:val="14"/>
          <w:color w:val="auto"/>
        </w:rPr>
        <w:t>o Insurance company as defined in section 3(a)(19) of the Act (15 U.S.C. 78c).</w:t>
      </w:r>
    </w:p>
    <w:p>
      <w:pPr>
        <w:ind w:left="1100" w:right="3220" w:hanging="322"/>
        <w:spacing w:after="0" w:line="339" w:lineRule="auto"/>
        <w:tabs>
          <w:tab w:leader="none" w:pos="1100" w:val="left"/>
        </w:tabs>
        <w:numPr>
          <w:ilvl w:val="1"/>
          <w:numId w:val="25"/>
        </w:numPr>
        <w:rPr>
          <w:rFonts w:ascii="Arial" w:cs="Arial" w:eastAsia="Arial" w:hAnsi="Arial"/>
          <w:sz w:val="14"/>
          <w:szCs w:val="14"/>
          <w:color w:val="auto"/>
        </w:rPr>
      </w:pPr>
      <w:r>
        <w:rPr>
          <w:rFonts w:ascii="Arial" w:cs="Arial" w:eastAsia="Arial" w:hAnsi="Arial"/>
          <w:sz w:val="14"/>
          <w:szCs w:val="14"/>
          <w:color w:val="auto"/>
        </w:rPr>
        <w:t>o Investment company registered under section 8 of the Investment Company Act of 1940 (15 U.S.C 80a-8).</w:t>
      </w:r>
    </w:p>
    <w:p>
      <w:pPr>
        <w:spacing w:after="0" w:line="1" w:lineRule="exact"/>
        <w:rPr>
          <w:rFonts w:ascii="Arial" w:cs="Arial" w:eastAsia="Arial" w:hAnsi="Arial"/>
          <w:sz w:val="14"/>
          <w:szCs w:val="14"/>
          <w:color w:val="auto"/>
        </w:rPr>
      </w:pPr>
    </w:p>
    <w:p>
      <w:pPr>
        <w:ind w:left="1100" w:right="4440" w:hanging="322"/>
        <w:spacing w:after="0" w:line="195" w:lineRule="auto"/>
        <w:tabs>
          <w:tab w:leader="none" w:pos="1100" w:val="left"/>
        </w:tabs>
        <w:numPr>
          <w:ilvl w:val="1"/>
          <w:numId w:val="25"/>
        </w:numPr>
        <w:rPr>
          <w:rFonts w:ascii="Arial" w:cs="Arial" w:eastAsia="Arial" w:hAnsi="Arial"/>
          <w:sz w:val="27"/>
          <w:szCs w:val="27"/>
          <w:color w:val="auto"/>
          <w:vertAlign w:val="superscript"/>
        </w:rPr>
      </w:pPr>
      <w:r>
        <w:rPr>
          <w:rFonts w:ascii="Arial" w:cs="Arial" w:eastAsia="Arial" w:hAnsi="Arial"/>
          <w:sz w:val="22"/>
          <w:szCs w:val="22"/>
          <w:color w:val="auto"/>
        </w:rPr>
        <w:t xml:space="preserve">x </w:t>
      </w:r>
      <w:r>
        <w:rPr>
          <w:rFonts w:ascii="Arial" w:cs="Arial" w:eastAsia="Arial" w:hAnsi="Arial"/>
          <w:sz w:val="13"/>
          <w:szCs w:val="13"/>
          <w:color w:val="auto"/>
        </w:rPr>
        <w:t>An investment adviser in accordance with</w:t>
      </w:r>
      <w:r>
        <w:rPr>
          <w:rFonts w:ascii="Arial" w:cs="Arial" w:eastAsia="Arial" w:hAnsi="Arial"/>
          <w:sz w:val="22"/>
          <w:szCs w:val="22"/>
          <w:color w:val="auto"/>
        </w:rPr>
        <w:t xml:space="preserve"> </w:t>
      </w:r>
      <w:r>
        <w:rPr>
          <w:rFonts w:ascii="Arial" w:cs="Arial" w:eastAsia="Arial" w:hAnsi="Arial"/>
          <w:sz w:val="13"/>
          <w:szCs w:val="13"/>
          <w:color w:val="auto"/>
        </w:rPr>
        <w:t>§240.13d-1(b)(1)(ii)(E);</w:t>
      </w:r>
    </w:p>
    <w:p>
      <w:pPr>
        <w:spacing w:after="0" w:line="31" w:lineRule="exact"/>
        <w:rPr>
          <w:rFonts w:ascii="Arial" w:cs="Arial" w:eastAsia="Arial" w:hAnsi="Arial"/>
          <w:sz w:val="27"/>
          <w:szCs w:val="27"/>
          <w:color w:val="auto"/>
          <w:vertAlign w:val="superscript"/>
        </w:rPr>
      </w:pPr>
    </w:p>
    <w:p>
      <w:pPr>
        <w:ind w:left="1100" w:right="3220" w:hanging="322"/>
        <w:spacing w:after="0" w:line="309" w:lineRule="auto"/>
        <w:tabs>
          <w:tab w:leader="none" w:pos="1100" w:val="left"/>
        </w:tabs>
        <w:numPr>
          <w:ilvl w:val="1"/>
          <w:numId w:val="25"/>
        </w:numPr>
        <w:rPr>
          <w:rFonts w:ascii="Arial" w:cs="Arial" w:eastAsia="Arial" w:hAnsi="Arial"/>
          <w:sz w:val="14"/>
          <w:szCs w:val="14"/>
          <w:color w:val="auto"/>
        </w:rPr>
      </w:pPr>
      <w:r>
        <w:rPr>
          <w:rFonts w:ascii="Arial" w:cs="Arial" w:eastAsia="Arial" w:hAnsi="Arial"/>
          <w:sz w:val="14"/>
          <w:szCs w:val="14"/>
          <w:color w:val="auto"/>
        </w:rPr>
        <w:t>o An employee benefit plan or endowment fund in accordance with §240.13d-1(b)(1)(ii)(F);</w:t>
      </w:r>
    </w:p>
    <w:p>
      <w:pPr>
        <w:ind w:left="1100" w:right="3260" w:hanging="322"/>
        <w:spacing w:after="0" w:line="207" w:lineRule="auto"/>
        <w:tabs>
          <w:tab w:leader="none" w:pos="1100" w:val="left"/>
        </w:tabs>
        <w:numPr>
          <w:ilvl w:val="1"/>
          <w:numId w:val="25"/>
        </w:numPr>
        <w:rPr>
          <w:rFonts w:ascii="Arial" w:cs="Arial" w:eastAsia="Arial" w:hAnsi="Arial"/>
          <w:sz w:val="27"/>
          <w:szCs w:val="27"/>
          <w:color w:val="auto"/>
          <w:vertAlign w:val="superscript"/>
        </w:rPr>
      </w:pPr>
      <w:r>
        <w:rPr>
          <w:rFonts w:ascii="Arial" w:cs="Arial" w:eastAsia="Arial" w:hAnsi="Arial"/>
          <w:sz w:val="22"/>
          <w:szCs w:val="22"/>
          <w:color w:val="auto"/>
        </w:rPr>
        <w:t xml:space="preserve">x </w:t>
      </w:r>
      <w:r>
        <w:rPr>
          <w:rFonts w:ascii="Arial" w:cs="Arial" w:eastAsia="Arial" w:hAnsi="Arial"/>
          <w:sz w:val="13"/>
          <w:szCs w:val="13"/>
          <w:color w:val="auto"/>
        </w:rPr>
        <w:t>A parent holding company or control person in accordance with</w:t>
      </w:r>
      <w:r>
        <w:rPr>
          <w:rFonts w:ascii="Arial" w:cs="Arial" w:eastAsia="Arial" w:hAnsi="Arial"/>
          <w:sz w:val="22"/>
          <w:szCs w:val="22"/>
          <w:color w:val="auto"/>
        </w:rPr>
        <w:t xml:space="preserve"> </w:t>
      </w:r>
      <w:r>
        <w:rPr>
          <w:rFonts w:ascii="Arial" w:cs="Arial" w:eastAsia="Arial" w:hAnsi="Arial"/>
          <w:sz w:val="13"/>
          <w:szCs w:val="13"/>
          <w:color w:val="auto"/>
        </w:rPr>
        <w:t>§240.13d-1(b)(1)(ii)(G);</w:t>
      </w:r>
    </w:p>
    <w:p>
      <w:pPr>
        <w:spacing w:after="0" w:line="43" w:lineRule="exact"/>
        <w:rPr>
          <w:rFonts w:ascii="Arial" w:cs="Arial" w:eastAsia="Arial" w:hAnsi="Arial"/>
          <w:sz w:val="27"/>
          <w:szCs w:val="27"/>
          <w:color w:val="auto"/>
          <w:vertAlign w:val="superscript"/>
        </w:rPr>
      </w:pPr>
    </w:p>
    <w:p>
      <w:pPr>
        <w:ind w:left="1100" w:right="3320" w:hanging="322"/>
        <w:spacing w:after="0" w:line="352" w:lineRule="auto"/>
        <w:tabs>
          <w:tab w:leader="none" w:pos="1100" w:val="left"/>
        </w:tabs>
        <w:numPr>
          <w:ilvl w:val="1"/>
          <w:numId w:val="25"/>
        </w:numPr>
        <w:rPr>
          <w:rFonts w:ascii="Arial" w:cs="Arial" w:eastAsia="Arial" w:hAnsi="Arial"/>
          <w:sz w:val="14"/>
          <w:szCs w:val="14"/>
          <w:color w:val="auto"/>
        </w:rPr>
      </w:pPr>
      <w:r>
        <w:rPr>
          <w:rFonts w:ascii="Arial" w:cs="Arial" w:eastAsia="Arial" w:hAnsi="Arial"/>
          <w:sz w:val="14"/>
          <w:szCs w:val="14"/>
          <w:color w:val="auto"/>
        </w:rPr>
        <w:t>o A savings associations as defined in Section 3(b) of the Federal Deposit Insurance Act (12 U.S.C. 1813);</w:t>
      </w:r>
    </w:p>
    <w:p>
      <w:pPr>
        <w:ind w:left="1100" w:hanging="322"/>
        <w:spacing w:after="0"/>
        <w:tabs>
          <w:tab w:leader="none" w:pos="1100" w:val="left"/>
        </w:tabs>
        <w:numPr>
          <w:ilvl w:val="1"/>
          <w:numId w:val="25"/>
        </w:numPr>
        <w:rPr>
          <w:rFonts w:ascii="Arial" w:cs="Arial" w:eastAsia="Arial" w:hAnsi="Arial"/>
          <w:sz w:val="14"/>
          <w:szCs w:val="14"/>
          <w:color w:val="auto"/>
        </w:rPr>
      </w:pPr>
      <w:r>
        <w:rPr>
          <w:rFonts w:ascii="Arial" w:cs="Arial" w:eastAsia="Arial" w:hAnsi="Arial"/>
          <w:sz w:val="14"/>
          <w:szCs w:val="14"/>
          <w:color w:val="auto"/>
        </w:rPr>
        <w:t>o A church plan that is excluded from the definition of an</w:t>
      </w:r>
    </w:p>
    <w:p>
      <w:pPr>
        <w:spacing w:after="0" w:line="95" w:lineRule="exact"/>
        <w:rPr>
          <w:rFonts w:ascii="Arial" w:cs="Arial" w:eastAsia="Arial" w:hAnsi="Arial"/>
          <w:sz w:val="14"/>
          <w:szCs w:val="14"/>
          <w:color w:val="auto"/>
        </w:rPr>
      </w:pPr>
    </w:p>
    <w:p>
      <w:pPr>
        <w:ind w:left="1100" w:right="2960"/>
        <w:spacing w:after="0" w:line="271" w:lineRule="auto"/>
        <w:rPr>
          <w:rFonts w:ascii="Arial" w:cs="Arial" w:eastAsia="Arial" w:hAnsi="Arial"/>
          <w:sz w:val="14"/>
          <w:szCs w:val="14"/>
          <w:color w:val="auto"/>
        </w:rPr>
      </w:pPr>
      <w:r>
        <w:rPr>
          <w:rFonts w:ascii="Arial" w:cs="Arial" w:eastAsia="Arial" w:hAnsi="Arial"/>
          <w:sz w:val="14"/>
          <w:szCs w:val="14"/>
          <w:color w:val="auto"/>
        </w:rPr>
        <w:t>investment company under section 3(c)(14) of the Investment Company Act of 1940 (15 U.S.C. 80a-3);</w:t>
      </w:r>
    </w:p>
    <w:p>
      <w:pPr>
        <w:spacing w:after="0" w:line="1" w:lineRule="exact"/>
        <w:rPr>
          <w:rFonts w:ascii="Arial" w:cs="Arial" w:eastAsia="Arial" w:hAnsi="Arial"/>
          <w:sz w:val="14"/>
          <w:szCs w:val="14"/>
          <w:color w:val="auto"/>
        </w:rPr>
      </w:pPr>
    </w:p>
    <w:p>
      <w:pPr>
        <w:ind w:left="1080" w:hanging="315"/>
        <w:spacing w:after="0"/>
        <w:tabs>
          <w:tab w:leader="none" w:pos="10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o A non-U.S. institution in accordance with §240.13d-1(b)(ii)(J);</w:t>
      </w:r>
    </w:p>
    <w:p>
      <w:pPr>
        <w:spacing w:after="0" w:line="325" w:lineRule="exact"/>
        <w:rPr>
          <w:rFonts w:ascii="Arial" w:cs="Arial" w:eastAsia="Arial" w:hAnsi="Arial"/>
          <w:sz w:val="14"/>
          <w:szCs w:val="14"/>
          <w:color w:val="auto"/>
        </w:rPr>
      </w:pPr>
    </w:p>
    <w:p>
      <w:pPr>
        <w:ind w:left="1080" w:hanging="315"/>
        <w:spacing w:after="0"/>
        <w:tabs>
          <w:tab w:leader="none" w:pos="10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o Group, in accordance with §240.13d 1(b)(1)(ii)(K).</w:t>
      </w:r>
    </w:p>
    <w:p>
      <w:pPr>
        <w:spacing w:after="0" w:line="244"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color w:val="auto"/>
        </w:rPr>
        <w:t>Item 4.</w:t>
      </w:r>
      <w:r>
        <w:rPr>
          <w:sz w:val="20"/>
          <w:szCs w:val="20"/>
          <w:color w:val="auto"/>
        </w:rPr>
        <w:tab/>
      </w:r>
      <w:r>
        <w:rPr>
          <w:rFonts w:ascii="Arial" w:cs="Arial" w:eastAsia="Arial" w:hAnsi="Arial"/>
          <w:sz w:val="12"/>
          <w:szCs w:val="12"/>
          <w:color w:val="auto"/>
        </w:rPr>
        <w:t>Ownership</w:t>
      </w:r>
    </w:p>
    <w:p>
      <w:pPr>
        <w:spacing w:after="0" w:line="258" w:lineRule="exact"/>
        <w:rPr>
          <w:sz w:val="20"/>
          <w:szCs w:val="20"/>
          <w:color w:val="auto"/>
        </w:rPr>
      </w:pPr>
    </w:p>
    <w:p>
      <w:pPr>
        <w:ind w:right="2060"/>
        <w:spacing w:after="0" w:line="328" w:lineRule="auto"/>
        <w:rPr>
          <w:sz w:val="20"/>
          <w:szCs w:val="20"/>
          <w:color w:val="auto"/>
        </w:rPr>
      </w:pPr>
      <w:r>
        <w:rPr>
          <w:rFonts w:ascii="Arial" w:cs="Arial" w:eastAsia="Arial" w:hAnsi="Arial"/>
          <w:sz w:val="12"/>
          <w:szCs w:val="12"/>
          <w:color w:val="auto"/>
        </w:rPr>
        <w:t>The securities reported herein (the “Securities”) are beneficially owned by one or more open- or closed-end investment companies or other managed accounts that are investment management clients of investment managers that are direct and indirect subsidiaries (each, an “Investment Management Subsidiary” and, collectively, the “Investment Management Subsidiaries”) of Franklin Resources, Inc. (“FRI”), including the Investment Management Subsidiaries listed in Item 7. Investment management contracts grant to the Investment Management Subsidiaries all investment and/or voting power over the securities owned by such investment management clients, unless otherwise noted in this Item 4. Therefore, for purposes of</w:t>
      </w:r>
    </w:p>
    <w:p>
      <w:pPr>
        <w:spacing w:after="0" w:line="3" w:lineRule="exact"/>
        <w:rPr>
          <w:sz w:val="20"/>
          <w:szCs w:val="20"/>
          <w:color w:val="auto"/>
        </w:rPr>
      </w:pPr>
    </w:p>
    <w:p>
      <w:pPr>
        <w:ind w:right="1900"/>
        <w:spacing w:after="0" w:line="298" w:lineRule="auto"/>
        <w:rPr>
          <w:sz w:val="20"/>
          <w:szCs w:val="20"/>
          <w:color w:val="auto"/>
        </w:rPr>
      </w:pPr>
      <w:r>
        <w:rPr>
          <w:rFonts w:ascii="Arial" w:cs="Arial" w:eastAsia="Arial" w:hAnsi="Arial"/>
          <w:sz w:val="14"/>
          <w:szCs w:val="14"/>
          <w:color w:val="auto"/>
        </w:rPr>
        <w:t>Rule 13d-3 under the Act, the Investment Management Subsidiaries may be deemed to be the beneficial owners of the Securities.</w:t>
      </w:r>
    </w:p>
    <w:p>
      <w:pPr>
        <w:spacing w:after="0" w:line="194" w:lineRule="exact"/>
        <w:rPr>
          <w:sz w:val="20"/>
          <w:szCs w:val="20"/>
          <w:color w:val="auto"/>
        </w:rPr>
      </w:pPr>
    </w:p>
    <w:p>
      <w:pPr>
        <w:spacing w:after="0"/>
        <w:rPr>
          <w:sz w:val="20"/>
          <w:szCs w:val="20"/>
          <w:color w:val="auto"/>
        </w:rPr>
      </w:pPr>
      <w:r>
        <w:rPr>
          <w:rFonts w:ascii="Arial" w:cs="Arial" w:eastAsia="Arial" w:hAnsi="Arial"/>
          <w:sz w:val="12"/>
          <w:szCs w:val="12"/>
          <w:color w:val="auto"/>
        </w:rPr>
        <w:t>Beneficial ownership by investment management subsidiaries and other affiliates of FRI is being reported</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color w:val="auto"/>
        </w:rPr>
        <w:t>in conformity with the guidelines articulated by the SEC staff in Release No. 34-39538 (January 12, 1998)</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color w:val="auto"/>
        </w:rPr>
        <w:t>relating to organizations, such as FRI, where related entities exercise voting and investment powers over</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color w:val="auto"/>
        </w:rPr>
        <w:t>the securities being reported independently from each other. The voting and investment powers held by</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color w:val="auto"/>
        </w:rPr>
        <w:t>Franklin Mutual Advisers, LLC (“FMA”), an indirect wholly-owned Investment Management Subsidiary, are</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color w:val="auto"/>
        </w:rPr>
        <w:t>exercised independently from FRI and from all other Investment Management Subsidiaries (FRI, its</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color w:val="auto"/>
        </w:rPr>
        <w:t>affiliates and the Investment Management Subsidiaries other than FMA are collectively, “FRI affiliates”).</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color w:val="auto"/>
        </w:rPr>
        <w:t>Furthermore, internal policies and procedures of FMA and FRI establish informational barriers that prevent</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color w:val="auto"/>
        </w:rPr>
        <w:t>the flow between FMA and the FRI affiliates of information that relates to the voting and investment</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color w:val="auto"/>
        </w:rPr>
        <w:t>powers over the securities owned by their respective investment management clients. Consequently, FMA and</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color w:val="auto"/>
        </w:rPr>
        <w:t>the FRI affiliates report the securities over which they hold investment and voting power separately from</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each other for purposes of Section 13 of the Act.</w:t>
      </w:r>
    </w:p>
    <w:p>
      <w:pPr>
        <w:spacing w:after="0" w:line="244" w:lineRule="exact"/>
        <w:rPr>
          <w:sz w:val="20"/>
          <w:szCs w:val="20"/>
          <w:color w:val="auto"/>
        </w:rPr>
      </w:pPr>
    </w:p>
    <w:p>
      <w:pPr>
        <w:ind w:right="2020"/>
        <w:spacing w:after="0" w:line="335" w:lineRule="auto"/>
        <w:rPr>
          <w:sz w:val="20"/>
          <w:szCs w:val="20"/>
          <w:color w:val="auto"/>
        </w:rPr>
      </w:pPr>
      <w:r>
        <w:rPr>
          <w:rFonts w:ascii="Arial" w:cs="Arial" w:eastAsia="Arial" w:hAnsi="Arial"/>
          <w:sz w:val="12"/>
          <w:szCs w:val="12"/>
          <w:color w:val="auto"/>
        </w:rPr>
        <w:t>Charles B. Johnson and Rupert H. Johnson, Jr. (the “Principal Shareholders”) each own in excess of 10% of the outstanding common stock of FRI and are the principal stockholders of FRI. FRI and the Principal Shareholders may be deemed to be, for purposes of Rule 13d-3 under the Act, the beneficial owners of securities held by persons and entities for whom or for which FRI subsidiaries provide investment management services. The number of shares that may be deemed to be beneficially owned and the percentage of the class of which such shares are a part are reported in Items 9 and 11 of the cover pages for FRI and each of the Principal Shareholders. FRI, the Principal Shareholders and each of the Investment Management Subsidiaries disclaim any pecuniary interest in any of the Securities. In addition, the filing of this Schedule 13G on behalf of the Principal Shareholders, FRI and FRI affiliates, as applicable, should not be construed as an admission that any of them is, and each disclaims that it is, the beneficial owner, as defined in Rule 13d-3, of any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436880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Page 7 of 14</w:t>
      </w:r>
    </w:p>
    <w:p>
      <w:pPr>
        <w:sectPr>
          <w:pgSz w:w="11900" w:h="16838" w:orient="portrait"/>
          <w:cols w:equalWidth="0" w:num="2">
            <w:col w:w="7960" w:space="720"/>
            <w:col w:w="999"/>
          </w:cols>
          <w:pgMar w:left="780" w:top="345" w:right="1440" w:bottom="1440" w:gutter="0" w:footer="0" w:header="0"/>
        </w:sectPr>
      </w:pPr>
    </w:p>
    <w:bookmarkStart w:id="7" w:name="page8"/>
    <w:bookmarkEnd w:id="7"/>
    <w:p>
      <w:pPr>
        <w:spacing w:after="0"/>
        <w:tabs>
          <w:tab w:leader="none" w:pos="900" w:val="left"/>
          <w:tab w:leader="none" w:pos="4760" w:val="left"/>
          <w:tab w:leader="none" w:pos="8660" w:val="left"/>
        </w:tabs>
        <w:rPr>
          <w:sz w:val="20"/>
          <w:szCs w:val="20"/>
          <w:color w:val="auto"/>
        </w:rPr>
      </w:pPr>
      <w:r>
        <w:rPr>
          <w:rFonts w:ascii="Arial" w:cs="Arial" w:eastAsia="Arial" w:hAnsi="Arial"/>
          <w:sz w:val="14"/>
          <w:szCs w:val="14"/>
          <w:color w:val="auto"/>
        </w:rPr>
        <w:t>CUSIP NO.</w:t>
      </w:r>
      <w:r>
        <w:rPr>
          <w:sz w:val="20"/>
          <w:szCs w:val="20"/>
          <w:color w:val="auto"/>
        </w:rPr>
        <w:tab/>
      </w:r>
      <w:r>
        <w:rPr>
          <w:rFonts w:ascii="Arial" w:cs="Arial" w:eastAsia="Arial" w:hAnsi="Arial"/>
          <w:sz w:val="14"/>
          <w:szCs w:val="14"/>
          <w:color w:val="auto"/>
        </w:rPr>
        <w:t>913543104</w:t>
      </w:r>
      <w:r>
        <w:rPr>
          <w:sz w:val="20"/>
          <w:szCs w:val="20"/>
          <w:color w:val="auto"/>
        </w:rPr>
        <w:tab/>
      </w:r>
      <w:r>
        <w:rPr>
          <w:rFonts w:ascii="Arial" w:cs="Arial" w:eastAsia="Arial" w:hAnsi="Arial"/>
          <w:sz w:val="14"/>
          <w:szCs w:val="14"/>
          <w:color w:val="auto"/>
        </w:rPr>
        <w:t>13G</w:t>
      </w:r>
      <w:r>
        <w:rPr>
          <w:sz w:val="20"/>
          <w:szCs w:val="20"/>
          <w:color w:val="auto"/>
        </w:rPr>
        <w:tab/>
      </w:r>
      <w:r>
        <w:rPr>
          <w:rFonts w:ascii="Arial" w:cs="Arial" w:eastAsia="Arial" w:hAnsi="Arial"/>
          <w:sz w:val="11"/>
          <w:szCs w:val="11"/>
          <w:color w:val="auto"/>
        </w:rPr>
        <w:t>Page 8 of 14</w:t>
      </w:r>
    </w:p>
    <w:p>
      <w:pPr>
        <w:spacing w:after="0" w:line="271" w:lineRule="exact"/>
        <w:rPr>
          <w:sz w:val="20"/>
          <w:szCs w:val="20"/>
          <w:color w:val="auto"/>
        </w:rPr>
      </w:pPr>
    </w:p>
    <w:p>
      <w:pPr>
        <w:ind w:left="20" w:right="3879"/>
        <w:spacing w:after="0" w:line="356" w:lineRule="auto"/>
        <w:rPr>
          <w:sz w:val="20"/>
          <w:szCs w:val="20"/>
          <w:color w:val="auto"/>
        </w:rPr>
      </w:pPr>
      <w:r>
        <w:rPr>
          <w:rFonts w:ascii="Arial" w:cs="Arial" w:eastAsia="Arial" w:hAnsi="Arial"/>
          <w:sz w:val="12"/>
          <w:szCs w:val="12"/>
          <w:color w:val="auto"/>
        </w:rPr>
        <w:t>FRI, the Principal Shareholders, and each of the Investment Management Subsidiaries believe that they are not a “group” within the meaning of Rule 13d-5 under the Act and that they are not otherwise required to attribute to each other the beneficial ownership of the Securities held by any of them or by any persons or entities for whom or for which FRI subsidiaries provide investment management services.</w:t>
      </w:r>
    </w:p>
    <w:p>
      <w:pPr>
        <w:spacing w:after="0" w:line="154" w:lineRule="exact"/>
        <w:rPr>
          <w:sz w:val="20"/>
          <w:szCs w:val="20"/>
          <w:color w:val="auto"/>
        </w:rPr>
      </w:pPr>
    </w:p>
    <w:p>
      <w:pPr>
        <w:ind w:left="1460" w:right="6659" w:hanging="803"/>
        <w:spacing w:after="0" w:line="593" w:lineRule="auto"/>
        <w:tabs>
          <w:tab w:leader="none" w:pos="14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Amount beneficially owned: 1,986,700</w:t>
      </w:r>
    </w:p>
    <w:p>
      <w:pPr>
        <w:spacing w:after="0" w:line="1" w:lineRule="exact"/>
        <w:rPr>
          <w:rFonts w:ascii="Arial" w:cs="Arial" w:eastAsia="Arial" w:hAnsi="Arial"/>
          <w:sz w:val="14"/>
          <w:szCs w:val="14"/>
          <w:color w:val="auto"/>
        </w:rPr>
      </w:pPr>
    </w:p>
    <w:p>
      <w:pPr>
        <w:ind w:left="1460" w:hanging="803"/>
        <w:spacing w:after="0"/>
        <w:tabs>
          <w:tab w:leader="none" w:pos="14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Percent of class:</w:t>
      </w:r>
    </w:p>
    <w:p>
      <w:pPr>
        <w:spacing w:after="0" w:line="257" w:lineRule="exact"/>
        <w:rPr>
          <w:rFonts w:ascii="Arial" w:cs="Arial" w:eastAsia="Arial" w:hAnsi="Arial"/>
          <w:sz w:val="14"/>
          <w:szCs w:val="14"/>
          <w:color w:val="auto"/>
        </w:rPr>
      </w:pPr>
    </w:p>
    <w:p>
      <w:pPr>
        <w:ind w:left="1460"/>
        <w:spacing w:after="0"/>
        <w:rPr>
          <w:rFonts w:ascii="Arial" w:cs="Arial" w:eastAsia="Arial" w:hAnsi="Arial"/>
          <w:sz w:val="14"/>
          <w:szCs w:val="14"/>
          <w:color w:val="auto"/>
        </w:rPr>
      </w:pPr>
      <w:r>
        <w:rPr>
          <w:rFonts w:ascii="Arial" w:cs="Arial" w:eastAsia="Arial" w:hAnsi="Arial"/>
          <w:sz w:val="14"/>
          <w:szCs w:val="14"/>
          <w:color w:val="auto"/>
        </w:rPr>
        <w:t>10.4%</w:t>
      </w:r>
    </w:p>
    <w:p>
      <w:pPr>
        <w:spacing w:after="0" w:line="217" w:lineRule="exact"/>
        <w:rPr>
          <w:rFonts w:ascii="Arial" w:cs="Arial" w:eastAsia="Arial" w:hAnsi="Arial"/>
          <w:sz w:val="14"/>
          <w:szCs w:val="14"/>
          <w:color w:val="auto"/>
        </w:rPr>
      </w:pPr>
    </w:p>
    <w:p>
      <w:pPr>
        <w:ind w:left="1460" w:hanging="803"/>
        <w:spacing w:after="0"/>
        <w:tabs>
          <w:tab w:leader="none" w:pos="14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Number of shares as to which the person has:</w:t>
      </w:r>
    </w:p>
    <w:p>
      <w:pPr>
        <w:spacing w:after="0" w:line="244" w:lineRule="exact"/>
        <w:rPr>
          <w:rFonts w:ascii="Arial" w:cs="Arial" w:eastAsia="Arial" w:hAnsi="Arial"/>
          <w:sz w:val="14"/>
          <w:szCs w:val="14"/>
          <w:color w:val="auto"/>
        </w:rPr>
      </w:pPr>
    </w:p>
    <w:p>
      <w:pPr>
        <w:ind w:left="1740" w:hanging="395"/>
        <w:spacing w:after="0"/>
        <w:tabs>
          <w:tab w:leader="none" w:pos="1740" w:val="left"/>
        </w:tabs>
        <w:numPr>
          <w:ilvl w:val="1"/>
          <w:numId w:val="27"/>
        </w:numPr>
        <w:rPr>
          <w:rFonts w:ascii="Arial" w:cs="Arial" w:eastAsia="Arial" w:hAnsi="Arial"/>
          <w:sz w:val="14"/>
          <w:szCs w:val="14"/>
          <w:color w:val="auto"/>
        </w:rPr>
      </w:pPr>
      <w:r>
        <w:rPr>
          <w:rFonts w:ascii="Arial" w:cs="Arial" w:eastAsia="Arial" w:hAnsi="Arial"/>
          <w:sz w:val="14"/>
          <w:szCs w:val="14"/>
          <w:color w:val="auto"/>
        </w:rPr>
        <w:t>Sole power to vote or to direct the vote</w:t>
      </w:r>
    </w:p>
    <w:p>
      <w:pPr>
        <w:spacing w:after="0" w:line="244" w:lineRule="exact"/>
        <w:rPr>
          <w:sz w:val="20"/>
          <w:szCs w:val="20"/>
          <w:color w:val="auto"/>
        </w:rPr>
      </w:pPr>
    </w:p>
    <w:tbl>
      <w:tblPr>
        <w:tblLayout w:type="fixed"/>
        <w:tblInd w:w="1740" w:type="dxa"/>
        <w:tblCellMar>
          <w:top w:w="0" w:type="dxa"/>
          <w:left w:w="0" w:type="dxa"/>
          <w:bottom w:w="0" w:type="dxa"/>
          <w:right w:w="0" w:type="dxa"/>
        </w:tblCellMar>
      </w:tblPr>
      <w:tr>
        <w:trPr>
          <w:trHeight w:val="172"/>
        </w:trPr>
        <w:tc>
          <w:tcPr>
            <w:tcW w:w="3760" w:type="dxa"/>
            <w:vAlign w:val="bottom"/>
          </w:tcPr>
          <w:p>
            <w:pPr>
              <w:spacing w:after="0"/>
              <w:rPr>
                <w:sz w:val="20"/>
                <w:szCs w:val="20"/>
                <w:color w:val="auto"/>
              </w:rPr>
            </w:pPr>
            <w:r>
              <w:rPr>
                <w:rFonts w:ascii="Arial" w:cs="Arial" w:eastAsia="Arial" w:hAnsi="Arial"/>
                <w:sz w:val="14"/>
                <w:szCs w:val="14"/>
                <w:color w:val="auto"/>
              </w:rPr>
              <w:t>Franklin Resources, Inc.:</w:t>
            </w:r>
          </w:p>
        </w:tc>
        <w:tc>
          <w:tcPr>
            <w:tcW w:w="2440" w:type="dxa"/>
            <w:vAlign w:val="bottom"/>
          </w:tcPr>
          <w:p>
            <w:pPr>
              <w:ind w:left="1920"/>
              <w:spacing w:after="0"/>
              <w:rPr>
                <w:sz w:val="20"/>
                <w:szCs w:val="20"/>
                <w:color w:val="auto"/>
              </w:rPr>
            </w:pPr>
            <w:r>
              <w:rPr>
                <w:rFonts w:ascii="Arial" w:cs="Arial" w:eastAsia="Arial" w:hAnsi="Arial"/>
                <w:sz w:val="14"/>
                <w:szCs w:val="14"/>
                <w:color w:val="auto"/>
              </w:rPr>
              <w:t>0</w:t>
            </w:r>
          </w:p>
        </w:tc>
      </w:tr>
      <w:tr>
        <w:trPr>
          <w:trHeight w:val="405"/>
        </w:trPr>
        <w:tc>
          <w:tcPr>
            <w:tcW w:w="3760" w:type="dxa"/>
            <w:vAlign w:val="bottom"/>
          </w:tcPr>
          <w:p>
            <w:pPr>
              <w:spacing w:after="0"/>
              <w:rPr>
                <w:sz w:val="20"/>
                <w:szCs w:val="20"/>
                <w:color w:val="auto"/>
              </w:rPr>
            </w:pPr>
            <w:r>
              <w:rPr>
                <w:rFonts w:ascii="Arial" w:cs="Arial" w:eastAsia="Arial" w:hAnsi="Arial"/>
                <w:sz w:val="14"/>
                <w:szCs w:val="14"/>
                <w:color w:val="auto"/>
              </w:rPr>
              <w:t>Charles B. Johnson:</w:t>
            </w:r>
          </w:p>
        </w:tc>
        <w:tc>
          <w:tcPr>
            <w:tcW w:w="2440" w:type="dxa"/>
            <w:vAlign w:val="bottom"/>
          </w:tcPr>
          <w:p>
            <w:pPr>
              <w:ind w:left="1920"/>
              <w:spacing w:after="0"/>
              <w:rPr>
                <w:sz w:val="20"/>
                <w:szCs w:val="20"/>
                <w:color w:val="auto"/>
              </w:rPr>
            </w:pPr>
            <w:r>
              <w:rPr>
                <w:rFonts w:ascii="Arial" w:cs="Arial" w:eastAsia="Arial" w:hAnsi="Arial"/>
                <w:sz w:val="14"/>
                <w:szCs w:val="14"/>
                <w:color w:val="auto"/>
              </w:rPr>
              <w:t>0</w:t>
            </w:r>
          </w:p>
        </w:tc>
      </w:tr>
      <w:tr>
        <w:trPr>
          <w:trHeight w:val="405"/>
        </w:trPr>
        <w:tc>
          <w:tcPr>
            <w:tcW w:w="3760" w:type="dxa"/>
            <w:vAlign w:val="bottom"/>
          </w:tcPr>
          <w:p>
            <w:pPr>
              <w:spacing w:after="0"/>
              <w:rPr>
                <w:sz w:val="20"/>
                <w:szCs w:val="20"/>
                <w:color w:val="auto"/>
              </w:rPr>
            </w:pPr>
            <w:r>
              <w:rPr>
                <w:rFonts w:ascii="Arial" w:cs="Arial" w:eastAsia="Arial" w:hAnsi="Arial"/>
                <w:sz w:val="14"/>
                <w:szCs w:val="14"/>
                <w:color w:val="auto"/>
              </w:rPr>
              <w:t>Rupert H. Johnson, Jr.:</w:t>
            </w:r>
          </w:p>
        </w:tc>
        <w:tc>
          <w:tcPr>
            <w:tcW w:w="2440" w:type="dxa"/>
            <w:vAlign w:val="bottom"/>
          </w:tcPr>
          <w:p>
            <w:pPr>
              <w:ind w:left="1920"/>
              <w:spacing w:after="0"/>
              <w:rPr>
                <w:sz w:val="20"/>
                <w:szCs w:val="20"/>
                <w:color w:val="auto"/>
              </w:rPr>
            </w:pPr>
            <w:r>
              <w:rPr>
                <w:rFonts w:ascii="Arial" w:cs="Arial" w:eastAsia="Arial" w:hAnsi="Arial"/>
                <w:sz w:val="14"/>
                <w:szCs w:val="14"/>
                <w:color w:val="auto"/>
              </w:rPr>
              <w:t>0</w:t>
            </w:r>
          </w:p>
        </w:tc>
      </w:tr>
      <w:tr>
        <w:trPr>
          <w:trHeight w:val="621"/>
        </w:trPr>
        <w:tc>
          <w:tcPr>
            <w:tcW w:w="3760" w:type="dxa"/>
            <w:vAlign w:val="bottom"/>
          </w:tcPr>
          <w:p>
            <w:pPr>
              <w:spacing w:after="0"/>
              <w:rPr>
                <w:sz w:val="20"/>
                <w:szCs w:val="20"/>
                <w:color w:val="auto"/>
              </w:rPr>
            </w:pPr>
            <w:r>
              <w:rPr>
                <w:rFonts w:ascii="Arial" w:cs="Arial" w:eastAsia="Arial" w:hAnsi="Arial"/>
                <w:sz w:val="14"/>
                <w:szCs w:val="14"/>
                <w:color w:val="auto"/>
              </w:rPr>
              <w:t>Franklin Advisory Services, LLC:</w:t>
            </w:r>
          </w:p>
        </w:tc>
        <w:tc>
          <w:tcPr>
            <w:tcW w:w="2440" w:type="dxa"/>
            <w:vAlign w:val="bottom"/>
          </w:tcPr>
          <w:p>
            <w:pPr>
              <w:ind w:left="1900"/>
              <w:spacing w:after="0"/>
              <w:rPr>
                <w:sz w:val="20"/>
                <w:szCs w:val="20"/>
                <w:color w:val="auto"/>
              </w:rPr>
            </w:pPr>
            <w:r>
              <w:rPr>
                <w:rFonts w:ascii="Arial" w:cs="Arial" w:eastAsia="Arial" w:hAnsi="Arial"/>
                <w:sz w:val="14"/>
                <w:szCs w:val="14"/>
                <w:color w:val="auto"/>
                <w:w w:val="83"/>
              </w:rPr>
              <w:t>1,924,500</w:t>
            </w:r>
          </w:p>
        </w:tc>
      </w:tr>
    </w:tbl>
    <w:p>
      <w:pPr>
        <w:spacing w:after="0" w:line="260" w:lineRule="exact"/>
        <w:rPr>
          <w:sz w:val="20"/>
          <w:szCs w:val="20"/>
          <w:color w:val="auto"/>
        </w:rPr>
      </w:pPr>
    </w:p>
    <w:p>
      <w:pPr>
        <w:ind w:left="1740" w:right="5699" w:hanging="489"/>
        <w:spacing w:after="0" w:line="644" w:lineRule="auto"/>
        <w:tabs>
          <w:tab w:leader="none" w:pos="1740" w:val="left"/>
        </w:tabs>
        <w:numPr>
          <w:ilvl w:val="1"/>
          <w:numId w:val="28"/>
        </w:numPr>
        <w:rPr>
          <w:rFonts w:ascii="Arial" w:cs="Arial" w:eastAsia="Arial" w:hAnsi="Arial"/>
          <w:sz w:val="14"/>
          <w:szCs w:val="14"/>
          <w:color w:val="auto"/>
        </w:rPr>
      </w:pPr>
      <w:r>
        <w:rPr>
          <w:rFonts w:ascii="Arial" w:cs="Arial" w:eastAsia="Arial" w:hAnsi="Arial"/>
          <w:sz w:val="14"/>
          <w:szCs w:val="14"/>
          <w:color w:val="auto"/>
        </w:rPr>
        <w:t>Shared power to vote or to direct the vote 0</w:t>
      </w:r>
    </w:p>
    <w:p>
      <w:pPr>
        <w:ind w:left="1760" w:hanging="577"/>
        <w:spacing w:after="0"/>
        <w:tabs>
          <w:tab w:leader="none" w:pos="17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Sole power to dispose or to direct the disposition of</w:t>
      </w:r>
    </w:p>
    <w:p>
      <w:pPr>
        <w:spacing w:after="0" w:line="285" w:lineRule="exact"/>
        <w:rPr>
          <w:sz w:val="20"/>
          <w:szCs w:val="20"/>
          <w:color w:val="auto"/>
        </w:rPr>
      </w:pPr>
    </w:p>
    <w:tbl>
      <w:tblPr>
        <w:tblLayout w:type="fixed"/>
        <w:tblInd w:w="1740" w:type="dxa"/>
        <w:tblCellMar>
          <w:top w:w="0" w:type="dxa"/>
          <w:left w:w="0" w:type="dxa"/>
          <w:bottom w:w="0" w:type="dxa"/>
          <w:right w:w="0" w:type="dxa"/>
        </w:tblCellMar>
      </w:tblPr>
      <w:tr>
        <w:trPr>
          <w:trHeight w:val="172"/>
        </w:trPr>
        <w:tc>
          <w:tcPr>
            <w:tcW w:w="3740" w:type="dxa"/>
            <w:vAlign w:val="bottom"/>
          </w:tcPr>
          <w:p>
            <w:pPr>
              <w:spacing w:after="0"/>
              <w:rPr>
                <w:sz w:val="20"/>
                <w:szCs w:val="20"/>
                <w:color w:val="auto"/>
              </w:rPr>
            </w:pPr>
            <w:r>
              <w:rPr>
                <w:rFonts w:ascii="Arial" w:cs="Arial" w:eastAsia="Arial" w:hAnsi="Arial"/>
                <w:sz w:val="14"/>
                <w:szCs w:val="14"/>
                <w:color w:val="auto"/>
              </w:rPr>
              <w:t>Franklin Resources, Inc.:</w:t>
            </w:r>
          </w:p>
        </w:tc>
        <w:tc>
          <w:tcPr>
            <w:tcW w:w="2460" w:type="dxa"/>
            <w:vAlign w:val="bottom"/>
          </w:tcPr>
          <w:p>
            <w:pPr>
              <w:jc w:val="right"/>
              <w:ind w:right="372"/>
              <w:spacing w:after="0"/>
              <w:rPr>
                <w:sz w:val="20"/>
                <w:szCs w:val="20"/>
                <w:color w:val="auto"/>
              </w:rPr>
            </w:pPr>
            <w:r>
              <w:rPr>
                <w:rFonts w:ascii="Arial" w:cs="Arial" w:eastAsia="Arial" w:hAnsi="Arial"/>
                <w:sz w:val="14"/>
                <w:szCs w:val="14"/>
                <w:color w:val="auto"/>
              </w:rPr>
              <w:t>0</w:t>
            </w:r>
          </w:p>
        </w:tc>
      </w:tr>
      <w:tr>
        <w:trPr>
          <w:trHeight w:val="405"/>
        </w:trPr>
        <w:tc>
          <w:tcPr>
            <w:tcW w:w="3740" w:type="dxa"/>
            <w:vAlign w:val="bottom"/>
          </w:tcPr>
          <w:p>
            <w:pPr>
              <w:spacing w:after="0"/>
              <w:rPr>
                <w:sz w:val="20"/>
                <w:szCs w:val="20"/>
                <w:color w:val="auto"/>
              </w:rPr>
            </w:pPr>
            <w:r>
              <w:rPr>
                <w:rFonts w:ascii="Arial" w:cs="Arial" w:eastAsia="Arial" w:hAnsi="Arial"/>
                <w:sz w:val="14"/>
                <w:szCs w:val="14"/>
                <w:color w:val="auto"/>
              </w:rPr>
              <w:t>Charles B. Johnson:</w:t>
            </w:r>
          </w:p>
        </w:tc>
        <w:tc>
          <w:tcPr>
            <w:tcW w:w="2460" w:type="dxa"/>
            <w:vAlign w:val="bottom"/>
          </w:tcPr>
          <w:p>
            <w:pPr>
              <w:jc w:val="right"/>
              <w:ind w:right="372"/>
              <w:spacing w:after="0"/>
              <w:rPr>
                <w:sz w:val="20"/>
                <w:szCs w:val="20"/>
                <w:color w:val="auto"/>
              </w:rPr>
            </w:pPr>
            <w:r>
              <w:rPr>
                <w:rFonts w:ascii="Arial" w:cs="Arial" w:eastAsia="Arial" w:hAnsi="Arial"/>
                <w:sz w:val="14"/>
                <w:szCs w:val="14"/>
                <w:color w:val="auto"/>
              </w:rPr>
              <w:t>0</w:t>
            </w:r>
          </w:p>
        </w:tc>
      </w:tr>
      <w:tr>
        <w:trPr>
          <w:trHeight w:val="405"/>
        </w:trPr>
        <w:tc>
          <w:tcPr>
            <w:tcW w:w="3740" w:type="dxa"/>
            <w:vAlign w:val="bottom"/>
          </w:tcPr>
          <w:p>
            <w:pPr>
              <w:spacing w:after="0"/>
              <w:rPr>
                <w:sz w:val="20"/>
                <w:szCs w:val="20"/>
                <w:color w:val="auto"/>
              </w:rPr>
            </w:pPr>
            <w:r>
              <w:rPr>
                <w:rFonts w:ascii="Arial" w:cs="Arial" w:eastAsia="Arial" w:hAnsi="Arial"/>
                <w:sz w:val="14"/>
                <w:szCs w:val="14"/>
                <w:color w:val="auto"/>
              </w:rPr>
              <w:t>Rupert H. Johnson, Jr.:</w:t>
            </w:r>
          </w:p>
        </w:tc>
        <w:tc>
          <w:tcPr>
            <w:tcW w:w="2460" w:type="dxa"/>
            <w:vAlign w:val="bottom"/>
          </w:tcPr>
          <w:p>
            <w:pPr>
              <w:jc w:val="right"/>
              <w:ind w:right="372"/>
              <w:spacing w:after="0"/>
              <w:rPr>
                <w:sz w:val="20"/>
                <w:szCs w:val="20"/>
                <w:color w:val="auto"/>
              </w:rPr>
            </w:pPr>
            <w:r>
              <w:rPr>
                <w:rFonts w:ascii="Arial" w:cs="Arial" w:eastAsia="Arial" w:hAnsi="Arial"/>
                <w:sz w:val="14"/>
                <w:szCs w:val="14"/>
                <w:color w:val="auto"/>
              </w:rPr>
              <w:t>0</w:t>
            </w:r>
          </w:p>
        </w:tc>
      </w:tr>
      <w:tr>
        <w:trPr>
          <w:trHeight w:val="405"/>
        </w:trPr>
        <w:tc>
          <w:tcPr>
            <w:tcW w:w="3740" w:type="dxa"/>
            <w:vAlign w:val="bottom"/>
          </w:tcPr>
          <w:p>
            <w:pPr>
              <w:spacing w:after="0"/>
              <w:rPr>
                <w:sz w:val="20"/>
                <w:szCs w:val="20"/>
                <w:color w:val="auto"/>
              </w:rPr>
            </w:pPr>
            <w:r>
              <w:rPr>
                <w:rFonts w:ascii="Arial" w:cs="Arial" w:eastAsia="Arial" w:hAnsi="Arial"/>
                <w:sz w:val="14"/>
                <w:szCs w:val="14"/>
                <w:color w:val="auto"/>
              </w:rPr>
              <w:t>Franklin Advisory Services, LLC:</w:t>
            </w:r>
          </w:p>
        </w:tc>
        <w:tc>
          <w:tcPr>
            <w:tcW w:w="2460" w:type="dxa"/>
            <w:vAlign w:val="bottom"/>
          </w:tcPr>
          <w:p>
            <w:pPr>
              <w:jc w:val="right"/>
              <w:spacing w:after="0"/>
              <w:rPr>
                <w:sz w:val="20"/>
                <w:szCs w:val="20"/>
                <w:color w:val="auto"/>
              </w:rPr>
            </w:pPr>
            <w:r>
              <w:rPr>
                <w:rFonts w:ascii="Arial" w:cs="Arial" w:eastAsia="Arial" w:hAnsi="Arial"/>
                <w:sz w:val="14"/>
                <w:szCs w:val="14"/>
                <w:color w:val="auto"/>
              </w:rPr>
              <w:t>1,986,700</w:t>
            </w:r>
          </w:p>
        </w:tc>
      </w:tr>
    </w:tbl>
    <w:p>
      <w:pPr>
        <w:spacing w:after="0" w:line="260" w:lineRule="exact"/>
        <w:rPr>
          <w:sz w:val="20"/>
          <w:szCs w:val="20"/>
          <w:color w:val="auto"/>
        </w:rPr>
      </w:pPr>
    </w:p>
    <w:p>
      <w:pPr>
        <w:ind w:left="1760" w:hanging="469"/>
        <w:spacing w:after="0"/>
        <w:tabs>
          <w:tab w:leader="none" w:pos="17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Shared power to dispose or to direct the disposition of</w:t>
      </w:r>
    </w:p>
    <w:p>
      <w:pPr>
        <w:spacing w:after="0" w:line="312"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0</w:t>
      </w:r>
    </w:p>
    <w:p>
      <w:pPr>
        <w:spacing w:after="0" w:line="258" w:lineRule="exact"/>
        <w:rPr>
          <w:sz w:val="20"/>
          <w:szCs w:val="20"/>
          <w:color w:val="auto"/>
        </w:rPr>
      </w:pPr>
    </w:p>
    <w:p>
      <w:pPr>
        <w:spacing w:after="0"/>
        <w:tabs>
          <w:tab w:leader="none" w:pos="820" w:val="left"/>
        </w:tabs>
        <w:rPr>
          <w:sz w:val="20"/>
          <w:szCs w:val="20"/>
          <w:color w:val="auto"/>
        </w:rPr>
      </w:pPr>
      <w:r>
        <w:rPr>
          <w:rFonts w:ascii="Arial" w:cs="Arial" w:eastAsia="Arial" w:hAnsi="Arial"/>
          <w:sz w:val="14"/>
          <w:szCs w:val="14"/>
          <w:color w:val="auto"/>
        </w:rPr>
        <w:t>Item 5.</w:t>
      </w:r>
      <w:r>
        <w:rPr>
          <w:sz w:val="20"/>
          <w:szCs w:val="20"/>
          <w:color w:val="auto"/>
        </w:rPr>
        <w:tab/>
      </w:r>
      <w:r>
        <w:rPr>
          <w:rFonts w:ascii="Arial" w:cs="Arial" w:eastAsia="Arial" w:hAnsi="Arial"/>
          <w:sz w:val="12"/>
          <w:szCs w:val="12"/>
          <w:color w:val="auto"/>
        </w:rPr>
        <w:t>Ownership of Five Percent or Less of a Class</w:t>
      </w:r>
    </w:p>
    <w:p>
      <w:pPr>
        <w:spacing w:after="0" w:line="325" w:lineRule="exact"/>
        <w:rPr>
          <w:sz w:val="20"/>
          <w:szCs w:val="20"/>
          <w:color w:val="auto"/>
        </w:rPr>
      </w:pPr>
    </w:p>
    <w:p>
      <w:pPr>
        <w:ind w:left="840"/>
        <w:spacing w:after="0"/>
        <w:rPr>
          <w:sz w:val="20"/>
          <w:szCs w:val="20"/>
          <w:color w:val="auto"/>
        </w:rPr>
      </w:pPr>
      <w:r>
        <w:rPr>
          <w:rFonts w:ascii="Arial" w:cs="Arial" w:eastAsia="Arial" w:hAnsi="Arial"/>
          <w:sz w:val="14"/>
          <w:szCs w:val="14"/>
          <w:color w:val="auto"/>
        </w:rPr>
        <w:t>If this statement is being filed to report the fact that as of the date hereof the reporting</w:t>
      </w:r>
    </w:p>
    <w:p>
      <w:pPr>
        <w:spacing w:after="0" w:line="28" w:lineRule="exact"/>
        <w:rPr>
          <w:sz w:val="20"/>
          <w:szCs w:val="20"/>
          <w:color w:val="auto"/>
        </w:rPr>
      </w:pPr>
    </w:p>
    <w:p>
      <w:pPr>
        <w:ind w:left="840"/>
        <w:spacing w:after="0"/>
        <w:rPr>
          <w:sz w:val="20"/>
          <w:szCs w:val="20"/>
          <w:color w:val="auto"/>
        </w:rPr>
      </w:pPr>
      <w:r>
        <w:rPr>
          <w:rFonts w:ascii="Arial" w:cs="Arial" w:eastAsia="Arial" w:hAnsi="Arial"/>
          <w:sz w:val="14"/>
          <w:szCs w:val="14"/>
          <w:color w:val="auto"/>
        </w:rPr>
        <w:t>person has ceased to be the beneficial owner of more than five percent of the class of</w:t>
      </w:r>
    </w:p>
    <w:p>
      <w:pPr>
        <w:spacing w:after="0" w:line="28" w:lineRule="exact"/>
        <w:rPr>
          <w:sz w:val="20"/>
          <w:szCs w:val="20"/>
          <w:color w:val="auto"/>
        </w:rPr>
      </w:pPr>
    </w:p>
    <w:p>
      <w:pPr>
        <w:ind w:left="840"/>
        <w:spacing w:after="0"/>
        <w:rPr>
          <w:sz w:val="20"/>
          <w:szCs w:val="20"/>
          <w:color w:val="auto"/>
        </w:rPr>
      </w:pPr>
      <w:r>
        <w:rPr>
          <w:rFonts w:ascii="Arial" w:cs="Arial" w:eastAsia="Arial" w:hAnsi="Arial"/>
          <w:sz w:val="14"/>
          <w:szCs w:val="14"/>
          <w:color w:val="auto"/>
        </w:rPr>
        <w:t>securities, check the following o. Not Applicable</w:t>
      </w:r>
    </w:p>
    <w:p>
      <w:pPr>
        <w:spacing w:after="0" w:line="231" w:lineRule="exact"/>
        <w:rPr>
          <w:sz w:val="20"/>
          <w:szCs w:val="20"/>
          <w:color w:val="auto"/>
        </w:rPr>
      </w:pPr>
    </w:p>
    <w:p>
      <w:pPr>
        <w:spacing w:after="0"/>
        <w:tabs>
          <w:tab w:leader="none" w:pos="820" w:val="left"/>
        </w:tabs>
        <w:rPr>
          <w:sz w:val="20"/>
          <w:szCs w:val="20"/>
          <w:color w:val="auto"/>
        </w:rPr>
      </w:pPr>
      <w:r>
        <w:rPr>
          <w:rFonts w:ascii="Arial" w:cs="Arial" w:eastAsia="Arial" w:hAnsi="Arial"/>
          <w:sz w:val="14"/>
          <w:szCs w:val="14"/>
          <w:color w:val="auto"/>
        </w:rPr>
        <w:t>Item 6.</w:t>
      </w:r>
      <w:r>
        <w:rPr>
          <w:sz w:val="20"/>
          <w:szCs w:val="20"/>
          <w:color w:val="auto"/>
        </w:rPr>
        <w:tab/>
      </w:r>
      <w:r>
        <w:rPr>
          <w:rFonts w:ascii="Arial" w:cs="Arial" w:eastAsia="Arial" w:hAnsi="Arial"/>
          <w:sz w:val="12"/>
          <w:szCs w:val="12"/>
          <w:color w:val="auto"/>
        </w:rPr>
        <w:t>Ownership of More than Five Percent on Behalf of Another Person</w:t>
      </w:r>
    </w:p>
    <w:p>
      <w:pPr>
        <w:spacing w:after="0" w:line="258" w:lineRule="exact"/>
        <w:rPr>
          <w:sz w:val="20"/>
          <w:szCs w:val="20"/>
          <w:color w:val="auto"/>
        </w:rPr>
      </w:pPr>
    </w:p>
    <w:p>
      <w:pPr>
        <w:ind w:left="840" w:right="3459"/>
        <w:spacing w:after="0" w:line="287" w:lineRule="auto"/>
        <w:rPr>
          <w:sz w:val="20"/>
          <w:szCs w:val="20"/>
          <w:color w:val="auto"/>
        </w:rPr>
      </w:pPr>
      <w:r>
        <w:rPr>
          <w:rFonts w:ascii="Arial" w:cs="Arial" w:eastAsia="Arial" w:hAnsi="Arial"/>
          <w:sz w:val="14"/>
          <w:szCs w:val="14"/>
          <w:color w:val="auto"/>
        </w:rPr>
        <w:t>The clients of the Investment Management Subsidiaries, including investment companies registered under the Investment Company Act of 1940 and other managed accounts, have the right to receive or power to direct the receipt of dividends from, as well as the proceeds from the sale of, such securities reported on in this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330200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679"/>
          </w:cols>
          <w:pgMar w:left="780" w:top="345" w:right="1440" w:bottom="1440" w:gutter="0" w:footer="0" w:header="0"/>
        </w:sectPr>
      </w:pPr>
    </w:p>
    <w:bookmarkStart w:id="8" w:name="page9"/>
    <w:bookmarkEnd w:id="8"/>
    <w:p>
      <w:pPr>
        <w:spacing w:after="0"/>
        <w:tabs>
          <w:tab w:leader="none" w:pos="900" w:val="left"/>
          <w:tab w:leader="none" w:pos="4760" w:val="left"/>
          <w:tab w:leader="none" w:pos="8660" w:val="left"/>
        </w:tabs>
        <w:rPr>
          <w:sz w:val="20"/>
          <w:szCs w:val="20"/>
          <w:color w:val="auto"/>
        </w:rPr>
      </w:pPr>
      <w:r>
        <w:rPr>
          <w:rFonts w:ascii="Arial" w:cs="Arial" w:eastAsia="Arial" w:hAnsi="Arial"/>
          <w:sz w:val="14"/>
          <w:szCs w:val="14"/>
          <w:color w:val="auto"/>
        </w:rPr>
        <w:t>CUSIP NO.</w:t>
      </w:r>
      <w:r>
        <w:rPr>
          <w:sz w:val="20"/>
          <w:szCs w:val="20"/>
          <w:color w:val="auto"/>
        </w:rPr>
        <w:tab/>
      </w:r>
      <w:r>
        <w:rPr>
          <w:rFonts w:ascii="Arial" w:cs="Arial" w:eastAsia="Arial" w:hAnsi="Arial"/>
          <w:sz w:val="14"/>
          <w:szCs w:val="14"/>
          <w:color w:val="auto"/>
        </w:rPr>
        <w:t>913543104</w:t>
      </w:r>
      <w:r>
        <w:rPr>
          <w:sz w:val="20"/>
          <w:szCs w:val="20"/>
          <w:color w:val="auto"/>
        </w:rPr>
        <w:tab/>
      </w:r>
      <w:r>
        <w:rPr>
          <w:rFonts w:ascii="Arial" w:cs="Arial" w:eastAsia="Arial" w:hAnsi="Arial"/>
          <w:sz w:val="14"/>
          <w:szCs w:val="14"/>
          <w:color w:val="auto"/>
        </w:rPr>
        <w:t>13G</w:t>
      </w:r>
      <w:r>
        <w:rPr>
          <w:sz w:val="20"/>
          <w:szCs w:val="20"/>
          <w:color w:val="auto"/>
        </w:rPr>
        <w:tab/>
      </w:r>
      <w:r>
        <w:rPr>
          <w:rFonts w:ascii="Arial" w:cs="Arial" w:eastAsia="Arial" w:hAnsi="Arial"/>
          <w:sz w:val="11"/>
          <w:szCs w:val="11"/>
          <w:color w:val="auto"/>
        </w:rPr>
        <w:t>Page 9 of 14</w:t>
      </w:r>
    </w:p>
    <w:p>
      <w:pPr>
        <w:spacing w:after="0" w:line="200" w:lineRule="exact"/>
        <w:rPr>
          <w:sz w:val="20"/>
          <w:szCs w:val="20"/>
          <w:color w:val="auto"/>
        </w:rPr>
      </w:pPr>
    </w:p>
    <w:p>
      <w:pPr>
        <w:spacing w:after="0" w:line="260" w:lineRule="exact"/>
        <w:rPr>
          <w:sz w:val="20"/>
          <w:szCs w:val="20"/>
          <w:color w:val="auto"/>
        </w:rPr>
      </w:pPr>
    </w:p>
    <w:p>
      <w:pPr>
        <w:spacing w:after="0"/>
        <w:tabs>
          <w:tab w:leader="none" w:pos="800" w:val="left"/>
        </w:tabs>
        <w:rPr>
          <w:sz w:val="20"/>
          <w:szCs w:val="20"/>
          <w:color w:val="auto"/>
        </w:rPr>
      </w:pPr>
      <w:r>
        <w:rPr>
          <w:rFonts w:ascii="Arial" w:cs="Arial" w:eastAsia="Arial" w:hAnsi="Arial"/>
          <w:sz w:val="14"/>
          <w:szCs w:val="14"/>
          <w:color w:val="auto"/>
        </w:rPr>
        <w:t>Item 7.</w:t>
      </w:r>
      <w:r>
        <w:rPr>
          <w:sz w:val="20"/>
          <w:szCs w:val="20"/>
          <w:color w:val="auto"/>
        </w:rPr>
        <w:tab/>
      </w:r>
      <w:r>
        <w:rPr>
          <w:rFonts w:ascii="Arial" w:cs="Arial" w:eastAsia="Arial" w:hAnsi="Arial"/>
          <w:sz w:val="12"/>
          <w:szCs w:val="12"/>
          <w:color w:val="auto"/>
        </w:rPr>
        <w:t>Identification and Classification of the Subsidiary Which Acquired the Security Being Reported on</w:t>
      </w:r>
    </w:p>
    <w:p>
      <w:pPr>
        <w:spacing w:after="0" w:line="42" w:lineRule="exact"/>
        <w:rPr>
          <w:sz w:val="20"/>
          <w:szCs w:val="20"/>
          <w:color w:val="auto"/>
        </w:rPr>
      </w:pPr>
    </w:p>
    <w:p>
      <w:pPr>
        <w:ind w:left="820"/>
        <w:spacing w:after="0"/>
        <w:rPr>
          <w:sz w:val="20"/>
          <w:szCs w:val="20"/>
          <w:color w:val="auto"/>
        </w:rPr>
      </w:pPr>
      <w:r>
        <w:rPr>
          <w:rFonts w:ascii="Arial" w:cs="Arial" w:eastAsia="Arial" w:hAnsi="Arial"/>
          <w:sz w:val="14"/>
          <w:szCs w:val="14"/>
          <w:color w:val="auto"/>
        </w:rPr>
        <w:t>By the Parent Holding Company</w:t>
      </w:r>
    </w:p>
    <w:p>
      <w:pPr>
        <w:spacing w:after="0" w:line="244" w:lineRule="exact"/>
        <w:rPr>
          <w:sz w:val="20"/>
          <w:szCs w:val="20"/>
          <w:color w:val="auto"/>
        </w:rPr>
      </w:pPr>
    </w:p>
    <w:p>
      <w:pPr>
        <w:ind w:left="820"/>
        <w:spacing w:after="0"/>
        <w:rPr>
          <w:sz w:val="20"/>
          <w:szCs w:val="20"/>
          <w:color w:val="auto"/>
        </w:rPr>
      </w:pPr>
      <w:r>
        <w:rPr>
          <w:rFonts w:ascii="Arial" w:cs="Arial" w:eastAsia="Arial" w:hAnsi="Arial"/>
          <w:sz w:val="14"/>
          <w:szCs w:val="14"/>
          <w:color w:val="auto"/>
        </w:rPr>
        <w:t>See Attached Exhibit C</w:t>
      </w:r>
    </w:p>
    <w:p>
      <w:pPr>
        <w:spacing w:after="0" w:line="28" w:lineRule="exact"/>
        <w:rPr>
          <w:sz w:val="20"/>
          <w:szCs w:val="20"/>
          <w:color w:val="auto"/>
        </w:rPr>
      </w:pPr>
    </w:p>
    <w:p>
      <w:pPr>
        <w:ind w:left="820"/>
        <w:spacing w:after="0"/>
        <w:rPr>
          <w:sz w:val="20"/>
          <w:szCs w:val="20"/>
          <w:color w:val="auto"/>
        </w:rPr>
      </w:pPr>
      <w:r>
        <w:rPr>
          <w:rFonts w:ascii="Arial" w:cs="Arial" w:eastAsia="Arial" w:hAnsi="Arial"/>
          <w:sz w:val="14"/>
          <w:szCs w:val="14"/>
          <w:color w:val="auto"/>
        </w:rPr>
        <w:t>(See also Item 4)</w:t>
      </w:r>
    </w:p>
    <w:p>
      <w:pPr>
        <w:spacing w:after="0" w:line="231" w:lineRule="exact"/>
        <w:rPr>
          <w:sz w:val="20"/>
          <w:szCs w:val="20"/>
          <w:color w:val="auto"/>
        </w:rPr>
      </w:pPr>
    </w:p>
    <w:p>
      <w:pPr>
        <w:spacing w:after="0"/>
        <w:tabs>
          <w:tab w:leader="none" w:pos="800" w:val="left"/>
        </w:tabs>
        <w:rPr>
          <w:sz w:val="20"/>
          <w:szCs w:val="20"/>
          <w:color w:val="auto"/>
        </w:rPr>
      </w:pPr>
      <w:r>
        <w:rPr>
          <w:rFonts w:ascii="Arial" w:cs="Arial" w:eastAsia="Arial" w:hAnsi="Arial"/>
          <w:sz w:val="14"/>
          <w:szCs w:val="14"/>
          <w:color w:val="auto"/>
        </w:rPr>
        <w:t>Item 8.</w:t>
      </w:r>
      <w:r>
        <w:rPr>
          <w:sz w:val="20"/>
          <w:szCs w:val="20"/>
          <w:color w:val="auto"/>
        </w:rPr>
        <w:tab/>
      </w:r>
      <w:r>
        <w:rPr>
          <w:rFonts w:ascii="Arial" w:cs="Arial" w:eastAsia="Arial" w:hAnsi="Arial"/>
          <w:sz w:val="12"/>
          <w:szCs w:val="12"/>
          <w:color w:val="auto"/>
        </w:rPr>
        <w:t>Identification and Classification of Members of the Group</w:t>
      </w:r>
    </w:p>
    <w:p>
      <w:pPr>
        <w:spacing w:after="0" w:line="258" w:lineRule="exact"/>
        <w:rPr>
          <w:sz w:val="20"/>
          <w:szCs w:val="20"/>
          <w:color w:val="auto"/>
        </w:rPr>
      </w:pPr>
    </w:p>
    <w:p>
      <w:pPr>
        <w:ind w:left="820"/>
        <w:spacing w:after="0"/>
        <w:rPr>
          <w:sz w:val="20"/>
          <w:szCs w:val="20"/>
          <w:color w:val="auto"/>
        </w:rPr>
      </w:pPr>
      <w:r>
        <w:rPr>
          <w:rFonts w:ascii="Arial" w:cs="Arial" w:eastAsia="Arial" w:hAnsi="Arial"/>
          <w:sz w:val="14"/>
          <w:szCs w:val="14"/>
          <w:color w:val="auto"/>
        </w:rPr>
        <w:t>Not Applicable (See also Item 4)</w:t>
      </w:r>
    </w:p>
    <w:p>
      <w:pPr>
        <w:spacing w:after="0" w:line="231" w:lineRule="exact"/>
        <w:rPr>
          <w:sz w:val="20"/>
          <w:szCs w:val="20"/>
          <w:color w:val="auto"/>
        </w:rPr>
      </w:pPr>
    </w:p>
    <w:p>
      <w:pPr>
        <w:spacing w:after="0"/>
        <w:tabs>
          <w:tab w:leader="none" w:pos="800" w:val="left"/>
        </w:tabs>
        <w:rPr>
          <w:sz w:val="20"/>
          <w:szCs w:val="20"/>
          <w:color w:val="auto"/>
        </w:rPr>
      </w:pPr>
      <w:r>
        <w:rPr>
          <w:rFonts w:ascii="Arial" w:cs="Arial" w:eastAsia="Arial" w:hAnsi="Arial"/>
          <w:sz w:val="14"/>
          <w:szCs w:val="14"/>
          <w:color w:val="auto"/>
        </w:rPr>
        <w:t>Item 9.</w:t>
      </w:r>
      <w:r>
        <w:rPr>
          <w:sz w:val="20"/>
          <w:szCs w:val="20"/>
          <w:color w:val="auto"/>
        </w:rPr>
        <w:tab/>
      </w:r>
      <w:r>
        <w:rPr>
          <w:rFonts w:ascii="Arial" w:cs="Arial" w:eastAsia="Arial" w:hAnsi="Arial"/>
          <w:sz w:val="12"/>
          <w:szCs w:val="12"/>
          <w:color w:val="auto"/>
        </w:rPr>
        <w:t>Notice of Dissolution of Group</w:t>
      </w:r>
    </w:p>
    <w:p>
      <w:pPr>
        <w:spacing w:after="0" w:line="258" w:lineRule="exact"/>
        <w:rPr>
          <w:sz w:val="20"/>
          <w:szCs w:val="20"/>
          <w:color w:val="auto"/>
        </w:rPr>
      </w:pPr>
    </w:p>
    <w:p>
      <w:pPr>
        <w:ind w:left="820"/>
        <w:spacing w:after="0"/>
        <w:rPr>
          <w:sz w:val="20"/>
          <w:szCs w:val="20"/>
          <w:color w:val="auto"/>
        </w:rPr>
      </w:pPr>
      <w:r>
        <w:rPr>
          <w:rFonts w:ascii="Arial" w:cs="Arial" w:eastAsia="Arial" w:hAnsi="Arial"/>
          <w:sz w:val="14"/>
          <w:szCs w:val="14"/>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356870</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679"/>
          </w:cols>
          <w:pgMar w:left="780" w:top="345"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72"/>
        </w:trPr>
        <w:tc>
          <w:tcPr>
            <w:tcW w:w="740" w:type="dxa"/>
            <w:vAlign w:val="bottom"/>
          </w:tcPr>
          <w:p>
            <w:pPr>
              <w:spacing w:after="0"/>
              <w:rPr>
                <w:sz w:val="20"/>
                <w:szCs w:val="20"/>
                <w:color w:val="auto"/>
              </w:rPr>
            </w:pPr>
            <w:r>
              <w:rPr>
                <w:rFonts w:ascii="Arial" w:cs="Arial" w:eastAsia="Arial" w:hAnsi="Arial"/>
                <w:sz w:val="14"/>
                <w:szCs w:val="14"/>
                <w:color w:val="auto"/>
              </w:rPr>
              <w:t>CUSIP NO.</w:t>
            </w:r>
          </w:p>
        </w:tc>
        <w:tc>
          <w:tcPr>
            <w:tcW w:w="2420" w:type="dxa"/>
            <w:vAlign w:val="bottom"/>
          </w:tcPr>
          <w:p>
            <w:pPr>
              <w:jc w:val="right"/>
              <w:ind w:right="1552"/>
              <w:spacing w:after="0"/>
              <w:rPr>
                <w:sz w:val="20"/>
                <w:szCs w:val="20"/>
                <w:color w:val="auto"/>
              </w:rPr>
            </w:pPr>
            <w:r>
              <w:rPr>
                <w:rFonts w:ascii="Arial" w:cs="Arial" w:eastAsia="Arial" w:hAnsi="Arial"/>
                <w:sz w:val="14"/>
                <w:szCs w:val="14"/>
                <w:color w:val="auto"/>
              </w:rPr>
              <w:t>913543104</w:t>
            </w:r>
          </w:p>
        </w:tc>
        <w:tc>
          <w:tcPr>
            <w:tcW w:w="1840" w:type="dxa"/>
            <w:vAlign w:val="bottom"/>
          </w:tcPr>
          <w:p>
            <w:pPr>
              <w:ind w:left="1620"/>
              <w:spacing w:after="0"/>
              <w:rPr>
                <w:sz w:val="20"/>
                <w:szCs w:val="20"/>
                <w:color w:val="auto"/>
              </w:rPr>
            </w:pPr>
            <w:r>
              <w:rPr>
                <w:rFonts w:ascii="Arial" w:cs="Arial" w:eastAsia="Arial" w:hAnsi="Arial"/>
                <w:sz w:val="14"/>
                <w:szCs w:val="14"/>
                <w:color w:val="auto"/>
                <w:w w:val="75"/>
              </w:rPr>
              <w:t>13G</w:t>
            </w:r>
          </w:p>
        </w:tc>
      </w:tr>
      <w:tr>
        <w:trPr>
          <w:trHeight w:val="419"/>
        </w:trPr>
        <w:tc>
          <w:tcPr>
            <w:tcW w:w="740" w:type="dxa"/>
            <w:vAlign w:val="bottom"/>
          </w:tcPr>
          <w:p>
            <w:pPr>
              <w:spacing w:after="0"/>
              <w:rPr>
                <w:sz w:val="20"/>
                <w:szCs w:val="20"/>
                <w:color w:val="auto"/>
              </w:rPr>
            </w:pPr>
            <w:r>
              <w:rPr>
                <w:rFonts w:ascii="Arial" w:cs="Arial" w:eastAsia="Arial" w:hAnsi="Arial"/>
                <w:sz w:val="14"/>
                <w:szCs w:val="14"/>
                <w:color w:val="auto"/>
              </w:rPr>
              <w:t>Item 10.</w:t>
            </w:r>
          </w:p>
        </w:tc>
        <w:tc>
          <w:tcPr>
            <w:tcW w:w="2420" w:type="dxa"/>
            <w:vAlign w:val="bottom"/>
          </w:tcPr>
          <w:p>
            <w:pPr>
              <w:jc w:val="right"/>
              <w:ind w:right="1592"/>
              <w:spacing w:after="0"/>
              <w:rPr>
                <w:sz w:val="20"/>
                <w:szCs w:val="20"/>
                <w:color w:val="auto"/>
              </w:rPr>
            </w:pPr>
            <w:r>
              <w:rPr>
                <w:rFonts w:ascii="Arial" w:cs="Arial" w:eastAsia="Arial" w:hAnsi="Arial"/>
                <w:sz w:val="14"/>
                <w:szCs w:val="14"/>
                <w:color w:val="auto"/>
              </w:rPr>
              <w:t>Certification</w:t>
            </w:r>
          </w:p>
        </w:tc>
        <w:tc>
          <w:tcPr>
            <w:tcW w:w="1840" w:type="dxa"/>
            <w:vAlign w:val="bottom"/>
          </w:tcPr>
          <w:p>
            <w:pPr>
              <w:spacing w:after="0"/>
              <w:rPr>
                <w:sz w:val="24"/>
                <w:szCs w:val="24"/>
                <w:color w:val="auto"/>
              </w:rPr>
            </w:pPr>
          </w:p>
        </w:tc>
      </w:tr>
    </w:tbl>
    <w:p>
      <w:pPr>
        <w:spacing w:after="0" w:line="273" w:lineRule="exact"/>
        <w:rPr>
          <w:sz w:val="20"/>
          <w:szCs w:val="20"/>
          <w:color w:val="auto"/>
        </w:rPr>
      </w:pPr>
    </w:p>
    <w:p>
      <w:pPr>
        <w:ind w:left="20" w:right="2300"/>
        <w:spacing w:after="0" w:line="391" w:lineRule="auto"/>
        <w:rPr>
          <w:sz w:val="20"/>
          <w:szCs w:val="20"/>
          <w:color w:val="auto"/>
        </w:rPr>
      </w:pPr>
      <w:r>
        <w:rPr>
          <w:rFonts w:ascii="Arial" w:cs="Arial" w:eastAsia="Arial" w:hAnsi="Arial"/>
          <w:sz w:val="14"/>
          <w:szCs w:val="14"/>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07" w:lineRule="exact"/>
        <w:rPr>
          <w:sz w:val="20"/>
          <w:szCs w:val="20"/>
          <w:color w:val="auto"/>
        </w:rPr>
      </w:pPr>
    </w:p>
    <w:p>
      <w:pPr>
        <w:ind w:right="2660"/>
        <w:spacing w:after="0" w:line="298" w:lineRule="auto"/>
        <w:rPr>
          <w:sz w:val="20"/>
          <w:szCs w:val="20"/>
          <w:color w:val="auto"/>
        </w:rPr>
      </w:pPr>
      <w:r>
        <w:rPr>
          <w:rFonts w:ascii="Arial" w:cs="Arial" w:eastAsia="Arial" w:hAnsi="Arial"/>
          <w:sz w:val="14"/>
          <w:szCs w:val="14"/>
          <w:color w:val="auto"/>
        </w:rPr>
        <w:t>This report shall not be construed as an admission by the persons filing the report that they are the beneficial owner of any securities covered by this report.</w:t>
      </w:r>
    </w:p>
    <w:p>
      <w:pPr>
        <w:spacing w:after="0" w:line="194" w:lineRule="exact"/>
        <w:rPr>
          <w:sz w:val="20"/>
          <w:szCs w:val="20"/>
          <w:color w:val="auto"/>
        </w:rPr>
      </w:pPr>
    </w:p>
    <w:p>
      <w:pPr>
        <w:jc w:val="center"/>
        <w:ind w:left="760"/>
        <w:spacing w:after="0"/>
        <w:rPr>
          <w:sz w:val="20"/>
          <w:szCs w:val="20"/>
          <w:color w:val="auto"/>
        </w:rPr>
      </w:pPr>
      <w:r>
        <w:rPr>
          <w:rFonts w:ascii="Arial" w:cs="Arial" w:eastAsia="Arial" w:hAnsi="Arial"/>
          <w:sz w:val="14"/>
          <w:szCs w:val="14"/>
          <w:color w:val="auto"/>
        </w:rPr>
        <w:t>SIGNATURE</w:t>
      </w:r>
    </w:p>
    <w:p>
      <w:pPr>
        <w:spacing w:after="0" w:line="244" w:lineRule="exact"/>
        <w:rPr>
          <w:sz w:val="20"/>
          <w:szCs w:val="20"/>
          <w:color w:val="auto"/>
        </w:rPr>
      </w:pPr>
    </w:p>
    <w:p>
      <w:pPr>
        <w:ind w:right="2480"/>
        <w:spacing w:after="0" w:line="298" w:lineRule="auto"/>
        <w:rPr>
          <w:sz w:val="20"/>
          <w:szCs w:val="20"/>
          <w:color w:val="auto"/>
        </w:rPr>
      </w:pPr>
      <w:r>
        <w:rPr>
          <w:rFonts w:ascii="Arial" w:cs="Arial" w:eastAsia="Arial" w:hAnsi="Arial"/>
          <w:sz w:val="14"/>
          <w:szCs w:val="14"/>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spacing w:after="0"/>
        <w:tabs>
          <w:tab w:leader="none" w:pos="860" w:val="left"/>
        </w:tabs>
        <w:rPr>
          <w:sz w:val="20"/>
          <w:szCs w:val="20"/>
          <w:color w:val="auto"/>
        </w:rPr>
      </w:pPr>
      <w:r>
        <w:rPr>
          <w:rFonts w:ascii="Arial" w:cs="Arial" w:eastAsia="Arial" w:hAnsi="Arial"/>
          <w:sz w:val="14"/>
          <w:szCs w:val="14"/>
          <w:color w:val="auto"/>
        </w:rPr>
        <w:t>Dated:</w:t>
      </w:r>
      <w:r>
        <w:rPr>
          <w:sz w:val="20"/>
          <w:szCs w:val="20"/>
          <w:color w:val="auto"/>
        </w:rPr>
        <w:tab/>
      </w:r>
      <w:r>
        <w:rPr>
          <w:rFonts w:ascii="Arial" w:cs="Arial" w:eastAsia="Arial" w:hAnsi="Arial"/>
          <w:sz w:val="14"/>
          <w:szCs w:val="14"/>
          <w:color w:val="auto"/>
        </w:rPr>
        <w:t>February 2, 2009</w:t>
      </w: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Franklin Resources, Inc.</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Charles B. Johnson</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Rupert H. Johnson, Jr.</w:t>
      </w:r>
    </w:p>
    <w:p>
      <w:pPr>
        <w:spacing w:after="0" w:line="339" w:lineRule="exact"/>
        <w:rPr>
          <w:sz w:val="20"/>
          <w:szCs w:val="20"/>
          <w:color w:val="auto"/>
        </w:rPr>
      </w:pPr>
    </w:p>
    <w:p>
      <w:pPr>
        <w:ind w:left="40"/>
        <w:spacing w:after="0"/>
        <w:tabs>
          <w:tab w:leader="none" w:pos="80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/s/ROBERT C. ROSSELOT</w:t>
      </w:r>
    </w:p>
    <w:p>
      <w:pPr>
        <w:spacing w:after="0" w:line="82" w:lineRule="exact"/>
        <w:rPr>
          <w:sz w:val="20"/>
          <w:szCs w:val="20"/>
          <w:color w:val="auto"/>
        </w:rPr>
      </w:pPr>
    </w:p>
    <w:p>
      <w:pPr>
        <w:ind w:left="800"/>
        <w:spacing w:after="0"/>
        <w:rPr>
          <w:sz w:val="20"/>
          <w:szCs w:val="20"/>
          <w:color w:val="auto"/>
        </w:rPr>
      </w:pPr>
      <w:r>
        <w:rPr>
          <w:rFonts w:ascii="Arial" w:cs="Arial" w:eastAsia="Arial" w:hAnsi="Arial"/>
          <w:sz w:val="14"/>
          <w:szCs w:val="14"/>
          <w:color w:val="auto"/>
        </w:rPr>
        <w:t>-----------------------------</w:t>
      </w:r>
    </w:p>
    <w:p>
      <w:pPr>
        <w:spacing w:after="0" w:line="28" w:lineRule="exact"/>
        <w:rPr>
          <w:sz w:val="20"/>
          <w:szCs w:val="20"/>
          <w:color w:val="auto"/>
        </w:rPr>
      </w:pPr>
    </w:p>
    <w:p>
      <w:pPr>
        <w:ind w:left="800"/>
        <w:spacing w:after="0"/>
        <w:rPr>
          <w:sz w:val="20"/>
          <w:szCs w:val="20"/>
          <w:color w:val="auto"/>
        </w:rPr>
      </w:pPr>
      <w:r>
        <w:rPr>
          <w:rFonts w:ascii="Arial" w:cs="Arial" w:eastAsia="Arial" w:hAnsi="Arial"/>
          <w:sz w:val="14"/>
          <w:szCs w:val="14"/>
          <w:color w:val="auto"/>
        </w:rPr>
        <w:t>Robert C. Rosselot</w:t>
      </w:r>
    </w:p>
    <w:p>
      <w:pPr>
        <w:spacing w:after="0" w:line="82" w:lineRule="exact"/>
        <w:rPr>
          <w:sz w:val="20"/>
          <w:szCs w:val="20"/>
          <w:color w:val="auto"/>
        </w:rPr>
      </w:pPr>
    </w:p>
    <w:p>
      <w:pPr>
        <w:ind w:left="800"/>
        <w:spacing w:after="0"/>
        <w:rPr>
          <w:sz w:val="20"/>
          <w:szCs w:val="20"/>
          <w:color w:val="auto"/>
        </w:rPr>
      </w:pPr>
      <w:r>
        <w:rPr>
          <w:rFonts w:ascii="Arial" w:cs="Arial" w:eastAsia="Arial" w:hAnsi="Arial"/>
          <w:sz w:val="14"/>
          <w:szCs w:val="14"/>
          <w:color w:val="auto"/>
        </w:rPr>
        <w:t>Assistant Secretary of Franklin Resources, Inc.</w:t>
      </w:r>
    </w:p>
    <w:p>
      <w:pPr>
        <w:spacing w:after="0" w:line="298" w:lineRule="exact"/>
        <w:rPr>
          <w:sz w:val="20"/>
          <w:szCs w:val="20"/>
          <w:color w:val="auto"/>
        </w:rPr>
      </w:pPr>
    </w:p>
    <w:p>
      <w:pPr>
        <w:ind w:left="800" w:right="2440"/>
        <w:spacing w:after="0" w:line="298" w:lineRule="auto"/>
        <w:rPr>
          <w:sz w:val="20"/>
          <w:szCs w:val="20"/>
          <w:color w:val="auto"/>
        </w:rPr>
      </w:pPr>
      <w:r>
        <w:rPr>
          <w:rFonts w:ascii="Arial" w:cs="Arial" w:eastAsia="Arial" w:hAnsi="Arial"/>
          <w:sz w:val="14"/>
          <w:szCs w:val="14"/>
          <w:color w:val="auto"/>
        </w:rPr>
        <w:t>Attorney-in-Fact for Charles B. Johnson pursuant to Power of Attorney attached to this Schedule 13G</w:t>
      </w:r>
    </w:p>
    <w:p>
      <w:pPr>
        <w:spacing w:after="0" w:line="194" w:lineRule="exact"/>
        <w:rPr>
          <w:sz w:val="20"/>
          <w:szCs w:val="20"/>
          <w:color w:val="auto"/>
        </w:rPr>
      </w:pPr>
    </w:p>
    <w:p>
      <w:pPr>
        <w:ind w:left="800" w:right="2300"/>
        <w:spacing w:after="0" w:line="298" w:lineRule="auto"/>
        <w:rPr>
          <w:sz w:val="20"/>
          <w:szCs w:val="20"/>
          <w:color w:val="auto"/>
        </w:rPr>
      </w:pPr>
      <w:r>
        <w:rPr>
          <w:rFonts w:ascii="Arial" w:cs="Arial" w:eastAsia="Arial" w:hAnsi="Arial"/>
          <w:sz w:val="14"/>
          <w:szCs w:val="14"/>
          <w:color w:val="auto"/>
        </w:rPr>
        <w:t>Attorney-in-Fact for Rupert H. Johnson, Jr. pursuant to Power of Attorney attached to this Schedule 13G</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Franklin Advisory Services, LLC</w:t>
      </w:r>
    </w:p>
    <w:p>
      <w:pPr>
        <w:spacing w:after="0" w:line="200" w:lineRule="exact"/>
        <w:rPr>
          <w:sz w:val="20"/>
          <w:szCs w:val="20"/>
          <w:color w:val="auto"/>
        </w:rPr>
      </w:pPr>
    </w:p>
    <w:p>
      <w:pPr>
        <w:spacing w:after="0" w:line="220" w:lineRule="exact"/>
        <w:rPr>
          <w:sz w:val="20"/>
          <w:szCs w:val="20"/>
          <w:color w:val="auto"/>
        </w:rPr>
      </w:pPr>
    </w:p>
    <w:p>
      <w:pPr>
        <w:spacing w:after="0"/>
        <w:tabs>
          <w:tab w:leader="none" w:pos="82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/s/STEVEN J. GRAY</w:t>
      </w:r>
    </w:p>
    <w:p>
      <w:pPr>
        <w:spacing w:after="0" w:line="55" w:lineRule="exact"/>
        <w:rPr>
          <w:sz w:val="20"/>
          <w:szCs w:val="20"/>
          <w:color w:val="auto"/>
        </w:rPr>
      </w:pPr>
    </w:p>
    <w:p>
      <w:pPr>
        <w:ind w:left="840"/>
        <w:spacing w:after="0"/>
        <w:rPr>
          <w:sz w:val="20"/>
          <w:szCs w:val="20"/>
          <w:color w:val="auto"/>
        </w:rPr>
      </w:pPr>
      <w:r>
        <w:rPr>
          <w:rFonts w:ascii="Arial" w:cs="Arial" w:eastAsia="Arial" w:hAnsi="Arial"/>
          <w:sz w:val="14"/>
          <w:szCs w:val="14"/>
          <w:color w:val="auto"/>
        </w:rPr>
        <w:t>-----------------------------</w:t>
      </w:r>
    </w:p>
    <w:p>
      <w:pPr>
        <w:spacing w:after="0" w:line="55" w:lineRule="exact"/>
        <w:rPr>
          <w:sz w:val="20"/>
          <w:szCs w:val="20"/>
          <w:color w:val="auto"/>
        </w:rPr>
      </w:pPr>
    </w:p>
    <w:p>
      <w:pPr>
        <w:ind w:left="840"/>
        <w:spacing w:after="0"/>
        <w:rPr>
          <w:sz w:val="20"/>
          <w:szCs w:val="20"/>
          <w:color w:val="auto"/>
        </w:rPr>
      </w:pPr>
      <w:r>
        <w:rPr>
          <w:rFonts w:ascii="Arial" w:cs="Arial" w:eastAsia="Arial" w:hAnsi="Arial"/>
          <w:sz w:val="14"/>
          <w:szCs w:val="14"/>
          <w:color w:val="auto"/>
        </w:rPr>
        <w:t>Steven J. Gray</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4"/>
          <w:szCs w:val="14"/>
          <w:color w:val="auto"/>
        </w:rPr>
        <w:t>Secretary of Franklin Advisory Services,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297180</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Page 10 of 14</w:t>
      </w:r>
    </w:p>
    <w:p>
      <w:pPr>
        <w:sectPr>
          <w:pgSz w:w="11900" w:h="16838" w:orient="portrait"/>
          <w:cols w:equalWidth="0" w:num="2">
            <w:col w:w="7960" w:space="720"/>
            <w:col w:w="999"/>
          </w:cols>
          <w:pgMar w:left="780" w:top="345"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72"/>
        </w:trPr>
        <w:tc>
          <w:tcPr>
            <w:tcW w:w="800" w:type="dxa"/>
            <w:vAlign w:val="bottom"/>
          </w:tcPr>
          <w:p>
            <w:pPr>
              <w:spacing w:after="0"/>
              <w:rPr>
                <w:sz w:val="20"/>
                <w:szCs w:val="20"/>
                <w:color w:val="auto"/>
              </w:rPr>
            </w:pPr>
            <w:r>
              <w:rPr>
                <w:rFonts w:ascii="Arial" w:cs="Arial" w:eastAsia="Arial" w:hAnsi="Arial"/>
                <w:sz w:val="14"/>
                <w:szCs w:val="14"/>
                <w:color w:val="auto"/>
              </w:rPr>
              <w:t>CUSIP NO.</w:t>
            </w:r>
          </w:p>
        </w:tc>
        <w:tc>
          <w:tcPr>
            <w:tcW w:w="2360" w:type="dxa"/>
            <w:vAlign w:val="bottom"/>
          </w:tcPr>
          <w:p>
            <w:pPr>
              <w:jc w:val="right"/>
              <w:ind w:right="1552"/>
              <w:spacing w:after="0"/>
              <w:rPr>
                <w:sz w:val="20"/>
                <w:szCs w:val="20"/>
                <w:color w:val="auto"/>
              </w:rPr>
            </w:pPr>
            <w:r>
              <w:rPr>
                <w:rFonts w:ascii="Arial" w:cs="Arial" w:eastAsia="Arial" w:hAnsi="Arial"/>
                <w:sz w:val="14"/>
                <w:szCs w:val="14"/>
                <w:color w:val="auto"/>
              </w:rPr>
              <w:t>913543104</w:t>
            </w:r>
          </w:p>
        </w:tc>
        <w:tc>
          <w:tcPr>
            <w:tcW w:w="1840" w:type="dxa"/>
            <w:vAlign w:val="bottom"/>
          </w:tcPr>
          <w:p>
            <w:pPr>
              <w:ind w:left="1620"/>
              <w:spacing w:after="0"/>
              <w:rPr>
                <w:sz w:val="20"/>
                <w:szCs w:val="20"/>
                <w:color w:val="auto"/>
              </w:rPr>
            </w:pPr>
            <w:r>
              <w:rPr>
                <w:rFonts w:ascii="Arial" w:cs="Arial" w:eastAsia="Arial" w:hAnsi="Arial"/>
                <w:sz w:val="14"/>
                <w:szCs w:val="14"/>
                <w:color w:val="auto"/>
                <w:w w:val="75"/>
              </w:rPr>
              <w:t>13G</w:t>
            </w:r>
          </w:p>
        </w:tc>
      </w:tr>
    </w:tbl>
    <w:p>
      <w:pPr>
        <w:spacing w:after="0" w:line="300" w:lineRule="exact"/>
        <w:rPr>
          <w:sz w:val="20"/>
          <w:szCs w:val="20"/>
          <w:color w:val="auto"/>
        </w:rPr>
      </w:pPr>
    </w:p>
    <w:p>
      <w:pPr>
        <w:spacing w:after="0"/>
        <w:rPr>
          <w:sz w:val="20"/>
          <w:szCs w:val="20"/>
          <w:color w:val="auto"/>
        </w:rPr>
      </w:pPr>
      <w:r>
        <w:rPr>
          <w:rFonts w:ascii="Arial" w:cs="Arial" w:eastAsia="Arial" w:hAnsi="Arial"/>
          <w:sz w:val="14"/>
          <w:szCs w:val="14"/>
          <w:color w:val="auto"/>
        </w:rPr>
        <w:t>EXHIBIT A</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JOINT FILING AGREEMENT</w:t>
      </w:r>
    </w:p>
    <w:p>
      <w:pPr>
        <w:spacing w:after="0" w:line="244" w:lineRule="exact"/>
        <w:rPr>
          <w:sz w:val="20"/>
          <w:szCs w:val="20"/>
          <w:color w:val="auto"/>
        </w:rPr>
      </w:pPr>
    </w:p>
    <w:p>
      <w:pPr>
        <w:ind w:right="2140"/>
        <w:spacing w:after="0" w:line="287" w:lineRule="auto"/>
        <w:rPr>
          <w:sz w:val="20"/>
          <w:szCs w:val="20"/>
          <w:color w:val="auto"/>
        </w:rPr>
      </w:pPr>
      <w:r>
        <w:rPr>
          <w:rFonts w:ascii="Arial" w:cs="Arial" w:eastAsia="Arial" w:hAnsi="Arial"/>
          <w:sz w:val="14"/>
          <w:szCs w:val="14"/>
          <w:color w:val="auto"/>
        </w:rPr>
        <w:t>In accordance with Rule 13d-1(k) under the Securities Exchange Act of 1934, as amended, the undersigned hereby agree to the joint filing with each other of the attached statement on Schedule 13G and to all amendments to such statement and that such statement and all amendments to such statement are made on behalf of each of them.</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IN WITNESS WHEREOF, the undersigned have executed this agreement on</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February 2, 2009.</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Franklin Resources, Inc.</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Charles B. Johnson</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Rupert H. Johnson, Jr.</w:t>
      </w:r>
    </w:p>
    <w:p>
      <w:pPr>
        <w:spacing w:after="0" w:line="200" w:lineRule="exact"/>
        <w:rPr>
          <w:sz w:val="20"/>
          <w:szCs w:val="20"/>
          <w:color w:val="auto"/>
        </w:rPr>
      </w:pPr>
    </w:p>
    <w:p>
      <w:pPr>
        <w:spacing w:after="0" w:line="355" w:lineRule="exact"/>
        <w:rPr>
          <w:sz w:val="20"/>
          <w:szCs w:val="20"/>
          <w:color w:val="auto"/>
        </w:rPr>
      </w:pPr>
    </w:p>
    <w:p>
      <w:pPr>
        <w:ind w:left="40"/>
        <w:spacing w:after="0"/>
        <w:tabs>
          <w:tab w:leader="none" w:pos="80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/s/ROBERT C. ROSSELOT</w:t>
      </w:r>
    </w:p>
    <w:p>
      <w:pPr>
        <w:spacing w:after="0" w:line="82" w:lineRule="exact"/>
        <w:rPr>
          <w:sz w:val="20"/>
          <w:szCs w:val="20"/>
          <w:color w:val="auto"/>
        </w:rPr>
      </w:pPr>
    </w:p>
    <w:p>
      <w:pPr>
        <w:ind w:left="800"/>
        <w:spacing w:after="0"/>
        <w:rPr>
          <w:sz w:val="20"/>
          <w:szCs w:val="20"/>
          <w:color w:val="auto"/>
        </w:rPr>
      </w:pPr>
      <w:r>
        <w:rPr>
          <w:rFonts w:ascii="Arial" w:cs="Arial" w:eastAsia="Arial" w:hAnsi="Arial"/>
          <w:sz w:val="14"/>
          <w:szCs w:val="14"/>
          <w:color w:val="auto"/>
        </w:rPr>
        <w:t>-----------------------------</w:t>
      </w:r>
    </w:p>
    <w:p>
      <w:pPr>
        <w:spacing w:after="0" w:line="28" w:lineRule="exact"/>
        <w:rPr>
          <w:sz w:val="20"/>
          <w:szCs w:val="20"/>
          <w:color w:val="auto"/>
        </w:rPr>
      </w:pPr>
    </w:p>
    <w:p>
      <w:pPr>
        <w:ind w:left="800"/>
        <w:spacing w:after="0"/>
        <w:rPr>
          <w:sz w:val="20"/>
          <w:szCs w:val="20"/>
          <w:color w:val="auto"/>
        </w:rPr>
      </w:pPr>
      <w:r>
        <w:rPr>
          <w:rFonts w:ascii="Arial" w:cs="Arial" w:eastAsia="Arial" w:hAnsi="Arial"/>
          <w:sz w:val="14"/>
          <w:szCs w:val="14"/>
          <w:color w:val="auto"/>
        </w:rPr>
        <w:t>Robert C. Rosselot</w:t>
      </w:r>
    </w:p>
    <w:p>
      <w:pPr>
        <w:spacing w:after="0" w:line="82" w:lineRule="exact"/>
        <w:rPr>
          <w:sz w:val="20"/>
          <w:szCs w:val="20"/>
          <w:color w:val="auto"/>
        </w:rPr>
      </w:pPr>
    </w:p>
    <w:p>
      <w:pPr>
        <w:ind w:left="800"/>
        <w:spacing w:after="0"/>
        <w:rPr>
          <w:sz w:val="20"/>
          <w:szCs w:val="20"/>
          <w:color w:val="auto"/>
        </w:rPr>
      </w:pPr>
      <w:r>
        <w:rPr>
          <w:rFonts w:ascii="Arial" w:cs="Arial" w:eastAsia="Arial" w:hAnsi="Arial"/>
          <w:sz w:val="14"/>
          <w:szCs w:val="14"/>
          <w:color w:val="auto"/>
        </w:rPr>
        <w:t>Assistant Secretary of Franklin Resources, Inc.</w:t>
      </w:r>
    </w:p>
    <w:p>
      <w:pPr>
        <w:spacing w:after="0" w:line="298" w:lineRule="exact"/>
        <w:rPr>
          <w:sz w:val="20"/>
          <w:szCs w:val="20"/>
          <w:color w:val="auto"/>
        </w:rPr>
      </w:pPr>
    </w:p>
    <w:p>
      <w:pPr>
        <w:ind w:left="800" w:right="2440"/>
        <w:spacing w:after="0" w:line="298" w:lineRule="auto"/>
        <w:rPr>
          <w:sz w:val="20"/>
          <w:szCs w:val="20"/>
          <w:color w:val="auto"/>
        </w:rPr>
      </w:pPr>
      <w:r>
        <w:rPr>
          <w:rFonts w:ascii="Arial" w:cs="Arial" w:eastAsia="Arial" w:hAnsi="Arial"/>
          <w:sz w:val="14"/>
          <w:szCs w:val="14"/>
          <w:color w:val="auto"/>
        </w:rPr>
        <w:t>Attorney-in-Fact for Charles B. Johnson pursuant to Power of Attorney attached to this Schedule 13G</w:t>
      </w:r>
    </w:p>
    <w:p>
      <w:pPr>
        <w:spacing w:after="0" w:line="194" w:lineRule="exact"/>
        <w:rPr>
          <w:sz w:val="20"/>
          <w:szCs w:val="20"/>
          <w:color w:val="auto"/>
        </w:rPr>
      </w:pPr>
    </w:p>
    <w:p>
      <w:pPr>
        <w:ind w:left="800" w:right="2300"/>
        <w:spacing w:after="0" w:line="298" w:lineRule="auto"/>
        <w:rPr>
          <w:sz w:val="20"/>
          <w:szCs w:val="20"/>
          <w:color w:val="auto"/>
        </w:rPr>
      </w:pPr>
      <w:r>
        <w:rPr>
          <w:rFonts w:ascii="Arial" w:cs="Arial" w:eastAsia="Arial" w:hAnsi="Arial"/>
          <w:sz w:val="14"/>
          <w:szCs w:val="14"/>
          <w:color w:val="auto"/>
        </w:rPr>
        <w:t>Attorney-in-Fact for Rupert H. Johnson, Jr. pursuant to Power of Attorney attached to this Schedule 13G</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Franklin Advisory Services, LLC</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tabs>
          <w:tab w:leader="none" w:pos="82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/s/STEVEN J. GRAY</w:t>
      </w:r>
    </w:p>
    <w:p>
      <w:pPr>
        <w:spacing w:after="0" w:line="55" w:lineRule="exact"/>
        <w:rPr>
          <w:sz w:val="20"/>
          <w:szCs w:val="20"/>
          <w:color w:val="auto"/>
        </w:rPr>
      </w:pPr>
    </w:p>
    <w:p>
      <w:pPr>
        <w:ind w:left="840"/>
        <w:spacing w:after="0"/>
        <w:rPr>
          <w:sz w:val="20"/>
          <w:szCs w:val="20"/>
          <w:color w:val="auto"/>
        </w:rPr>
      </w:pPr>
      <w:r>
        <w:rPr>
          <w:rFonts w:ascii="Arial" w:cs="Arial" w:eastAsia="Arial" w:hAnsi="Arial"/>
          <w:sz w:val="14"/>
          <w:szCs w:val="14"/>
          <w:color w:val="auto"/>
        </w:rPr>
        <w:t>-----------------------------</w:t>
      </w:r>
    </w:p>
    <w:p>
      <w:pPr>
        <w:spacing w:after="0" w:line="55" w:lineRule="exact"/>
        <w:rPr>
          <w:sz w:val="20"/>
          <w:szCs w:val="20"/>
          <w:color w:val="auto"/>
        </w:rPr>
      </w:pPr>
    </w:p>
    <w:p>
      <w:pPr>
        <w:ind w:left="840"/>
        <w:spacing w:after="0"/>
        <w:rPr>
          <w:sz w:val="20"/>
          <w:szCs w:val="20"/>
          <w:color w:val="auto"/>
        </w:rPr>
      </w:pPr>
      <w:r>
        <w:rPr>
          <w:rFonts w:ascii="Arial" w:cs="Arial" w:eastAsia="Arial" w:hAnsi="Arial"/>
          <w:sz w:val="14"/>
          <w:szCs w:val="14"/>
          <w:color w:val="auto"/>
        </w:rPr>
        <w:t>Steven J. Gray</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4"/>
          <w:szCs w:val="14"/>
          <w:color w:val="auto"/>
        </w:rPr>
        <w:t>Secretary of Franklin Advisory Services,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297180</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Page 11 of 14</w:t>
      </w:r>
    </w:p>
    <w:p>
      <w:pPr>
        <w:sectPr>
          <w:pgSz w:w="11900" w:h="16838" w:orient="portrait"/>
          <w:cols w:equalWidth="0" w:num="2">
            <w:col w:w="7960" w:space="720"/>
            <w:col w:w="999"/>
          </w:cols>
          <w:pgMar w:left="780" w:top="345"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72"/>
        </w:trPr>
        <w:tc>
          <w:tcPr>
            <w:tcW w:w="800" w:type="dxa"/>
            <w:vAlign w:val="bottom"/>
          </w:tcPr>
          <w:p>
            <w:pPr>
              <w:spacing w:after="0"/>
              <w:rPr>
                <w:sz w:val="20"/>
                <w:szCs w:val="20"/>
                <w:color w:val="auto"/>
              </w:rPr>
            </w:pPr>
            <w:r>
              <w:rPr>
                <w:rFonts w:ascii="Arial" w:cs="Arial" w:eastAsia="Arial" w:hAnsi="Arial"/>
                <w:sz w:val="14"/>
                <w:szCs w:val="14"/>
                <w:color w:val="auto"/>
              </w:rPr>
              <w:t>CUSIP NO.</w:t>
            </w:r>
          </w:p>
        </w:tc>
        <w:tc>
          <w:tcPr>
            <w:tcW w:w="2360" w:type="dxa"/>
            <w:vAlign w:val="bottom"/>
          </w:tcPr>
          <w:p>
            <w:pPr>
              <w:jc w:val="right"/>
              <w:ind w:right="1552"/>
              <w:spacing w:after="0"/>
              <w:rPr>
                <w:sz w:val="20"/>
                <w:szCs w:val="20"/>
                <w:color w:val="auto"/>
              </w:rPr>
            </w:pPr>
            <w:r>
              <w:rPr>
                <w:rFonts w:ascii="Arial" w:cs="Arial" w:eastAsia="Arial" w:hAnsi="Arial"/>
                <w:sz w:val="14"/>
                <w:szCs w:val="14"/>
                <w:color w:val="auto"/>
              </w:rPr>
              <w:t>913543104</w:t>
            </w:r>
          </w:p>
        </w:tc>
        <w:tc>
          <w:tcPr>
            <w:tcW w:w="1840" w:type="dxa"/>
            <w:vAlign w:val="bottom"/>
          </w:tcPr>
          <w:p>
            <w:pPr>
              <w:ind w:left="1620"/>
              <w:spacing w:after="0"/>
              <w:rPr>
                <w:sz w:val="20"/>
                <w:szCs w:val="20"/>
                <w:color w:val="auto"/>
              </w:rPr>
            </w:pPr>
            <w:r>
              <w:rPr>
                <w:rFonts w:ascii="Arial" w:cs="Arial" w:eastAsia="Arial" w:hAnsi="Arial"/>
                <w:sz w:val="14"/>
                <w:szCs w:val="14"/>
                <w:color w:val="auto"/>
                <w:w w:val="75"/>
              </w:rPr>
              <w:t>13G</w:t>
            </w:r>
          </w:p>
        </w:tc>
      </w:tr>
    </w:tbl>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auto"/>
        </w:rPr>
        <w:t>EXHIBIT B</w:t>
      </w:r>
    </w:p>
    <w:p>
      <w:pPr>
        <w:spacing w:after="0" w:line="271" w:lineRule="exact"/>
        <w:rPr>
          <w:sz w:val="20"/>
          <w:szCs w:val="20"/>
          <w:color w:val="auto"/>
        </w:rPr>
      </w:pPr>
    </w:p>
    <w:p>
      <w:pPr>
        <w:ind w:left="3780"/>
        <w:spacing w:after="0"/>
        <w:rPr>
          <w:sz w:val="20"/>
          <w:szCs w:val="20"/>
          <w:color w:val="auto"/>
        </w:rPr>
      </w:pPr>
      <w:r>
        <w:rPr>
          <w:rFonts w:ascii="Arial" w:cs="Arial" w:eastAsia="Arial" w:hAnsi="Arial"/>
          <w:sz w:val="14"/>
          <w:szCs w:val="14"/>
          <w:color w:val="auto"/>
        </w:rPr>
        <w:t>LIMITED POWER OF ATTORNEY</w:t>
      </w:r>
    </w:p>
    <w:p>
      <w:pPr>
        <w:spacing w:after="0" w:line="28" w:lineRule="exact"/>
        <w:rPr>
          <w:sz w:val="20"/>
          <w:szCs w:val="20"/>
          <w:color w:val="auto"/>
        </w:rPr>
      </w:pPr>
    </w:p>
    <w:p>
      <w:pPr>
        <w:ind w:left="4700"/>
        <w:spacing w:after="0"/>
        <w:rPr>
          <w:sz w:val="20"/>
          <w:szCs w:val="20"/>
          <w:color w:val="auto"/>
        </w:rPr>
      </w:pPr>
      <w:r>
        <w:rPr>
          <w:rFonts w:ascii="Arial" w:cs="Arial" w:eastAsia="Arial" w:hAnsi="Arial"/>
          <w:sz w:val="14"/>
          <w:szCs w:val="14"/>
          <w:color w:val="auto"/>
        </w:rPr>
        <w:t>FOR</w:t>
      </w:r>
    </w:p>
    <w:p>
      <w:pPr>
        <w:spacing w:after="0" w:line="28" w:lineRule="exact"/>
        <w:rPr>
          <w:sz w:val="20"/>
          <w:szCs w:val="20"/>
          <w:color w:val="auto"/>
        </w:rPr>
      </w:pPr>
    </w:p>
    <w:p>
      <w:pPr>
        <w:ind w:left="3460"/>
        <w:spacing w:after="0"/>
        <w:rPr>
          <w:sz w:val="20"/>
          <w:szCs w:val="20"/>
          <w:color w:val="auto"/>
        </w:rPr>
      </w:pPr>
      <w:r>
        <w:rPr>
          <w:rFonts w:ascii="Arial" w:cs="Arial" w:eastAsia="Arial" w:hAnsi="Arial"/>
          <w:sz w:val="14"/>
          <w:szCs w:val="14"/>
          <w:u w:val="single" w:color="auto"/>
          <w:color w:val="auto"/>
        </w:rPr>
        <w:t>SECTION 13 REPORTING OBLIGATIONS</w:t>
      </w:r>
    </w:p>
    <w:p>
      <w:pPr>
        <w:spacing w:after="0" w:line="244" w:lineRule="exact"/>
        <w:rPr>
          <w:sz w:val="20"/>
          <w:szCs w:val="20"/>
          <w:color w:val="auto"/>
        </w:rPr>
      </w:pPr>
    </w:p>
    <w:p>
      <w:pPr>
        <w:ind w:right="2060" w:firstLine="702"/>
        <w:spacing w:after="0" w:line="287" w:lineRule="auto"/>
        <w:rPr>
          <w:sz w:val="20"/>
          <w:szCs w:val="20"/>
          <w:color w:val="auto"/>
        </w:rPr>
      </w:pPr>
      <w:r>
        <w:rPr>
          <w:rFonts w:ascii="Arial" w:cs="Arial" w:eastAsia="Arial" w:hAnsi="Arial"/>
          <w:sz w:val="14"/>
          <w:szCs w:val="14"/>
          <w:color w:val="auto"/>
        </w:rPr>
        <w:t>Know all by these presents, that the undersigned hereby makes, constitutes and appoints each of Robert Rosselot and Maria Gray, each acting individually, as the undersigned’s true and lawful attorney-in-fact, with full power and authority as hereinafter described on behalf of and in the name, place and stead of the undersigned to:</w:t>
      </w:r>
    </w:p>
    <w:p>
      <w:pPr>
        <w:spacing w:after="0" w:line="189" w:lineRule="exact"/>
        <w:rPr>
          <w:sz w:val="20"/>
          <w:szCs w:val="20"/>
          <w:color w:val="auto"/>
        </w:rPr>
      </w:pPr>
    </w:p>
    <w:p>
      <w:pPr>
        <w:ind w:left="500" w:hanging="492"/>
        <w:spacing w:after="0"/>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prepare, execute, acknowledge, deliver and file Schedules 13D and 13G (including any amendments</w:t>
      </w:r>
    </w:p>
    <w:p>
      <w:pPr>
        <w:spacing w:after="0" w:line="41" w:lineRule="exact"/>
        <w:rPr>
          <w:rFonts w:ascii="Arial" w:cs="Arial" w:eastAsia="Arial" w:hAnsi="Arial"/>
          <w:sz w:val="14"/>
          <w:szCs w:val="14"/>
          <w:color w:val="auto"/>
        </w:rPr>
      </w:pPr>
    </w:p>
    <w:p>
      <w:pPr>
        <w:ind w:right="2140"/>
        <w:spacing w:after="0" w:line="348" w:lineRule="auto"/>
        <w:rPr>
          <w:rFonts w:ascii="Arial" w:cs="Arial" w:eastAsia="Arial" w:hAnsi="Arial"/>
          <w:sz w:val="14"/>
          <w:szCs w:val="14"/>
          <w:color w:val="auto"/>
        </w:rPr>
      </w:pPr>
      <w:r>
        <w:rPr>
          <w:rFonts w:ascii="Arial" w:cs="Arial" w:eastAsia="Arial" w:hAnsi="Arial"/>
          <w:sz w:val="12"/>
          <w:szCs w:val="12"/>
          <w:color w:val="auto"/>
        </w:rPr>
        <w:t>thereto or any related documentation) with the United States Securities and Exchange Commission, any national securities exchanges and Franklin Resources, Inc., a Delaware corporation (the “Reporting Entity”), as considered necessary or advisable under Section 13 of the Securities Exchange Act of 1934 and the rules and regulations promulgated thereunder, as amended from time to time (the “Exchange Act”); and</w:t>
      </w:r>
    </w:p>
    <w:p>
      <w:pPr>
        <w:spacing w:after="0" w:line="158" w:lineRule="exact"/>
        <w:rPr>
          <w:rFonts w:ascii="Arial" w:cs="Arial" w:eastAsia="Arial" w:hAnsi="Arial"/>
          <w:sz w:val="14"/>
          <w:szCs w:val="14"/>
          <w:color w:val="auto"/>
        </w:rPr>
      </w:pPr>
    </w:p>
    <w:p>
      <w:pPr>
        <w:ind w:right="2360" w:firstLine="8"/>
        <w:spacing w:after="0" w:line="412" w:lineRule="auto"/>
        <w:tabs>
          <w:tab w:leader="none" w:pos="500" w:val="left"/>
        </w:tabs>
        <w:numPr>
          <w:ilvl w:val="0"/>
          <w:numId w:val="31"/>
        </w:numPr>
        <w:rPr>
          <w:rFonts w:ascii="Arial" w:cs="Arial" w:eastAsia="Arial" w:hAnsi="Arial"/>
          <w:sz w:val="12"/>
          <w:szCs w:val="12"/>
          <w:color w:val="auto"/>
        </w:rPr>
      </w:pPr>
      <w:r>
        <w:rPr>
          <w:rFonts w:ascii="Arial" w:cs="Arial" w:eastAsia="Arial" w:hAnsi="Arial"/>
          <w:sz w:val="12"/>
          <w:szCs w:val="12"/>
          <w:color w:val="auto"/>
        </w:rPr>
        <w:t>perform any and all other acts which in the discretion of such attorney-in-fact are necessary or desirable for and on behalf of the undersigned in connection with the foregoing.</w:t>
      </w:r>
    </w:p>
    <w:p>
      <w:pPr>
        <w:spacing w:after="0" w:line="134" w:lineRule="exact"/>
        <w:rPr>
          <w:sz w:val="20"/>
          <w:szCs w:val="20"/>
          <w:color w:val="auto"/>
        </w:rPr>
      </w:pPr>
    </w:p>
    <w:p>
      <w:pPr>
        <w:ind w:left="720"/>
        <w:spacing w:after="0"/>
        <w:rPr>
          <w:sz w:val="20"/>
          <w:szCs w:val="20"/>
          <w:color w:val="auto"/>
        </w:rPr>
      </w:pPr>
      <w:r>
        <w:rPr>
          <w:rFonts w:ascii="Arial" w:cs="Arial" w:eastAsia="Arial" w:hAnsi="Arial"/>
          <w:sz w:val="14"/>
          <w:szCs w:val="14"/>
          <w:color w:val="auto"/>
        </w:rPr>
        <w:t>The undersigned acknowledges that:</w:t>
      </w:r>
    </w:p>
    <w:p>
      <w:pPr>
        <w:spacing w:after="0" w:line="231"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this Limited Power of Attorney authorizes, but does not require, each such attorney-in-fact to act in</w:t>
      </w:r>
    </w:p>
    <w:p>
      <w:pPr>
        <w:spacing w:after="0" w:line="41" w:lineRule="exact"/>
        <w:rPr>
          <w:rFonts w:ascii="Arial" w:cs="Arial" w:eastAsia="Arial" w:hAnsi="Arial"/>
          <w:sz w:val="14"/>
          <w:szCs w:val="14"/>
          <w:color w:val="auto"/>
        </w:rPr>
      </w:pPr>
    </w:p>
    <w:p>
      <w:pPr>
        <w:ind w:right="2260"/>
        <w:spacing w:after="0" w:line="298" w:lineRule="auto"/>
        <w:rPr>
          <w:rFonts w:ascii="Arial" w:cs="Arial" w:eastAsia="Arial" w:hAnsi="Arial"/>
          <w:sz w:val="14"/>
          <w:szCs w:val="14"/>
          <w:color w:val="auto"/>
        </w:rPr>
      </w:pPr>
      <w:r>
        <w:rPr>
          <w:rFonts w:ascii="Arial" w:cs="Arial" w:eastAsia="Arial" w:hAnsi="Arial"/>
          <w:sz w:val="14"/>
          <w:szCs w:val="14"/>
          <w:color w:val="auto"/>
        </w:rPr>
        <w:t>their discretion on information provided to such attorney-in-fact without independent verification of such information;</w:t>
      </w:r>
    </w:p>
    <w:p>
      <w:pPr>
        <w:spacing w:after="0" w:line="180" w:lineRule="exact"/>
        <w:rPr>
          <w:rFonts w:ascii="Arial" w:cs="Arial" w:eastAsia="Arial" w:hAnsi="Arial"/>
          <w:sz w:val="14"/>
          <w:szCs w:val="14"/>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any documents prepared and/or executed by either such attorney-in-fact on behalf of the undersigned</w:t>
      </w:r>
    </w:p>
    <w:p>
      <w:pPr>
        <w:spacing w:after="0" w:line="41" w:lineRule="exact"/>
        <w:rPr>
          <w:rFonts w:ascii="Arial" w:cs="Arial" w:eastAsia="Arial" w:hAnsi="Arial"/>
          <w:sz w:val="14"/>
          <w:szCs w:val="14"/>
          <w:color w:val="auto"/>
        </w:rPr>
      </w:pPr>
    </w:p>
    <w:p>
      <w:pPr>
        <w:ind w:right="2420"/>
        <w:spacing w:after="0" w:line="388" w:lineRule="auto"/>
        <w:rPr>
          <w:rFonts w:ascii="Arial" w:cs="Arial" w:eastAsia="Arial" w:hAnsi="Arial"/>
          <w:sz w:val="14"/>
          <w:szCs w:val="14"/>
          <w:color w:val="auto"/>
        </w:rPr>
      </w:pPr>
      <w:r>
        <w:rPr>
          <w:rFonts w:ascii="Arial" w:cs="Arial" w:eastAsia="Arial" w:hAnsi="Arial"/>
          <w:sz w:val="12"/>
          <w:szCs w:val="12"/>
          <w:color w:val="auto"/>
        </w:rPr>
        <w:t>pursuant to this Limited Power of Attorney will be in such form and will contain such information and disclosure as such attorney-in-fact, in his or her discretion, deems necessary or desirable;</w:t>
      </w:r>
    </w:p>
    <w:p>
      <w:pPr>
        <w:spacing w:after="0" w:line="134" w:lineRule="exact"/>
        <w:rPr>
          <w:rFonts w:ascii="Arial" w:cs="Arial" w:eastAsia="Arial" w:hAnsi="Arial"/>
          <w:sz w:val="14"/>
          <w:szCs w:val="14"/>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neither the Reporting Entity nor either of such attorneys-in-fact assumes (i) any liability for the</w:t>
      </w:r>
    </w:p>
    <w:p>
      <w:pPr>
        <w:spacing w:after="0" w:line="41" w:lineRule="exact"/>
        <w:rPr>
          <w:rFonts w:ascii="Arial" w:cs="Arial" w:eastAsia="Arial" w:hAnsi="Arial"/>
          <w:sz w:val="14"/>
          <w:szCs w:val="14"/>
          <w:color w:val="auto"/>
        </w:rPr>
      </w:pPr>
    </w:p>
    <w:p>
      <w:pPr>
        <w:ind w:right="2320"/>
        <w:spacing w:after="0" w:line="298" w:lineRule="auto"/>
        <w:rPr>
          <w:rFonts w:ascii="Arial" w:cs="Arial" w:eastAsia="Arial" w:hAnsi="Arial"/>
          <w:sz w:val="14"/>
          <w:szCs w:val="14"/>
          <w:color w:val="auto"/>
        </w:rPr>
      </w:pPr>
      <w:r>
        <w:rPr>
          <w:rFonts w:ascii="Arial" w:cs="Arial" w:eastAsia="Arial" w:hAnsi="Arial"/>
          <w:sz w:val="14"/>
          <w:szCs w:val="14"/>
          <w:color w:val="auto"/>
        </w:rPr>
        <w:t>undersigned’s responsibility to comply with the requirements of the Exchange Act or (ii) any liability of the undersigned for any failure to comply with such requirements; and</w:t>
      </w:r>
    </w:p>
    <w:p>
      <w:pPr>
        <w:spacing w:after="0" w:line="180" w:lineRule="exact"/>
        <w:rPr>
          <w:rFonts w:ascii="Arial" w:cs="Arial" w:eastAsia="Arial" w:hAnsi="Arial"/>
          <w:sz w:val="14"/>
          <w:szCs w:val="14"/>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this Limited Power of Attorney does not relieve the undersigned from responsibility for compliance</w:t>
      </w:r>
    </w:p>
    <w:p>
      <w:pPr>
        <w:spacing w:after="0" w:line="41" w:lineRule="exact"/>
        <w:rPr>
          <w:rFonts w:ascii="Arial" w:cs="Arial" w:eastAsia="Arial" w:hAnsi="Arial"/>
          <w:sz w:val="14"/>
          <w:szCs w:val="14"/>
          <w:color w:val="auto"/>
        </w:rPr>
      </w:pPr>
    </w:p>
    <w:p>
      <w:pPr>
        <w:ind w:right="2440"/>
        <w:spacing w:after="0" w:line="298" w:lineRule="auto"/>
        <w:rPr>
          <w:rFonts w:ascii="Arial" w:cs="Arial" w:eastAsia="Arial" w:hAnsi="Arial"/>
          <w:sz w:val="14"/>
          <w:szCs w:val="14"/>
          <w:color w:val="auto"/>
        </w:rPr>
      </w:pPr>
      <w:r>
        <w:rPr>
          <w:rFonts w:ascii="Arial" w:cs="Arial" w:eastAsia="Arial" w:hAnsi="Arial"/>
          <w:sz w:val="14"/>
          <w:szCs w:val="14"/>
          <w:color w:val="auto"/>
        </w:rPr>
        <w:t>with the undersigned’s obligations under the Exchange Act, including without limitation the reporting requirements under Section 13 of the Exchange Act.</w:t>
      </w:r>
    </w:p>
    <w:p>
      <w:pPr>
        <w:spacing w:after="0" w:line="194" w:lineRule="exact"/>
        <w:rPr>
          <w:sz w:val="20"/>
          <w:szCs w:val="20"/>
          <w:color w:val="auto"/>
        </w:rPr>
      </w:pPr>
    </w:p>
    <w:p>
      <w:pPr>
        <w:ind w:right="2320" w:firstLine="324"/>
        <w:spacing w:after="0" w:line="343" w:lineRule="auto"/>
        <w:rPr>
          <w:sz w:val="20"/>
          <w:szCs w:val="20"/>
          <w:color w:val="auto"/>
        </w:rPr>
      </w:pPr>
      <w:r>
        <w:rPr>
          <w:rFonts w:ascii="Arial" w:cs="Arial" w:eastAsia="Arial" w:hAnsi="Arial"/>
          <w:sz w:val="12"/>
          <w:szCs w:val="12"/>
          <w:color w:val="auto"/>
        </w:rPr>
        <w:t>The undersigned hereby gives and grants each of the foregoing attorneys-in-fact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attorney-in-fact of, for and on behalf of the undersigned, shall lawfully do or cause to be done by virtue of this Limited Power of Attorney.</w:t>
      </w:r>
    </w:p>
    <w:p>
      <w:pPr>
        <w:spacing w:after="0" w:line="175" w:lineRule="exact"/>
        <w:rPr>
          <w:sz w:val="20"/>
          <w:szCs w:val="20"/>
          <w:color w:val="auto"/>
        </w:rPr>
      </w:pPr>
    </w:p>
    <w:p>
      <w:pPr>
        <w:ind w:right="2140" w:firstLine="324"/>
        <w:spacing w:after="0" w:line="298" w:lineRule="auto"/>
        <w:rPr>
          <w:sz w:val="20"/>
          <w:szCs w:val="20"/>
          <w:color w:val="auto"/>
        </w:rPr>
      </w:pPr>
      <w:r>
        <w:rPr>
          <w:rFonts w:ascii="Arial" w:cs="Arial" w:eastAsia="Arial" w:hAnsi="Arial"/>
          <w:sz w:val="14"/>
          <w:szCs w:val="14"/>
          <w:color w:val="auto"/>
        </w:rPr>
        <w:t>This Limited Power of Attorney shall remain in full force and effect until revoked by the undersigned in a signed writing delivered to each such attorney-in-fact.</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IN WITNESS WHEREOF, the undersigned has caused this Limited Power of Attorney to be executed as</w:t>
      </w:r>
    </w:p>
    <w:p>
      <w:pPr>
        <w:spacing w:after="0" w:line="15" w:lineRule="exact"/>
        <w:rPr>
          <w:sz w:val="20"/>
          <w:szCs w:val="20"/>
          <w:color w:val="auto"/>
        </w:rPr>
      </w:pPr>
    </w:p>
    <w:p>
      <w:pPr>
        <w:spacing w:after="0"/>
        <w:tabs>
          <w:tab w:leader="none" w:pos="1020" w:val="left"/>
          <w:tab w:leader="none" w:pos="1900" w:val="left"/>
          <w:tab w:leader="none" w:pos="3280" w:val="left"/>
          <w:tab w:leader="none" w:pos="4400" w:val="left"/>
        </w:tabs>
        <w:rPr>
          <w:sz w:val="20"/>
          <w:szCs w:val="20"/>
          <w:color w:val="auto"/>
        </w:rPr>
      </w:pPr>
      <w:r>
        <w:rPr>
          <w:rFonts w:ascii="Arial" w:cs="Arial" w:eastAsia="Arial" w:hAnsi="Arial"/>
          <w:sz w:val="14"/>
          <w:szCs w:val="14"/>
          <w:color w:val="auto"/>
        </w:rPr>
        <w:t>of this</w:t>
      </w:r>
      <w:r>
        <w:rPr>
          <w:sz w:val="20"/>
          <w:szCs w:val="20"/>
          <w:color w:val="auto"/>
        </w:rPr>
        <w:tab/>
      </w:r>
      <w:r>
        <w:rPr>
          <w:rFonts w:ascii="Arial" w:cs="Arial" w:eastAsia="Arial" w:hAnsi="Arial"/>
          <w:sz w:val="14"/>
          <w:szCs w:val="14"/>
          <w:u w:val="single" w:color="auto"/>
          <w:color w:val="auto"/>
        </w:rPr>
        <w:t>30th</w:t>
      </w:r>
      <w:r>
        <w:rPr>
          <w:sz w:val="20"/>
          <w:szCs w:val="20"/>
          <w:color w:val="auto"/>
        </w:rPr>
        <w:tab/>
      </w:r>
      <w:r>
        <w:rPr>
          <w:rFonts w:ascii="Arial" w:cs="Arial" w:eastAsia="Arial" w:hAnsi="Arial"/>
          <w:sz w:val="14"/>
          <w:szCs w:val="14"/>
          <w:color w:val="auto"/>
        </w:rPr>
        <w:t>day of</w:t>
      </w:r>
      <w:r>
        <w:rPr>
          <w:sz w:val="20"/>
          <w:szCs w:val="20"/>
          <w:color w:val="auto"/>
        </w:rPr>
        <w:tab/>
      </w:r>
      <w:r>
        <w:rPr>
          <w:rFonts w:ascii="Arial" w:cs="Arial" w:eastAsia="Arial" w:hAnsi="Arial"/>
          <w:sz w:val="14"/>
          <w:szCs w:val="14"/>
          <w:u w:val="single" w:color="auto"/>
          <w:color w:val="auto"/>
        </w:rPr>
        <w:t>April</w:t>
      </w:r>
      <w:r>
        <w:rPr>
          <w:sz w:val="20"/>
          <w:szCs w:val="20"/>
          <w:color w:val="auto"/>
        </w:rPr>
        <w:tab/>
      </w:r>
      <w:r>
        <w:rPr>
          <w:rFonts w:ascii="Arial" w:cs="Arial" w:eastAsia="Arial" w:hAnsi="Arial"/>
          <w:sz w:val="12"/>
          <w:szCs w:val="12"/>
          <w:color w:val="auto"/>
        </w:rPr>
        <w:t>, 2007</w:t>
      </w:r>
    </w:p>
    <w:p>
      <w:pPr>
        <w:spacing w:after="0" w:line="258" w:lineRule="exact"/>
        <w:rPr>
          <w:sz w:val="20"/>
          <w:szCs w:val="20"/>
          <w:color w:val="auto"/>
        </w:rPr>
      </w:pPr>
    </w:p>
    <w:p>
      <w:pPr>
        <w:jc w:val="right"/>
        <w:ind w:right="1060"/>
        <w:spacing w:after="0"/>
        <w:rPr>
          <w:sz w:val="20"/>
          <w:szCs w:val="20"/>
          <w:color w:val="auto"/>
        </w:rPr>
      </w:pPr>
      <w:r>
        <w:rPr>
          <w:rFonts w:ascii="Arial" w:cs="Arial" w:eastAsia="Arial" w:hAnsi="Arial"/>
          <w:sz w:val="14"/>
          <w:szCs w:val="14"/>
          <w:u w:val="single" w:color="auto"/>
          <w:color w:val="auto"/>
        </w:rPr>
        <w:t>/s/Charles B. Johnson</w:t>
      </w:r>
    </w:p>
    <w:p>
      <w:pPr>
        <w:spacing w:after="0" w:line="244" w:lineRule="exact"/>
        <w:rPr>
          <w:sz w:val="20"/>
          <w:szCs w:val="20"/>
          <w:color w:val="auto"/>
        </w:rPr>
      </w:pPr>
    </w:p>
    <w:p>
      <w:pPr>
        <w:ind w:left="5720"/>
        <w:spacing w:after="0"/>
        <w:rPr>
          <w:sz w:val="20"/>
          <w:szCs w:val="20"/>
          <w:color w:val="auto"/>
        </w:rPr>
      </w:pPr>
      <w:r>
        <w:rPr>
          <w:rFonts w:ascii="Arial" w:cs="Arial" w:eastAsia="Arial" w:hAnsi="Arial"/>
          <w:sz w:val="14"/>
          <w:szCs w:val="14"/>
          <w:color w:val="auto"/>
        </w:rPr>
        <w:t>Signature</w:t>
      </w:r>
    </w:p>
    <w:p>
      <w:pPr>
        <w:spacing w:after="0" w:line="244" w:lineRule="exact"/>
        <w:rPr>
          <w:sz w:val="20"/>
          <w:szCs w:val="20"/>
          <w:color w:val="auto"/>
        </w:rPr>
      </w:pPr>
    </w:p>
    <w:p>
      <w:pPr>
        <w:ind w:left="5720"/>
        <w:spacing w:after="0"/>
        <w:rPr>
          <w:sz w:val="20"/>
          <w:szCs w:val="20"/>
          <w:color w:val="auto"/>
        </w:rPr>
      </w:pPr>
      <w:r>
        <w:rPr>
          <w:rFonts w:ascii="Arial" w:cs="Arial" w:eastAsia="Arial" w:hAnsi="Arial"/>
          <w:sz w:val="12"/>
          <w:szCs w:val="12"/>
          <w:u w:val="single" w:color="auto"/>
          <w:color w:val="auto"/>
        </w:rPr>
        <w:t>Charles B. Johnson</w:t>
      </w:r>
    </w:p>
    <w:p>
      <w:pPr>
        <w:spacing w:after="0" w:line="267" w:lineRule="exact"/>
        <w:rPr>
          <w:sz w:val="20"/>
          <w:szCs w:val="20"/>
          <w:color w:val="auto"/>
        </w:rPr>
      </w:pPr>
    </w:p>
    <w:p>
      <w:pPr>
        <w:ind w:left="5720"/>
        <w:spacing w:after="0"/>
        <w:rPr>
          <w:sz w:val="20"/>
          <w:szCs w:val="20"/>
          <w:color w:val="auto"/>
        </w:rPr>
      </w:pPr>
      <w:r>
        <w:rPr>
          <w:rFonts w:ascii="Arial" w:cs="Arial" w:eastAsia="Arial" w:hAnsi="Arial"/>
          <w:sz w:val="14"/>
          <w:szCs w:val="14"/>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356870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Page 12 of 14</w:t>
      </w:r>
    </w:p>
    <w:p>
      <w:pPr>
        <w:sectPr>
          <w:pgSz w:w="11900" w:h="16838" w:orient="portrait"/>
          <w:cols w:equalWidth="0" w:num="2">
            <w:col w:w="7960" w:space="720"/>
            <w:col w:w="999"/>
          </w:cols>
          <w:pgMar w:left="780" w:top="345"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72"/>
        </w:trPr>
        <w:tc>
          <w:tcPr>
            <w:tcW w:w="800" w:type="dxa"/>
            <w:vAlign w:val="bottom"/>
          </w:tcPr>
          <w:p>
            <w:pPr>
              <w:spacing w:after="0"/>
              <w:rPr>
                <w:sz w:val="20"/>
                <w:szCs w:val="20"/>
                <w:color w:val="auto"/>
              </w:rPr>
            </w:pPr>
            <w:r>
              <w:rPr>
                <w:rFonts w:ascii="Arial" w:cs="Arial" w:eastAsia="Arial" w:hAnsi="Arial"/>
                <w:sz w:val="14"/>
                <w:szCs w:val="14"/>
                <w:color w:val="auto"/>
              </w:rPr>
              <w:t>CUSIP NO.</w:t>
            </w:r>
          </w:p>
        </w:tc>
        <w:tc>
          <w:tcPr>
            <w:tcW w:w="2360" w:type="dxa"/>
            <w:vAlign w:val="bottom"/>
          </w:tcPr>
          <w:p>
            <w:pPr>
              <w:jc w:val="right"/>
              <w:ind w:right="1552"/>
              <w:spacing w:after="0"/>
              <w:rPr>
                <w:sz w:val="20"/>
                <w:szCs w:val="20"/>
                <w:color w:val="auto"/>
              </w:rPr>
            </w:pPr>
            <w:r>
              <w:rPr>
                <w:rFonts w:ascii="Arial" w:cs="Arial" w:eastAsia="Arial" w:hAnsi="Arial"/>
                <w:sz w:val="14"/>
                <w:szCs w:val="14"/>
                <w:color w:val="auto"/>
              </w:rPr>
              <w:t>913543104</w:t>
            </w:r>
          </w:p>
        </w:tc>
        <w:tc>
          <w:tcPr>
            <w:tcW w:w="1840" w:type="dxa"/>
            <w:vAlign w:val="bottom"/>
          </w:tcPr>
          <w:p>
            <w:pPr>
              <w:ind w:left="1620"/>
              <w:spacing w:after="0"/>
              <w:rPr>
                <w:sz w:val="20"/>
                <w:szCs w:val="20"/>
                <w:color w:val="auto"/>
              </w:rPr>
            </w:pPr>
            <w:r>
              <w:rPr>
                <w:rFonts w:ascii="Arial" w:cs="Arial" w:eastAsia="Arial" w:hAnsi="Arial"/>
                <w:sz w:val="14"/>
                <w:szCs w:val="14"/>
                <w:color w:val="auto"/>
                <w:w w:val="75"/>
              </w:rPr>
              <w:t>13G</w:t>
            </w:r>
          </w:p>
        </w:tc>
      </w:tr>
    </w:tbl>
    <w:p>
      <w:pPr>
        <w:spacing w:after="0" w:line="200" w:lineRule="exact"/>
        <w:rPr>
          <w:sz w:val="20"/>
          <w:szCs w:val="20"/>
          <w:color w:val="auto"/>
        </w:rPr>
      </w:pPr>
    </w:p>
    <w:p>
      <w:pPr>
        <w:spacing w:after="0" w:line="262" w:lineRule="exact"/>
        <w:rPr>
          <w:sz w:val="20"/>
          <w:szCs w:val="20"/>
          <w:color w:val="auto"/>
        </w:rPr>
      </w:pPr>
    </w:p>
    <w:p>
      <w:pPr>
        <w:ind w:left="3740"/>
        <w:spacing w:after="0"/>
        <w:rPr>
          <w:sz w:val="20"/>
          <w:szCs w:val="20"/>
          <w:color w:val="auto"/>
        </w:rPr>
      </w:pPr>
      <w:r>
        <w:rPr>
          <w:rFonts w:ascii="Arial" w:cs="Arial" w:eastAsia="Arial" w:hAnsi="Arial"/>
          <w:sz w:val="14"/>
          <w:szCs w:val="14"/>
          <w:color w:val="auto"/>
        </w:rPr>
        <w:t>LIMITED POWER OF ATTORNEY</w:t>
      </w:r>
    </w:p>
    <w:p>
      <w:pPr>
        <w:spacing w:after="0" w:line="28" w:lineRule="exact"/>
        <w:rPr>
          <w:sz w:val="20"/>
          <w:szCs w:val="20"/>
          <w:color w:val="auto"/>
        </w:rPr>
      </w:pPr>
    </w:p>
    <w:p>
      <w:pPr>
        <w:ind w:left="4700"/>
        <w:spacing w:after="0"/>
        <w:rPr>
          <w:sz w:val="20"/>
          <w:szCs w:val="20"/>
          <w:color w:val="auto"/>
        </w:rPr>
      </w:pPr>
      <w:r>
        <w:rPr>
          <w:rFonts w:ascii="Arial" w:cs="Arial" w:eastAsia="Arial" w:hAnsi="Arial"/>
          <w:sz w:val="14"/>
          <w:szCs w:val="14"/>
          <w:color w:val="auto"/>
        </w:rPr>
        <w:t>FOR</w:t>
      </w:r>
    </w:p>
    <w:p>
      <w:pPr>
        <w:spacing w:after="0" w:line="28" w:lineRule="exact"/>
        <w:rPr>
          <w:sz w:val="20"/>
          <w:szCs w:val="20"/>
          <w:color w:val="auto"/>
        </w:rPr>
      </w:pPr>
    </w:p>
    <w:p>
      <w:pPr>
        <w:ind w:left="3460"/>
        <w:spacing w:after="0"/>
        <w:rPr>
          <w:sz w:val="20"/>
          <w:szCs w:val="20"/>
          <w:color w:val="auto"/>
        </w:rPr>
      </w:pPr>
      <w:r>
        <w:rPr>
          <w:rFonts w:ascii="Arial" w:cs="Arial" w:eastAsia="Arial" w:hAnsi="Arial"/>
          <w:sz w:val="14"/>
          <w:szCs w:val="14"/>
          <w:u w:val="single" w:color="auto"/>
          <w:color w:val="auto"/>
        </w:rPr>
        <w:t>SECTION 13 REPORTING OBLIGATIONS</w:t>
      </w:r>
    </w:p>
    <w:p>
      <w:pPr>
        <w:spacing w:after="0" w:line="244" w:lineRule="exact"/>
        <w:rPr>
          <w:sz w:val="20"/>
          <w:szCs w:val="20"/>
          <w:color w:val="auto"/>
        </w:rPr>
      </w:pPr>
    </w:p>
    <w:p>
      <w:pPr>
        <w:ind w:right="2060" w:firstLine="702"/>
        <w:spacing w:after="0" w:line="287" w:lineRule="auto"/>
        <w:rPr>
          <w:sz w:val="20"/>
          <w:szCs w:val="20"/>
          <w:color w:val="auto"/>
        </w:rPr>
      </w:pPr>
      <w:r>
        <w:rPr>
          <w:rFonts w:ascii="Arial" w:cs="Arial" w:eastAsia="Arial" w:hAnsi="Arial"/>
          <w:sz w:val="14"/>
          <w:szCs w:val="14"/>
          <w:color w:val="auto"/>
        </w:rPr>
        <w:t>Know all by these presents, that the undersigned hereby makes, constitutes and appoints each of Robert Rosselot and Maria Gray, each acting individually, as the undersigned’s true and lawful attorney-in-fact, with full power and authority as hereinafter described on behalf of and in the name, place and stead of the undersigned to:</w:t>
      </w:r>
    </w:p>
    <w:p>
      <w:pPr>
        <w:spacing w:after="0" w:line="189" w:lineRule="exact"/>
        <w:rPr>
          <w:sz w:val="20"/>
          <w:szCs w:val="20"/>
          <w:color w:val="auto"/>
        </w:rPr>
      </w:pPr>
    </w:p>
    <w:p>
      <w:pPr>
        <w:ind w:left="500" w:hanging="492"/>
        <w:spacing w:after="0"/>
        <w:tabs>
          <w:tab w:leader="none" w:pos="5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prepare, execute, acknowledge, deliver and file Schedules 13D and 13G (including any amendments</w:t>
      </w:r>
    </w:p>
    <w:p>
      <w:pPr>
        <w:spacing w:after="0" w:line="41" w:lineRule="exact"/>
        <w:rPr>
          <w:rFonts w:ascii="Arial" w:cs="Arial" w:eastAsia="Arial" w:hAnsi="Arial"/>
          <w:sz w:val="14"/>
          <w:szCs w:val="14"/>
          <w:color w:val="auto"/>
        </w:rPr>
      </w:pPr>
    </w:p>
    <w:p>
      <w:pPr>
        <w:ind w:right="2140"/>
        <w:spacing w:after="0" w:line="348" w:lineRule="auto"/>
        <w:rPr>
          <w:rFonts w:ascii="Arial" w:cs="Arial" w:eastAsia="Arial" w:hAnsi="Arial"/>
          <w:sz w:val="14"/>
          <w:szCs w:val="14"/>
          <w:color w:val="auto"/>
        </w:rPr>
      </w:pPr>
      <w:r>
        <w:rPr>
          <w:rFonts w:ascii="Arial" w:cs="Arial" w:eastAsia="Arial" w:hAnsi="Arial"/>
          <w:sz w:val="12"/>
          <w:szCs w:val="12"/>
          <w:color w:val="auto"/>
        </w:rPr>
        <w:t>thereto or any related documentation) with the United States Securities and Exchange Commission, any national securities exchanges and Franklin Resources, Inc., a Delaware corporation (the “Reporting Entity”), as considered necessary or advisable under Section 13 of the Securities Exchange Act of 1934 and the rules and regulations promulgated thereunder, as amended from time to time (the “Exchange Act”); and</w:t>
      </w:r>
    </w:p>
    <w:p>
      <w:pPr>
        <w:spacing w:after="0" w:line="158" w:lineRule="exact"/>
        <w:rPr>
          <w:rFonts w:ascii="Arial" w:cs="Arial" w:eastAsia="Arial" w:hAnsi="Arial"/>
          <w:sz w:val="14"/>
          <w:szCs w:val="14"/>
          <w:color w:val="auto"/>
        </w:rPr>
      </w:pPr>
    </w:p>
    <w:p>
      <w:pPr>
        <w:ind w:right="2360" w:firstLine="8"/>
        <w:spacing w:after="0" w:line="412" w:lineRule="auto"/>
        <w:tabs>
          <w:tab w:leader="none" w:pos="500" w:val="left"/>
        </w:tabs>
        <w:numPr>
          <w:ilvl w:val="0"/>
          <w:numId w:val="33"/>
        </w:numPr>
        <w:rPr>
          <w:rFonts w:ascii="Arial" w:cs="Arial" w:eastAsia="Arial" w:hAnsi="Arial"/>
          <w:sz w:val="12"/>
          <w:szCs w:val="12"/>
          <w:color w:val="auto"/>
        </w:rPr>
      </w:pPr>
      <w:r>
        <w:rPr>
          <w:rFonts w:ascii="Arial" w:cs="Arial" w:eastAsia="Arial" w:hAnsi="Arial"/>
          <w:sz w:val="12"/>
          <w:szCs w:val="12"/>
          <w:color w:val="auto"/>
        </w:rPr>
        <w:t>perform any and all other acts which in the discretion of such attorney-in-fact are necessary or desirable for and on behalf of the undersigned in connection with the foregoing.</w:t>
      </w:r>
    </w:p>
    <w:p>
      <w:pPr>
        <w:spacing w:after="0" w:line="134" w:lineRule="exact"/>
        <w:rPr>
          <w:sz w:val="20"/>
          <w:szCs w:val="20"/>
          <w:color w:val="auto"/>
        </w:rPr>
      </w:pPr>
    </w:p>
    <w:p>
      <w:pPr>
        <w:ind w:left="720"/>
        <w:spacing w:after="0"/>
        <w:rPr>
          <w:sz w:val="20"/>
          <w:szCs w:val="20"/>
          <w:color w:val="auto"/>
        </w:rPr>
      </w:pPr>
      <w:r>
        <w:rPr>
          <w:rFonts w:ascii="Arial" w:cs="Arial" w:eastAsia="Arial" w:hAnsi="Arial"/>
          <w:sz w:val="14"/>
          <w:szCs w:val="14"/>
          <w:color w:val="auto"/>
        </w:rPr>
        <w:t>The undersigned acknowledges that:</w:t>
      </w:r>
    </w:p>
    <w:p>
      <w:pPr>
        <w:spacing w:after="0" w:line="231"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this Limited Power of Attorney authorizes, but does not require, each such attorney-in-fact to act in</w:t>
      </w:r>
    </w:p>
    <w:p>
      <w:pPr>
        <w:spacing w:after="0" w:line="41" w:lineRule="exact"/>
        <w:rPr>
          <w:rFonts w:ascii="Arial" w:cs="Arial" w:eastAsia="Arial" w:hAnsi="Arial"/>
          <w:sz w:val="14"/>
          <w:szCs w:val="14"/>
          <w:color w:val="auto"/>
        </w:rPr>
      </w:pPr>
    </w:p>
    <w:p>
      <w:pPr>
        <w:ind w:right="2260"/>
        <w:spacing w:after="0" w:line="298" w:lineRule="auto"/>
        <w:rPr>
          <w:rFonts w:ascii="Arial" w:cs="Arial" w:eastAsia="Arial" w:hAnsi="Arial"/>
          <w:sz w:val="14"/>
          <w:szCs w:val="14"/>
          <w:color w:val="auto"/>
        </w:rPr>
      </w:pPr>
      <w:r>
        <w:rPr>
          <w:rFonts w:ascii="Arial" w:cs="Arial" w:eastAsia="Arial" w:hAnsi="Arial"/>
          <w:sz w:val="14"/>
          <w:szCs w:val="14"/>
          <w:color w:val="auto"/>
        </w:rPr>
        <w:t>their discretion on information provided to such attorney-in-fact without independent verification of such information;</w:t>
      </w:r>
    </w:p>
    <w:p>
      <w:pPr>
        <w:spacing w:after="0" w:line="180" w:lineRule="exact"/>
        <w:rPr>
          <w:rFonts w:ascii="Arial" w:cs="Arial" w:eastAsia="Arial" w:hAnsi="Arial"/>
          <w:sz w:val="14"/>
          <w:szCs w:val="14"/>
          <w:color w:val="auto"/>
        </w:rPr>
      </w:pPr>
    </w:p>
    <w:p>
      <w:pPr>
        <w:ind w:left="340" w:hanging="332"/>
        <w:spacing w:after="0"/>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any documents prepared and/or executed by either such attorney-in-fact on behalf of the undersigned</w:t>
      </w:r>
    </w:p>
    <w:p>
      <w:pPr>
        <w:spacing w:after="0" w:line="41" w:lineRule="exact"/>
        <w:rPr>
          <w:rFonts w:ascii="Arial" w:cs="Arial" w:eastAsia="Arial" w:hAnsi="Arial"/>
          <w:sz w:val="14"/>
          <w:szCs w:val="14"/>
          <w:color w:val="auto"/>
        </w:rPr>
      </w:pPr>
    </w:p>
    <w:p>
      <w:pPr>
        <w:ind w:right="2420"/>
        <w:spacing w:after="0" w:line="388" w:lineRule="auto"/>
        <w:rPr>
          <w:rFonts w:ascii="Arial" w:cs="Arial" w:eastAsia="Arial" w:hAnsi="Arial"/>
          <w:sz w:val="14"/>
          <w:szCs w:val="14"/>
          <w:color w:val="auto"/>
        </w:rPr>
      </w:pPr>
      <w:r>
        <w:rPr>
          <w:rFonts w:ascii="Arial" w:cs="Arial" w:eastAsia="Arial" w:hAnsi="Arial"/>
          <w:sz w:val="12"/>
          <w:szCs w:val="12"/>
          <w:color w:val="auto"/>
        </w:rPr>
        <w:t>pursuant to this Limited Power of Attorney will be in such form and will contain such information and disclosure as such attorney-in-fact, in his or her discretion, deems necessary or desirable;</w:t>
      </w:r>
    </w:p>
    <w:p>
      <w:pPr>
        <w:spacing w:after="0" w:line="134" w:lineRule="exact"/>
        <w:rPr>
          <w:rFonts w:ascii="Arial" w:cs="Arial" w:eastAsia="Arial" w:hAnsi="Arial"/>
          <w:sz w:val="14"/>
          <w:szCs w:val="14"/>
          <w:color w:val="auto"/>
        </w:rPr>
      </w:pPr>
    </w:p>
    <w:p>
      <w:pPr>
        <w:ind w:left="340" w:hanging="332"/>
        <w:spacing w:after="0"/>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neither the Reporting Entity nor either of such attorneys-in-fact assumes (i) any liability for the</w:t>
      </w:r>
    </w:p>
    <w:p>
      <w:pPr>
        <w:spacing w:after="0" w:line="41" w:lineRule="exact"/>
        <w:rPr>
          <w:rFonts w:ascii="Arial" w:cs="Arial" w:eastAsia="Arial" w:hAnsi="Arial"/>
          <w:sz w:val="14"/>
          <w:szCs w:val="14"/>
          <w:color w:val="auto"/>
        </w:rPr>
      </w:pPr>
    </w:p>
    <w:p>
      <w:pPr>
        <w:ind w:right="2320"/>
        <w:spacing w:after="0" w:line="298" w:lineRule="auto"/>
        <w:rPr>
          <w:rFonts w:ascii="Arial" w:cs="Arial" w:eastAsia="Arial" w:hAnsi="Arial"/>
          <w:sz w:val="14"/>
          <w:szCs w:val="14"/>
          <w:color w:val="auto"/>
        </w:rPr>
      </w:pPr>
      <w:r>
        <w:rPr>
          <w:rFonts w:ascii="Arial" w:cs="Arial" w:eastAsia="Arial" w:hAnsi="Arial"/>
          <w:sz w:val="14"/>
          <w:szCs w:val="14"/>
          <w:color w:val="auto"/>
        </w:rPr>
        <w:t>undersigned’s responsibility to comply with the requirements of the Exchange Act or (ii) any liability of the undersigned for any failure to comply with such requirements; and</w:t>
      </w:r>
    </w:p>
    <w:p>
      <w:pPr>
        <w:spacing w:after="0" w:line="180" w:lineRule="exact"/>
        <w:rPr>
          <w:rFonts w:ascii="Arial" w:cs="Arial" w:eastAsia="Arial" w:hAnsi="Arial"/>
          <w:sz w:val="14"/>
          <w:szCs w:val="14"/>
          <w:color w:val="auto"/>
        </w:rPr>
      </w:pPr>
    </w:p>
    <w:p>
      <w:pPr>
        <w:ind w:left="340" w:hanging="332"/>
        <w:spacing w:after="0"/>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this Limited Power of Attorney does not relieve the undersigned from responsibility for compliance</w:t>
      </w:r>
    </w:p>
    <w:p>
      <w:pPr>
        <w:spacing w:after="0" w:line="41" w:lineRule="exact"/>
        <w:rPr>
          <w:rFonts w:ascii="Arial" w:cs="Arial" w:eastAsia="Arial" w:hAnsi="Arial"/>
          <w:sz w:val="14"/>
          <w:szCs w:val="14"/>
          <w:color w:val="auto"/>
        </w:rPr>
      </w:pPr>
    </w:p>
    <w:p>
      <w:pPr>
        <w:ind w:right="2440"/>
        <w:spacing w:after="0" w:line="298" w:lineRule="auto"/>
        <w:rPr>
          <w:rFonts w:ascii="Arial" w:cs="Arial" w:eastAsia="Arial" w:hAnsi="Arial"/>
          <w:sz w:val="14"/>
          <w:szCs w:val="14"/>
          <w:color w:val="auto"/>
        </w:rPr>
      </w:pPr>
      <w:r>
        <w:rPr>
          <w:rFonts w:ascii="Arial" w:cs="Arial" w:eastAsia="Arial" w:hAnsi="Arial"/>
          <w:sz w:val="14"/>
          <w:szCs w:val="14"/>
          <w:color w:val="auto"/>
        </w:rPr>
        <w:t>with the undersigned’s obligations under the Exchange Act, including without limitation the reporting requirements under Section 13 of the Exchange Act.</w:t>
      </w:r>
    </w:p>
    <w:p>
      <w:pPr>
        <w:spacing w:after="0" w:line="194" w:lineRule="exact"/>
        <w:rPr>
          <w:sz w:val="20"/>
          <w:szCs w:val="20"/>
          <w:color w:val="auto"/>
        </w:rPr>
      </w:pPr>
    </w:p>
    <w:p>
      <w:pPr>
        <w:ind w:right="2320" w:firstLine="324"/>
        <w:spacing w:after="0" w:line="343" w:lineRule="auto"/>
        <w:rPr>
          <w:sz w:val="20"/>
          <w:szCs w:val="20"/>
          <w:color w:val="auto"/>
        </w:rPr>
      </w:pPr>
      <w:r>
        <w:rPr>
          <w:rFonts w:ascii="Arial" w:cs="Arial" w:eastAsia="Arial" w:hAnsi="Arial"/>
          <w:sz w:val="12"/>
          <w:szCs w:val="12"/>
          <w:color w:val="auto"/>
        </w:rPr>
        <w:t>The undersigned hereby gives and grants each of the foregoing attorneys-in-fact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attorney-in-fact of, for and on behalf of the undersigned, shall lawfully do or cause to be done by virtue of this Limited Power of Attorney.</w:t>
      </w:r>
    </w:p>
    <w:p>
      <w:pPr>
        <w:spacing w:after="0" w:line="175" w:lineRule="exact"/>
        <w:rPr>
          <w:sz w:val="20"/>
          <w:szCs w:val="20"/>
          <w:color w:val="auto"/>
        </w:rPr>
      </w:pPr>
    </w:p>
    <w:p>
      <w:pPr>
        <w:ind w:right="2140" w:firstLine="324"/>
        <w:spacing w:after="0" w:line="298" w:lineRule="auto"/>
        <w:rPr>
          <w:sz w:val="20"/>
          <w:szCs w:val="20"/>
          <w:color w:val="auto"/>
        </w:rPr>
      </w:pPr>
      <w:r>
        <w:rPr>
          <w:rFonts w:ascii="Arial" w:cs="Arial" w:eastAsia="Arial" w:hAnsi="Arial"/>
          <w:sz w:val="14"/>
          <w:szCs w:val="14"/>
          <w:color w:val="auto"/>
        </w:rPr>
        <w:t>This Limited Power of Attorney shall remain in full force and effect until revoked by the undersigned in a signed writing delivered to each such attorney-in-fact.</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IN WITNESS WHEREOF, the undersigned has caused this Limited Power of Attorney to be executed as</w:t>
      </w:r>
    </w:p>
    <w:p>
      <w:pPr>
        <w:spacing w:after="0" w:line="15" w:lineRule="exact"/>
        <w:rPr>
          <w:sz w:val="20"/>
          <w:szCs w:val="20"/>
          <w:color w:val="auto"/>
        </w:rPr>
      </w:pPr>
    </w:p>
    <w:p>
      <w:pPr>
        <w:spacing w:after="0"/>
        <w:tabs>
          <w:tab w:leader="none" w:pos="1380" w:val="left"/>
          <w:tab w:leader="none" w:pos="2500" w:val="left"/>
          <w:tab w:leader="none" w:pos="3540" w:val="left"/>
          <w:tab w:leader="none" w:pos="4760" w:val="left"/>
        </w:tabs>
        <w:rPr>
          <w:sz w:val="20"/>
          <w:szCs w:val="20"/>
          <w:color w:val="auto"/>
        </w:rPr>
      </w:pPr>
      <w:r>
        <w:rPr>
          <w:rFonts w:ascii="Arial" w:cs="Arial" w:eastAsia="Arial" w:hAnsi="Arial"/>
          <w:sz w:val="14"/>
          <w:szCs w:val="14"/>
          <w:color w:val="auto"/>
        </w:rPr>
        <w:t>of this</w:t>
      </w:r>
      <w:r>
        <w:rPr>
          <w:sz w:val="20"/>
          <w:szCs w:val="20"/>
          <w:color w:val="auto"/>
        </w:rPr>
        <w:tab/>
      </w:r>
      <w:r>
        <w:rPr>
          <w:rFonts w:ascii="Arial" w:cs="Arial" w:eastAsia="Arial" w:hAnsi="Arial"/>
          <w:sz w:val="14"/>
          <w:szCs w:val="14"/>
          <w:u w:val="single" w:color="auto"/>
          <w:color w:val="auto"/>
        </w:rPr>
        <w:t>25th</w:t>
      </w:r>
      <w:r>
        <w:rPr>
          <w:sz w:val="20"/>
          <w:szCs w:val="20"/>
          <w:color w:val="auto"/>
        </w:rPr>
        <w:tab/>
      </w:r>
      <w:r>
        <w:rPr>
          <w:rFonts w:ascii="Arial" w:cs="Arial" w:eastAsia="Arial" w:hAnsi="Arial"/>
          <w:sz w:val="14"/>
          <w:szCs w:val="14"/>
          <w:color w:val="auto"/>
        </w:rPr>
        <w:t>day of</w:t>
      </w:r>
      <w:r>
        <w:rPr>
          <w:sz w:val="20"/>
          <w:szCs w:val="20"/>
          <w:color w:val="auto"/>
        </w:rPr>
        <w:tab/>
      </w:r>
      <w:r>
        <w:rPr>
          <w:rFonts w:ascii="Arial" w:cs="Arial" w:eastAsia="Arial" w:hAnsi="Arial"/>
          <w:sz w:val="14"/>
          <w:szCs w:val="14"/>
          <w:u w:val="single" w:color="auto"/>
          <w:color w:val="auto"/>
        </w:rPr>
        <w:t>April</w:t>
      </w:r>
      <w:r>
        <w:rPr>
          <w:sz w:val="20"/>
          <w:szCs w:val="20"/>
          <w:color w:val="auto"/>
        </w:rPr>
        <w:tab/>
      </w:r>
      <w:r>
        <w:rPr>
          <w:rFonts w:ascii="Arial" w:cs="Arial" w:eastAsia="Arial" w:hAnsi="Arial"/>
          <w:sz w:val="12"/>
          <w:szCs w:val="12"/>
          <w:color w:val="auto"/>
        </w:rPr>
        <w:t>, 2007</w:t>
      </w:r>
    </w:p>
    <w:p>
      <w:pPr>
        <w:spacing w:after="0" w:line="258" w:lineRule="exact"/>
        <w:rPr>
          <w:sz w:val="20"/>
          <w:szCs w:val="20"/>
          <w:color w:val="auto"/>
        </w:rPr>
      </w:pPr>
    </w:p>
    <w:p>
      <w:pPr>
        <w:ind w:left="5740"/>
        <w:spacing w:after="0"/>
        <w:rPr>
          <w:sz w:val="20"/>
          <w:szCs w:val="20"/>
          <w:color w:val="auto"/>
        </w:rPr>
      </w:pPr>
      <w:r>
        <w:rPr>
          <w:rFonts w:ascii="Arial" w:cs="Arial" w:eastAsia="Arial" w:hAnsi="Arial"/>
          <w:sz w:val="11"/>
          <w:szCs w:val="11"/>
          <w:u w:val="single" w:color="auto"/>
          <w:color w:val="auto"/>
        </w:rPr>
        <w:t>/s/ Rupert H. Johnson, Jr.</w:t>
      </w:r>
    </w:p>
    <w:p>
      <w:pPr>
        <w:spacing w:after="0" w:line="103"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Signature</w:t>
      </w:r>
    </w:p>
    <w:p>
      <w:pPr>
        <w:spacing w:after="0" w:line="285" w:lineRule="exact"/>
        <w:rPr>
          <w:sz w:val="20"/>
          <w:szCs w:val="20"/>
          <w:color w:val="auto"/>
        </w:rPr>
      </w:pPr>
    </w:p>
    <w:p>
      <w:pPr>
        <w:ind w:left="5740"/>
        <w:spacing w:after="0"/>
        <w:rPr>
          <w:sz w:val="20"/>
          <w:szCs w:val="20"/>
          <w:color w:val="auto"/>
        </w:rPr>
      </w:pPr>
      <w:r>
        <w:rPr>
          <w:rFonts w:ascii="Arial" w:cs="Arial" w:eastAsia="Arial" w:hAnsi="Arial"/>
          <w:sz w:val="12"/>
          <w:szCs w:val="12"/>
          <w:u w:val="single" w:color="auto"/>
          <w:color w:val="auto"/>
        </w:rPr>
        <w:t>Rupert H. Johnson, Jr.</w:t>
      </w:r>
    </w:p>
    <w:p>
      <w:pPr>
        <w:spacing w:after="0" w:line="92"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382905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Page 13 of 14</w:t>
      </w:r>
    </w:p>
    <w:p>
      <w:pPr>
        <w:sectPr>
          <w:pgSz w:w="11900" w:h="16838" w:orient="portrait"/>
          <w:cols w:equalWidth="0" w:num="2">
            <w:col w:w="7960" w:space="720"/>
            <w:col w:w="999"/>
          </w:cols>
          <w:pgMar w:left="780" w:top="345" w:right="144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72"/>
        </w:trPr>
        <w:tc>
          <w:tcPr>
            <w:tcW w:w="800" w:type="dxa"/>
            <w:vAlign w:val="bottom"/>
          </w:tcPr>
          <w:p>
            <w:pPr>
              <w:spacing w:after="0"/>
              <w:rPr>
                <w:sz w:val="20"/>
                <w:szCs w:val="20"/>
                <w:color w:val="auto"/>
              </w:rPr>
            </w:pPr>
            <w:r>
              <w:rPr>
                <w:rFonts w:ascii="Arial" w:cs="Arial" w:eastAsia="Arial" w:hAnsi="Arial"/>
                <w:sz w:val="14"/>
                <w:szCs w:val="14"/>
                <w:color w:val="auto"/>
              </w:rPr>
              <w:t>CUSIP NO.</w:t>
            </w:r>
          </w:p>
        </w:tc>
        <w:tc>
          <w:tcPr>
            <w:tcW w:w="2500" w:type="dxa"/>
            <w:vAlign w:val="bottom"/>
          </w:tcPr>
          <w:p>
            <w:pPr>
              <w:jc w:val="right"/>
              <w:ind w:right="1692"/>
              <w:spacing w:after="0"/>
              <w:rPr>
                <w:sz w:val="20"/>
                <w:szCs w:val="20"/>
                <w:color w:val="auto"/>
              </w:rPr>
            </w:pPr>
            <w:r>
              <w:rPr>
                <w:rFonts w:ascii="Arial" w:cs="Arial" w:eastAsia="Arial" w:hAnsi="Arial"/>
                <w:sz w:val="14"/>
                <w:szCs w:val="14"/>
                <w:color w:val="auto"/>
              </w:rPr>
              <w:t>913543104</w:t>
            </w:r>
          </w:p>
        </w:tc>
        <w:tc>
          <w:tcPr>
            <w:tcW w:w="1900" w:type="dxa"/>
            <w:vAlign w:val="bottom"/>
          </w:tcPr>
          <w:p>
            <w:pPr>
              <w:ind w:left="1480"/>
              <w:spacing w:after="0"/>
              <w:rPr>
                <w:sz w:val="20"/>
                <w:szCs w:val="20"/>
                <w:color w:val="auto"/>
              </w:rPr>
            </w:pPr>
            <w:r>
              <w:rPr>
                <w:rFonts w:ascii="Arial" w:cs="Arial" w:eastAsia="Arial" w:hAnsi="Arial"/>
                <w:sz w:val="14"/>
                <w:szCs w:val="14"/>
                <w:color w:val="auto"/>
              </w:rPr>
              <w:t>13G</w:t>
            </w:r>
          </w:p>
        </w:tc>
        <w:tc>
          <w:tcPr>
            <w:tcW w:w="4220" w:type="dxa"/>
            <w:vAlign w:val="bottom"/>
          </w:tcPr>
          <w:p>
            <w:pPr>
              <w:ind w:left="3480"/>
              <w:spacing w:after="0"/>
              <w:rPr>
                <w:sz w:val="20"/>
                <w:szCs w:val="20"/>
                <w:color w:val="auto"/>
              </w:rPr>
            </w:pPr>
            <w:r>
              <w:rPr>
                <w:rFonts w:ascii="Arial" w:cs="Arial" w:eastAsia="Arial" w:hAnsi="Arial"/>
                <w:sz w:val="14"/>
                <w:szCs w:val="14"/>
                <w:color w:val="auto"/>
                <w:w w:val="82"/>
              </w:rPr>
              <w:t>Page 14 of 14</w:t>
            </w:r>
          </w:p>
        </w:tc>
      </w:tr>
      <w:tr>
        <w:trPr>
          <w:trHeight w:val="419"/>
        </w:trPr>
        <w:tc>
          <w:tcPr>
            <w:tcW w:w="800" w:type="dxa"/>
            <w:vAlign w:val="bottom"/>
          </w:tcPr>
          <w:p>
            <w:pPr>
              <w:spacing w:after="0"/>
              <w:rPr>
                <w:sz w:val="20"/>
                <w:szCs w:val="20"/>
                <w:color w:val="auto"/>
              </w:rPr>
            </w:pPr>
            <w:r>
              <w:rPr>
                <w:rFonts w:ascii="Arial" w:cs="Arial" w:eastAsia="Arial" w:hAnsi="Arial"/>
                <w:sz w:val="14"/>
                <w:szCs w:val="14"/>
                <w:color w:val="auto"/>
              </w:rPr>
              <w:t>EXHIBIT C</w:t>
            </w:r>
          </w:p>
        </w:tc>
        <w:tc>
          <w:tcPr>
            <w:tcW w:w="25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220" w:type="dxa"/>
            <w:vAlign w:val="bottom"/>
          </w:tcPr>
          <w:p>
            <w:pPr>
              <w:spacing w:after="0"/>
              <w:rPr>
                <w:sz w:val="24"/>
                <w:szCs w:val="24"/>
                <w:color w:val="auto"/>
              </w:rPr>
            </w:pPr>
          </w:p>
        </w:tc>
      </w:tr>
      <w:tr>
        <w:trPr>
          <w:trHeight w:val="392"/>
        </w:trPr>
        <w:tc>
          <w:tcPr>
            <w:tcW w:w="3300" w:type="dxa"/>
            <w:vAlign w:val="bottom"/>
            <w:gridSpan w:val="2"/>
          </w:tcPr>
          <w:p>
            <w:pPr>
              <w:spacing w:after="0"/>
              <w:rPr>
                <w:sz w:val="20"/>
                <w:szCs w:val="20"/>
                <w:color w:val="auto"/>
              </w:rPr>
            </w:pPr>
            <w:r>
              <w:rPr>
                <w:rFonts w:ascii="Arial" w:cs="Arial" w:eastAsia="Arial" w:hAnsi="Arial"/>
                <w:sz w:val="14"/>
                <w:szCs w:val="14"/>
                <w:color w:val="auto"/>
              </w:rPr>
              <w:t>Franklin Advisory Services, LLC</w:t>
            </w:r>
          </w:p>
        </w:tc>
        <w:tc>
          <w:tcPr>
            <w:tcW w:w="1900" w:type="dxa"/>
            <w:vAlign w:val="bottom"/>
          </w:tcPr>
          <w:p>
            <w:pPr>
              <w:spacing w:after="0"/>
              <w:rPr>
                <w:sz w:val="24"/>
                <w:szCs w:val="24"/>
                <w:color w:val="auto"/>
              </w:rPr>
            </w:pPr>
          </w:p>
        </w:tc>
        <w:tc>
          <w:tcPr>
            <w:tcW w:w="4220" w:type="dxa"/>
            <w:vAlign w:val="bottom"/>
          </w:tcPr>
          <w:p>
            <w:pPr>
              <w:ind w:left="220"/>
              <w:spacing w:after="0"/>
              <w:rPr>
                <w:sz w:val="20"/>
                <w:szCs w:val="20"/>
                <w:color w:val="auto"/>
              </w:rPr>
            </w:pPr>
            <w:r>
              <w:rPr>
                <w:rFonts w:ascii="Arial" w:cs="Arial" w:eastAsia="Arial" w:hAnsi="Arial"/>
                <w:sz w:val="14"/>
                <w:szCs w:val="14"/>
                <w:color w:val="auto"/>
              </w:rPr>
              <w:t>Item 3 Classification: 3(e)</w:t>
            </w:r>
          </w:p>
        </w:tc>
      </w:tr>
    </w:tbl>
    <w:p>
      <w:pPr>
        <w:spacing w:after="0" w:line="1" w:lineRule="exact"/>
        <w:rPr>
          <w:sz w:val="20"/>
          <w:szCs w:val="20"/>
          <w:color w:val="auto"/>
        </w:rPr>
      </w:pPr>
    </w:p>
    <w:sectPr>
      <w:pgSz w:w="11900" w:h="16838" w:orient="portrait"/>
      <w:cols w:equalWidth="0" w:num="1">
        <w:col w:w="9679"/>
      </w:cols>
      <w:pgMar w:left="780" w:top="34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x"/>
      <w:numFmt w:val="bullet"/>
      <w:start w:val="1"/>
    </w:lvl>
  </w:abstractNum>
  <w:abstractNum w:abstractNumId="1">
    <w:nsid w:val="431BD7B7"/>
    <w:multiLevelType w:val="hybridMultilevel"/>
    <w:lvl w:ilvl="0">
      <w:lvlJc w:val="left"/>
      <w:lvlText w:val="o"/>
      <w:numFmt w:val="bullet"/>
      <w:start w:val="1"/>
    </w:lvl>
  </w:abstractNum>
  <w:abstractNum w:abstractNumId="2">
    <w:nsid w:val="3F2DBA31"/>
    <w:multiLevelType w:val="hybridMultilevel"/>
    <w:lvl w:ilvl="0">
      <w:lvlJc w:val="left"/>
      <w:lvlText w:val="%1."/>
      <w:numFmt w:val="decimal"/>
      <w:start w:val="1"/>
    </w:lvl>
    <w:lvl w:ilvl="1">
      <w:lvlJc w:val="left"/>
      <w:lvlText w:val="(%2)"/>
      <w:numFmt w:val="lowerLetter"/>
      <w:start w:val="1"/>
    </w:lvl>
  </w:abstractNum>
  <w:abstractNum w:abstractNumId="3">
    <w:nsid w:val="7C83E458"/>
    <w:multiLevelType w:val="hybridMultilevel"/>
    <w:lvl w:ilvl="0">
      <w:lvlJc w:val="left"/>
      <w:lvlText w:val="%1"/>
      <w:numFmt w:val="decimal"/>
      <w:start w:val="1"/>
    </w:lvl>
    <w:lvl w:ilvl="1">
      <w:lvlJc w:val="left"/>
      <w:lvlText w:val="%2."/>
      <w:numFmt w:val="decimal"/>
      <w:start w:val="5"/>
    </w:lvl>
  </w:abstractNum>
  <w:abstractNum w:abstractNumId="4">
    <w:nsid w:val="257130A3"/>
    <w:multiLevelType w:val="hybridMultilevel"/>
    <w:lvl w:ilvl="0">
      <w:lvlJc w:val="left"/>
      <w:lvlText w:val="%1."/>
      <w:numFmt w:val="decimal"/>
      <w:start w:val="9"/>
    </w:lvl>
    <w:lvl w:ilvl="1">
      <w:lvlJc w:val="left"/>
      <w:lvlText w:val="%2"/>
      <w:numFmt w:val="decimal"/>
      <w:start w:val="1"/>
    </w:lvl>
  </w:abstractNum>
  <w:abstractNum w:abstractNumId="5">
    <w:nsid w:val="62BBD95A"/>
    <w:multiLevelType w:val="hybridMultilevel"/>
    <w:lvl w:ilvl="0">
      <w:lvlJc w:val="left"/>
      <w:lvlText w:val="%1."/>
      <w:numFmt w:val="decimal"/>
      <w:start w:val="1"/>
    </w:lvl>
    <w:lvl w:ilvl="1">
      <w:lvlJc w:val="left"/>
      <w:lvlText w:val="(%2)"/>
      <w:numFmt w:val="lowerLetter"/>
      <w:start w:val="1"/>
    </w:lvl>
  </w:abstractNum>
  <w:abstractNum w:abstractNumId="6">
    <w:nsid w:val="436C6125"/>
    <w:multiLevelType w:val="hybridMultilevel"/>
    <w:lvl w:ilvl="0">
      <w:lvlJc w:val="left"/>
      <w:lvlText w:val="%1"/>
      <w:numFmt w:val="decimal"/>
      <w:start w:val="1"/>
    </w:lvl>
    <w:lvl w:ilvl="1">
      <w:lvlJc w:val="left"/>
      <w:lvlText w:val="%2."/>
      <w:numFmt w:val="decimal"/>
      <w:start w:val="5"/>
    </w:lvl>
  </w:abstractNum>
  <w:abstractNum w:abstractNumId="7">
    <w:nsid w:val="628C895D"/>
    <w:multiLevelType w:val="hybridMultilevel"/>
    <w:lvl w:ilvl="0">
      <w:lvlJc w:val="left"/>
      <w:lvlText w:val="%1."/>
      <w:numFmt w:val="decimal"/>
      <w:start w:val="9"/>
    </w:lvl>
    <w:lvl w:ilvl="1">
      <w:lvlJc w:val="left"/>
      <w:lvlText w:val="%2"/>
      <w:numFmt w:val="decimal"/>
      <w:start w:val="1"/>
    </w:lvl>
  </w:abstractNum>
  <w:abstractNum w:abstractNumId="8">
    <w:nsid w:val="333AB105"/>
    <w:multiLevelType w:val="hybridMultilevel"/>
    <w:lvl w:ilvl="0">
      <w:lvlJc w:val="left"/>
      <w:lvlText w:val="%1."/>
      <w:numFmt w:val="decimal"/>
      <w:start w:val="1"/>
    </w:lvl>
    <w:lvl w:ilvl="1">
      <w:lvlJc w:val="left"/>
      <w:lvlText w:val="(%2)"/>
      <w:numFmt w:val="lowerLetter"/>
      <w:start w:val="1"/>
    </w:lvl>
  </w:abstractNum>
  <w:abstractNum w:abstractNumId="9">
    <w:nsid w:val="721DA317"/>
    <w:multiLevelType w:val="hybridMultilevel"/>
    <w:lvl w:ilvl="0">
      <w:lvlJc w:val="left"/>
      <w:lvlText w:val="%1"/>
      <w:numFmt w:val="decimal"/>
      <w:start w:val="1"/>
    </w:lvl>
    <w:lvl w:ilvl="1">
      <w:lvlJc w:val="left"/>
      <w:lvlText w:val="%2."/>
      <w:numFmt w:val="decimal"/>
      <w:start w:val="5"/>
    </w:lvl>
  </w:abstractNum>
  <w:abstractNum w:abstractNumId="10">
    <w:nsid w:val="2443A858"/>
    <w:multiLevelType w:val="hybridMultilevel"/>
    <w:lvl w:ilvl="0">
      <w:lvlJc w:val="left"/>
      <w:lvlText w:val="%1."/>
      <w:numFmt w:val="decimal"/>
      <w:start w:val="9"/>
    </w:lvl>
    <w:lvl w:ilvl="1">
      <w:lvlJc w:val="left"/>
      <w:lvlText w:val="%2"/>
      <w:numFmt w:val="decimal"/>
      <w:start w:val="1"/>
    </w:lvl>
  </w:abstractNum>
  <w:abstractNum w:abstractNumId="11">
    <w:nsid w:val="2D1D5AE9"/>
    <w:multiLevelType w:val="hybridMultilevel"/>
    <w:lvl w:ilvl="0">
      <w:lvlJc w:val="left"/>
      <w:lvlText w:val="%1."/>
      <w:numFmt w:val="decimal"/>
      <w:start w:val="1"/>
    </w:lvl>
  </w:abstractNum>
  <w:abstractNum w:abstractNumId="12">
    <w:nsid w:val="6763845E"/>
    <w:multiLevelType w:val="hybridMultilevel"/>
    <w:lvl w:ilvl="0">
      <w:lvlJc w:val="left"/>
      <w:lvlText w:val="%1."/>
      <w:numFmt w:val="decimal"/>
      <w:start w:val="2"/>
    </w:lvl>
  </w:abstractNum>
  <w:abstractNum w:abstractNumId="13">
    <w:nsid w:val="75A2A8D4"/>
    <w:multiLevelType w:val="hybridMultilevel"/>
    <w:lvl w:ilvl="0">
      <w:lvlJc w:val="left"/>
      <w:lvlText w:val="%1"/>
      <w:numFmt w:val="decimal"/>
      <w:start w:val="1"/>
    </w:lvl>
    <w:lvl w:ilvl="1">
      <w:lvlJc w:val="left"/>
      <w:lvlText w:val="(%2)"/>
      <w:numFmt w:val="lowerLetter"/>
      <w:start w:val="2"/>
    </w:lvl>
  </w:abstractNum>
  <w:abstractNum w:abstractNumId="14">
    <w:nsid w:val="8EDBDAB"/>
    <w:multiLevelType w:val="hybridMultilevel"/>
    <w:lvl w:ilvl="0">
      <w:lvlJc w:val="left"/>
      <w:lvlText w:val="%1."/>
      <w:numFmt w:val="decimal"/>
      <w:start w:val="3"/>
    </w:lvl>
    <w:lvl w:ilvl="1">
      <w:lvlJc w:val="left"/>
      <w:lvlText w:val="%2"/>
      <w:numFmt w:val="lowerLetter"/>
      <w:start w:val="1"/>
    </w:lvl>
  </w:abstractNum>
  <w:abstractNum w:abstractNumId="15">
    <w:nsid w:val="79838CB2"/>
    <w:multiLevelType w:val="hybridMultilevel"/>
    <w:lvl w:ilvl="0">
      <w:lvlJc w:val="left"/>
      <w:lvlText w:val="%1"/>
      <w:numFmt w:val="decimal"/>
      <w:start w:val="1"/>
    </w:lvl>
    <w:lvl w:ilvl="1">
      <w:lvlJc w:val="left"/>
      <w:lvlText w:val="%2."/>
      <w:numFmt w:val="decimal"/>
      <w:start w:val="5"/>
    </w:lvl>
  </w:abstractNum>
  <w:abstractNum w:abstractNumId="16">
    <w:nsid w:val="4353D0CD"/>
    <w:multiLevelType w:val="hybridMultilevel"/>
    <w:lvl w:ilvl="0">
      <w:lvlJc w:val="left"/>
      <w:lvlText w:val="%1."/>
      <w:numFmt w:val="decimal"/>
      <w:start w:val="9"/>
    </w:lvl>
    <w:lvl w:ilvl="1">
      <w:lvlJc w:val="left"/>
      <w:lvlText w:val="%2"/>
      <w:numFmt w:val="decimal"/>
      <w:start w:val="1"/>
    </w:lvl>
  </w:abstractNum>
  <w:abstractNum w:abstractNumId="17">
    <w:nsid w:val="B03E0C6"/>
    <w:multiLevelType w:val="hybridMultilevel"/>
    <w:lvl w:ilvl="0">
      <w:lvlJc w:val="left"/>
      <w:lvlText w:val="%1."/>
      <w:numFmt w:val="decimal"/>
      <w:start w:val="10"/>
    </w:lvl>
  </w:abstractNum>
  <w:abstractNum w:abstractNumId="18">
    <w:nsid w:val="189A769B"/>
    <w:multiLevelType w:val="hybridMultilevel"/>
    <w:lvl w:ilvl="0">
      <w:lvlJc w:val="left"/>
      <w:lvlText w:val="%1."/>
      <w:numFmt w:val="decimal"/>
      <w:start w:val="12"/>
    </w:lvl>
  </w:abstractNum>
  <w:abstractNum w:abstractNumId="19">
    <w:nsid w:val="54E49EB4"/>
    <w:multiLevelType w:val="hybridMultilevel"/>
    <w:lvl w:ilvl="0">
      <w:lvlJc w:val="left"/>
      <w:lvlText w:val="(%1)"/>
      <w:numFmt w:val="lowerLetter"/>
      <w:start w:val="1"/>
    </w:lvl>
  </w:abstractNum>
  <w:abstractNum w:abstractNumId="20">
    <w:nsid w:val="71F32454"/>
    <w:multiLevelType w:val="hybridMultilevel"/>
    <w:lvl w:ilvl="0">
      <w:lvlJc w:val="left"/>
      <w:lvlText w:val="(%1)"/>
      <w:numFmt w:val="lowerLetter"/>
      <w:start w:val="1"/>
    </w:lvl>
  </w:abstractNum>
  <w:abstractNum w:abstractNumId="21">
    <w:nsid w:val="2CA88611"/>
    <w:multiLevelType w:val="hybridMultilevel"/>
    <w:lvl w:ilvl="0">
      <w:lvlJc w:val="left"/>
      <w:lvlText w:val="(%1)"/>
      <w:numFmt w:val="lowerLetter"/>
      <w:start w:val="2"/>
    </w:lvl>
  </w:abstractNum>
  <w:abstractNum w:abstractNumId="22">
    <w:nsid w:val="836C40E"/>
    <w:multiLevelType w:val="hybridMultilevel"/>
    <w:lvl w:ilvl="0">
      <w:lvlJc w:val="left"/>
      <w:lvlText w:val="(%1)"/>
      <w:numFmt w:val="lowerLetter"/>
      <w:start w:val="3"/>
    </w:lvl>
  </w:abstractNum>
  <w:abstractNum w:abstractNumId="23">
    <w:nsid w:val="2901D82"/>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24">
    <w:nsid w:val="3A95F874"/>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25">
    <w:nsid w:val="8138641"/>
    <w:multiLevelType w:val="hybridMultilevel"/>
    <w:lvl w:ilvl="0">
      <w:lvlJc w:val="left"/>
      <w:lvlText w:val="(%1)"/>
      <w:numFmt w:val="lowerLetter"/>
      <w:start w:val="10"/>
    </w:lvl>
    <w:lvl w:ilvl="1">
      <w:lvlJc w:val="left"/>
      <w:lvlText w:val="%2"/>
      <w:numFmt w:val="lowerLetter"/>
      <w:start w:val="1"/>
    </w:lvl>
    <w:lvl w:ilvl="2">
      <w:lvlJc w:val="left"/>
      <w:lvlText w:val="%3"/>
      <w:numFmt w:val="lowerLetter"/>
      <w:start w:val="1"/>
    </w:lvl>
  </w:abstractNum>
  <w:abstractNum w:abstractNumId="26">
    <w:nsid w:val="1E7FF521"/>
    <w:multiLevelType w:val="hybridMultilevel"/>
    <w:lvl w:ilvl="0">
      <w:lvlJc w:val="left"/>
      <w:lvlText w:val="(%1)"/>
      <w:numFmt w:val="lowerLetter"/>
      <w:start w:val="1"/>
    </w:lvl>
    <w:lvl w:ilvl="1">
      <w:lvlJc w:val="left"/>
      <w:lvlText w:val="(%2)"/>
      <w:numFmt w:val="lowerLetter"/>
      <w:start w:val="9"/>
    </w:lvl>
  </w:abstractNum>
  <w:abstractNum w:abstractNumId="27">
    <w:nsid w:val="7C3DBD3D"/>
    <w:multiLevelType w:val="hybridMultilevel"/>
    <w:lvl w:ilvl="0">
      <w:lvlJc w:val="left"/>
      <w:lvlText w:val="%1"/>
      <w:numFmt w:val="lowerRoman"/>
      <w:start w:val="1"/>
    </w:lvl>
    <w:lvl w:ilvl="1">
      <w:lvlJc w:val="left"/>
      <w:lvlText w:val="(%2)"/>
      <w:numFmt w:val="lowerRoman"/>
      <w:start w:val="2"/>
    </w:lvl>
  </w:abstractNum>
  <w:abstractNum w:abstractNumId="28">
    <w:nsid w:val="737B8DDC"/>
    <w:multiLevelType w:val="hybridMultilevel"/>
    <w:lvl w:ilvl="0">
      <w:lvlJc w:val="left"/>
      <w:lvlText w:val="(%1)"/>
      <w:numFmt w:val="lowerRoman"/>
      <w:start w:val="3"/>
    </w:lvl>
    <w:lvl w:ilvl="1">
      <w:lvlJc w:val="left"/>
      <w:lvlText w:val="%2"/>
      <w:numFmt w:val="lowerRoman"/>
      <w:start w:val="1"/>
    </w:lvl>
  </w:abstractNum>
  <w:abstractNum w:abstractNumId="29">
    <w:nsid w:val="6CEAF087"/>
    <w:multiLevelType w:val="hybridMultilevel"/>
    <w:lvl w:ilvl="0">
      <w:lvlJc w:val="left"/>
      <w:lvlText w:val="(%1)"/>
      <w:numFmt w:val="lowerRoman"/>
      <w:start w:val="4"/>
    </w:lvl>
  </w:abstractNum>
  <w:abstractNum w:abstractNumId="30">
    <w:nsid w:val="22221A70"/>
    <w:multiLevelType w:val="hybridMultilevel"/>
    <w:lvl w:ilvl="0">
      <w:lvlJc w:val="left"/>
      <w:lvlText w:val="(%1)"/>
      <w:numFmt w:val="decimal"/>
      <w:start w:val="1"/>
    </w:lvl>
  </w:abstractNum>
  <w:abstractNum w:abstractNumId="31">
    <w:nsid w:val="4516DDE9"/>
    <w:multiLevelType w:val="hybridMultilevel"/>
    <w:lvl w:ilvl="0">
      <w:lvlJc w:val="left"/>
      <w:lvlText w:val="(%1)"/>
      <w:numFmt w:val="decimal"/>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2019-12-10T12:23:22Z</dcterms:created>
  <dcterms:modified xsi:type="dcterms:W3CDTF">2019-12-10T12:23:22Z</dcterms:modified>
</cp:coreProperties>
</file>