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0"/>
          <w:szCs w:val="20"/>
          <w:b w:val="1"/>
          <w:bCs w:val="1"/>
          <w:color w:val="auto"/>
        </w:rPr>
        <w:t>UNITED STATES</w:t>
      </w:r>
    </w:p>
    <w:p>
      <w:pPr>
        <w:jc w:val="center"/>
        <w:ind w:right="19"/>
        <w:spacing w:after="0" w:line="197" w:lineRule="auto"/>
        <w:rPr>
          <w:sz w:val="20"/>
          <w:szCs w:val="20"/>
          <w:color w:val="auto"/>
        </w:rPr>
      </w:pPr>
      <w:r>
        <w:rPr>
          <w:rFonts w:ascii="Arial" w:cs="Arial" w:eastAsia="Arial" w:hAnsi="Arial"/>
          <w:sz w:val="20"/>
          <w:szCs w:val="20"/>
          <w:b w:val="1"/>
          <w:bCs w:val="1"/>
          <w:color w:val="auto"/>
        </w:rPr>
        <w:t>SECURITIES AND EXCHANGE COMMISSION</w:t>
      </w:r>
    </w:p>
    <w:p>
      <w:pPr>
        <w:jc w:val="center"/>
        <w:ind w:right="19"/>
        <w:spacing w:after="0"/>
        <w:rPr>
          <w:sz w:val="20"/>
          <w:szCs w:val="20"/>
          <w:color w:val="auto"/>
        </w:rPr>
      </w:pPr>
      <w:r>
        <w:rPr>
          <w:rFonts w:ascii="Arial" w:cs="Arial" w:eastAsia="Arial" w:hAnsi="Arial"/>
          <w:sz w:val="20"/>
          <w:szCs w:val="20"/>
          <w:b w:val="1"/>
          <w:bCs w:val="1"/>
          <w:color w:val="auto"/>
        </w:rPr>
        <w:t>Washington, DC 20549</w:t>
      </w:r>
    </w:p>
    <w:p>
      <w:pPr>
        <w:spacing w:after="0" w:line="274"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FORM SD</w:t>
      </w:r>
    </w:p>
    <w:p>
      <w:pPr>
        <w:jc w:val="center"/>
        <w:ind w:right="19"/>
        <w:spacing w:after="0"/>
        <w:rPr>
          <w:sz w:val="20"/>
          <w:szCs w:val="20"/>
          <w:color w:val="auto"/>
        </w:rPr>
      </w:pPr>
      <w:r>
        <w:rPr>
          <w:rFonts w:ascii="Arial" w:cs="Arial" w:eastAsia="Arial" w:hAnsi="Arial"/>
          <w:sz w:val="29"/>
          <w:szCs w:val="29"/>
          <w:b w:val="1"/>
          <w:bCs w:val="1"/>
          <w:color w:val="auto"/>
        </w:rPr>
        <w:t>Specialized Disclosure Report</w:t>
      </w:r>
    </w:p>
    <w:p>
      <w:pPr>
        <w:spacing w:after="0" w:line="293"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UFP INDUSTRIES, INC.</w:t>
      </w:r>
    </w:p>
    <w:p>
      <w:pPr>
        <w:jc w:val="center"/>
        <w:ind w:right="19"/>
        <w:spacing w:after="0"/>
        <w:rPr>
          <w:sz w:val="20"/>
          <w:szCs w:val="20"/>
          <w:color w:val="auto"/>
        </w:rPr>
      </w:pPr>
      <w:r>
        <w:rPr>
          <w:rFonts w:ascii="Arial" w:cs="Arial" w:eastAsia="Arial" w:hAnsi="Arial"/>
          <w:sz w:val="18"/>
          <w:szCs w:val="18"/>
          <w:color w:val="auto"/>
        </w:rPr>
        <w:t>(Exact Name of Registrant as Specified in Charter)</w:t>
      </w:r>
    </w:p>
    <w:p>
      <w:pPr>
        <w:spacing w:after="0" w:line="313" w:lineRule="exact"/>
        <w:rPr>
          <w:sz w:val="24"/>
          <w:szCs w:val="24"/>
          <w:color w:val="auto"/>
        </w:rPr>
      </w:pPr>
    </w:p>
    <w:tbl>
      <w:tblPr>
        <w:tblLayout w:type="fixed"/>
        <w:tblInd w:w="220" w:type="dxa"/>
        <w:tblCellMar>
          <w:top w:w="0" w:type="dxa"/>
          <w:left w:w="0" w:type="dxa"/>
          <w:bottom w:w="0" w:type="dxa"/>
          <w:right w:w="0" w:type="dxa"/>
        </w:tblCellMar>
      </w:tblPr>
      <w:tr>
        <w:trPr>
          <w:trHeight w:val="207"/>
        </w:trPr>
        <w:tc>
          <w:tcPr>
            <w:tcW w:w="3700" w:type="dxa"/>
            <w:vAlign w:val="bottom"/>
            <w:tcBorders>
              <w:bottom w:val="single" w:sz="8" w:color="auto"/>
            </w:tcBorders>
          </w:tcPr>
          <w:p>
            <w:pPr>
              <w:jc w:val="center"/>
              <w:ind w:right="152"/>
              <w:spacing w:after="0"/>
              <w:rPr>
                <w:sz w:val="20"/>
                <w:szCs w:val="20"/>
                <w:color w:val="auto"/>
              </w:rPr>
            </w:pPr>
            <w:r>
              <w:rPr>
                <w:rFonts w:ascii="Arial" w:cs="Arial" w:eastAsia="Arial" w:hAnsi="Arial"/>
                <w:sz w:val="18"/>
                <w:szCs w:val="18"/>
                <w:b w:val="1"/>
                <w:bCs w:val="1"/>
                <w:color w:val="auto"/>
                <w:w w:val="94"/>
              </w:rPr>
              <w:t>Michigan</w:t>
            </w:r>
          </w:p>
        </w:tc>
        <w:tc>
          <w:tcPr>
            <w:tcW w:w="2260" w:type="dxa"/>
            <w:vAlign w:val="bottom"/>
            <w:tcBorders>
              <w:bottom w:val="single" w:sz="8" w:color="auto"/>
            </w:tcBorders>
          </w:tcPr>
          <w:p>
            <w:pPr>
              <w:jc w:val="center"/>
              <w:ind w:right="14"/>
              <w:spacing w:after="0"/>
              <w:rPr>
                <w:sz w:val="20"/>
                <w:szCs w:val="20"/>
                <w:color w:val="auto"/>
              </w:rPr>
            </w:pPr>
            <w:r>
              <w:rPr>
                <w:rFonts w:ascii="Arial" w:cs="Arial" w:eastAsia="Arial" w:hAnsi="Arial"/>
                <w:sz w:val="18"/>
                <w:szCs w:val="18"/>
                <w:b w:val="1"/>
                <w:bCs w:val="1"/>
                <w:color w:val="auto"/>
                <w:w w:val="89"/>
              </w:rPr>
              <w:t>00-22684</w:t>
            </w:r>
          </w:p>
        </w:tc>
        <w:tc>
          <w:tcPr>
            <w:tcW w:w="2620" w:type="dxa"/>
            <w:vAlign w:val="bottom"/>
            <w:tcBorders>
              <w:bottom w:val="single" w:sz="8" w:color="auto"/>
            </w:tcBorders>
          </w:tcPr>
          <w:p>
            <w:pPr>
              <w:jc w:val="right"/>
              <w:ind w:right="732"/>
              <w:spacing w:after="0"/>
              <w:rPr>
                <w:sz w:val="20"/>
                <w:szCs w:val="20"/>
                <w:color w:val="auto"/>
              </w:rPr>
            </w:pPr>
            <w:r>
              <w:rPr>
                <w:rFonts w:ascii="Arial" w:cs="Arial" w:eastAsia="Arial" w:hAnsi="Arial"/>
                <w:sz w:val="18"/>
                <w:szCs w:val="18"/>
                <w:b w:val="1"/>
                <w:bCs w:val="1"/>
                <w:color w:val="auto"/>
              </w:rPr>
              <w:t>38-1465835</w:t>
            </w:r>
          </w:p>
        </w:tc>
        <w:tc>
          <w:tcPr>
            <w:tcW w:w="0" w:type="dxa"/>
            <w:vAlign w:val="bottom"/>
          </w:tcPr>
          <w:p>
            <w:pPr>
              <w:spacing w:after="0"/>
              <w:rPr>
                <w:sz w:val="1"/>
                <w:szCs w:val="1"/>
                <w:color w:val="auto"/>
              </w:rPr>
            </w:pPr>
          </w:p>
        </w:tc>
      </w:tr>
      <w:tr>
        <w:trPr>
          <w:trHeight w:val="142"/>
        </w:trPr>
        <w:tc>
          <w:tcPr>
            <w:tcW w:w="3700" w:type="dxa"/>
            <w:vAlign w:val="bottom"/>
          </w:tcPr>
          <w:p>
            <w:pPr>
              <w:jc w:val="center"/>
              <w:ind w:right="172"/>
              <w:spacing w:after="0" w:line="142" w:lineRule="exact"/>
              <w:rPr>
                <w:sz w:val="20"/>
                <w:szCs w:val="20"/>
                <w:color w:val="auto"/>
              </w:rPr>
            </w:pPr>
            <w:r>
              <w:rPr>
                <w:rFonts w:ascii="Arial" w:cs="Arial" w:eastAsia="Arial" w:hAnsi="Arial"/>
                <w:sz w:val="16"/>
                <w:szCs w:val="16"/>
                <w:color w:val="auto"/>
              </w:rPr>
              <w:t>(State or Other Jurisdiction</w:t>
            </w:r>
          </w:p>
        </w:tc>
        <w:tc>
          <w:tcPr>
            <w:tcW w:w="2260" w:type="dxa"/>
            <w:vAlign w:val="bottom"/>
          </w:tcPr>
          <w:p>
            <w:pPr>
              <w:jc w:val="center"/>
              <w:ind w:right="14"/>
              <w:spacing w:after="0" w:line="142" w:lineRule="exact"/>
              <w:rPr>
                <w:sz w:val="20"/>
                <w:szCs w:val="20"/>
                <w:color w:val="auto"/>
              </w:rPr>
            </w:pPr>
            <w:r>
              <w:rPr>
                <w:rFonts w:ascii="Arial" w:cs="Arial" w:eastAsia="Arial" w:hAnsi="Arial"/>
                <w:sz w:val="16"/>
                <w:szCs w:val="16"/>
                <w:color w:val="auto"/>
              </w:rPr>
              <w:t>(Commission</w:t>
            </w:r>
          </w:p>
        </w:tc>
        <w:tc>
          <w:tcPr>
            <w:tcW w:w="2620" w:type="dxa"/>
            <w:vAlign w:val="bottom"/>
          </w:tcPr>
          <w:p>
            <w:pPr>
              <w:jc w:val="center"/>
              <w:ind w:left="32"/>
              <w:spacing w:after="0" w:line="142" w:lineRule="exact"/>
              <w:rPr>
                <w:sz w:val="20"/>
                <w:szCs w:val="20"/>
                <w:color w:val="auto"/>
              </w:rPr>
            </w:pPr>
            <w:r>
              <w:rPr>
                <w:rFonts w:ascii="Arial" w:cs="Arial" w:eastAsia="Arial" w:hAnsi="Arial"/>
                <w:sz w:val="16"/>
                <w:szCs w:val="16"/>
                <w:color w:val="auto"/>
              </w:rPr>
              <w:t>(IRS Employer</w:t>
            </w:r>
          </w:p>
        </w:tc>
        <w:tc>
          <w:tcPr>
            <w:tcW w:w="0" w:type="dxa"/>
            <w:vAlign w:val="bottom"/>
          </w:tcPr>
          <w:p>
            <w:pPr>
              <w:spacing w:after="0"/>
              <w:rPr>
                <w:sz w:val="1"/>
                <w:szCs w:val="1"/>
                <w:color w:val="auto"/>
              </w:rPr>
            </w:pPr>
          </w:p>
        </w:tc>
      </w:tr>
      <w:tr>
        <w:trPr>
          <w:trHeight w:val="230"/>
        </w:trPr>
        <w:tc>
          <w:tcPr>
            <w:tcW w:w="3700" w:type="dxa"/>
            <w:vAlign w:val="bottom"/>
          </w:tcPr>
          <w:p>
            <w:pPr>
              <w:jc w:val="center"/>
              <w:ind w:right="172"/>
              <w:spacing w:after="0"/>
              <w:rPr>
                <w:sz w:val="20"/>
                <w:szCs w:val="20"/>
                <w:color w:val="auto"/>
              </w:rPr>
            </w:pPr>
            <w:r>
              <w:rPr>
                <w:rFonts w:ascii="Arial" w:cs="Arial" w:eastAsia="Arial" w:hAnsi="Arial"/>
                <w:sz w:val="18"/>
                <w:szCs w:val="18"/>
                <w:color w:val="auto"/>
                <w:w w:val="94"/>
              </w:rPr>
              <w:t>of Incorporation)</w:t>
            </w:r>
          </w:p>
        </w:tc>
        <w:tc>
          <w:tcPr>
            <w:tcW w:w="2260" w:type="dxa"/>
            <w:vAlign w:val="bottom"/>
          </w:tcPr>
          <w:p>
            <w:pPr>
              <w:jc w:val="center"/>
              <w:ind w:right="34"/>
              <w:spacing w:after="0"/>
              <w:rPr>
                <w:sz w:val="20"/>
                <w:szCs w:val="20"/>
                <w:color w:val="auto"/>
              </w:rPr>
            </w:pPr>
            <w:r>
              <w:rPr>
                <w:rFonts w:ascii="Arial" w:cs="Arial" w:eastAsia="Arial" w:hAnsi="Arial"/>
                <w:sz w:val="18"/>
                <w:szCs w:val="18"/>
                <w:color w:val="auto"/>
                <w:w w:val="94"/>
              </w:rPr>
              <w:t>File Number)</w:t>
            </w:r>
          </w:p>
        </w:tc>
        <w:tc>
          <w:tcPr>
            <w:tcW w:w="2620" w:type="dxa"/>
            <w:vAlign w:val="bottom"/>
          </w:tcPr>
          <w:p>
            <w:pPr>
              <w:jc w:val="center"/>
              <w:ind w:left="32"/>
              <w:spacing w:after="0"/>
              <w:rPr>
                <w:sz w:val="20"/>
                <w:szCs w:val="20"/>
                <w:color w:val="auto"/>
              </w:rPr>
            </w:pPr>
            <w:r>
              <w:rPr>
                <w:rFonts w:ascii="Arial" w:cs="Arial" w:eastAsia="Arial" w:hAnsi="Arial"/>
                <w:sz w:val="18"/>
                <w:szCs w:val="18"/>
                <w:color w:val="auto"/>
                <w:w w:val="95"/>
              </w:rPr>
              <w:t>Identification No.)</w:t>
            </w:r>
          </w:p>
        </w:tc>
        <w:tc>
          <w:tcPr>
            <w:tcW w:w="0" w:type="dxa"/>
            <w:vAlign w:val="bottom"/>
          </w:tcPr>
          <w:p>
            <w:pPr>
              <w:spacing w:after="0"/>
              <w:rPr>
                <w:sz w:val="1"/>
                <w:szCs w:val="1"/>
                <w:color w:val="auto"/>
              </w:rPr>
            </w:pPr>
          </w:p>
        </w:tc>
      </w:tr>
      <w:tr>
        <w:trPr>
          <w:trHeight w:val="296"/>
        </w:trPr>
        <w:tc>
          <w:tcPr>
            <w:tcW w:w="3700" w:type="dxa"/>
            <w:vAlign w:val="bottom"/>
          </w:tcPr>
          <w:p>
            <w:pPr>
              <w:jc w:val="center"/>
              <w:ind w:right="152"/>
              <w:spacing w:after="0"/>
              <w:rPr>
                <w:sz w:val="20"/>
                <w:szCs w:val="20"/>
                <w:color w:val="auto"/>
              </w:rPr>
            </w:pPr>
            <w:r>
              <w:rPr>
                <w:rFonts w:ascii="Arial" w:cs="Arial" w:eastAsia="Arial" w:hAnsi="Arial"/>
                <w:sz w:val="18"/>
                <w:szCs w:val="18"/>
                <w:b w:val="1"/>
                <w:bCs w:val="1"/>
                <w:color w:val="auto"/>
                <w:w w:val="91"/>
              </w:rPr>
              <w:t>2801 East Beltline, N.E.</w:t>
            </w:r>
          </w:p>
        </w:tc>
        <w:tc>
          <w:tcPr>
            <w:tcW w:w="2260" w:type="dxa"/>
            <w:vAlign w:val="bottom"/>
          </w:tcPr>
          <w:p>
            <w:pPr>
              <w:spacing w:after="0"/>
              <w:rPr>
                <w:sz w:val="24"/>
                <w:szCs w:val="24"/>
                <w:color w:val="auto"/>
              </w:rPr>
            </w:pPr>
          </w:p>
        </w:tc>
        <w:tc>
          <w:tcPr>
            <w:tcW w:w="2620" w:type="dxa"/>
            <w:vAlign w:val="bottom"/>
            <w:vMerge w:val="restart"/>
          </w:tcPr>
          <w:p>
            <w:pPr>
              <w:jc w:val="right"/>
              <w:ind w:right="932"/>
              <w:spacing w:after="0"/>
              <w:rPr>
                <w:sz w:val="20"/>
                <w:szCs w:val="20"/>
                <w:color w:val="auto"/>
              </w:rPr>
            </w:pPr>
            <w:r>
              <w:rPr>
                <w:rFonts w:ascii="Arial" w:cs="Arial" w:eastAsia="Arial" w:hAnsi="Arial"/>
                <w:sz w:val="18"/>
                <w:szCs w:val="18"/>
                <w:b w:val="1"/>
                <w:bCs w:val="1"/>
                <w:color w:val="auto"/>
              </w:rPr>
              <w:t>49525</w:t>
            </w:r>
          </w:p>
        </w:tc>
        <w:tc>
          <w:tcPr>
            <w:tcW w:w="0" w:type="dxa"/>
            <w:vAlign w:val="bottom"/>
          </w:tcPr>
          <w:p>
            <w:pPr>
              <w:spacing w:after="0"/>
              <w:rPr>
                <w:sz w:val="1"/>
                <w:szCs w:val="1"/>
                <w:color w:val="auto"/>
              </w:rPr>
            </w:pPr>
          </w:p>
        </w:tc>
      </w:tr>
      <w:tr>
        <w:trPr>
          <w:trHeight w:val="203"/>
        </w:trPr>
        <w:tc>
          <w:tcPr>
            <w:tcW w:w="3700" w:type="dxa"/>
            <w:vAlign w:val="bottom"/>
            <w:tcBorders>
              <w:bottom w:val="single" w:sz="8" w:color="auto"/>
            </w:tcBorders>
          </w:tcPr>
          <w:p>
            <w:pPr>
              <w:jc w:val="center"/>
              <w:ind w:right="172"/>
              <w:spacing w:after="0" w:line="202" w:lineRule="exact"/>
              <w:rPr>
                <w:sz w:val="20"/>
                <w:szCs w:val="20"/>
                <w:color w:val="auto"/>
              </w:rPr>
            </w:pPr>
            <w:r>
              <w:rPr>
                <w:rFonts w:ascii="Arial" w:cs="Arial" w:eastAsia="Arial" w:hAnsi="Arial"/>
                <w:sz w:val="18"/>
                <w:szCs w:val="18"/>
                <w:b w:val="1"/>
                <w:bCs w:val="1"/>
                <w:color w:val="auto"/>
                <w:w w:val="93"/>
              </w:rPr>
              <w:t>Grand Rapids, Michigan</w:t>
            </w:r>
          </w:p>
        </w:tc>
        <w:tc>
          <w:tcPr>
            <w:tcW w:w="2260" w:type="dxa"/>
            <w:vAlign w:val="bottom"/>
            <w:tcBorders>
              <w:bottom w:val="single" w:sz="8" w:color="auto"/>
            </w:tcBorders>
          </w:tcPr>
          <w:p>
            <w:pPr>
              <w:spacing w:after="0"/>
              <w:rPr>
                <w:sz w:val="17"/>
                <w:szCs w:val="17"/>
                <w:color w:val="auto"/>
              </w:rPr>
            </w:pPr>
          </w:p>
        </w:tc>
        <w:tc>
          <w:tcPr>
            <w:tcW w:w="262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3700" w:type="dxa"/>
            <w:vAlign w:val="bottom"/>
          </w:tcPr>
          <w:p>
            <w:pPr>
              <w:jc w:val="center"/>
              <w:ind w:right="152"/>
              <w:spacing w:after="0"/>
              <w:rPr>
                <w:sz w:val="20"/>
                <w:szCs w:val="20"/>
                <w:color w:val="auto"/>
              </w:rPr>
            </w:pPr>
            <w:r>
              <w:rPr>
                <w:rFonts w:ascii="Arial" w:cs="Arial" w:eastAsia="Arial" w:hAnsi="Arial"/>
                <w:sz w:val="18"/>
                <w:szCs w:val="18"/>
                <w:color w:val="auto"/>
                <w:w w:val="92"/>
              </w:rPr>
              <w:t>(Address of principal executive office)</w:t>
            </w:r>
          </w:p>
        </w:tc>
        <w:tc>
          <w:tcPr>
            <w:tcW w:w="2260" w:type="dxa"/>
            <w:vAlign w:val="bottom"/>
          </w:tcPr>
          <w:p>
            <w:pPr>
              <w:spacing w:after="0"/>
              <w:rPr>
                <w:sz w:val="19"/>
                <w:szCs w:val="19"/>
                <w:color w:val="auto"/>
              </w:rPr>
            </w:pPr>
          </w:p>
        </w:tc>
        <w:tc>
          <w:tcPr>
            <w:tcW w:w="2620" w:type="dxa"/>
            <w:vAlign w:val="bottom"/>
          </w:tcPr>
          <w:p>
            <w:pPr>
              <w:jc w:val="center"/>
              <w:ind w:left="52"/>
              <w:spacing w:after="0"/>
              <w:rPr>
                <w:sz w:val="20"/>
                <w:szCs w:val="20"/>
                <w:color w:val="auto"/>
              </w:rPr>
            </w:pPr>
            <w:r>
              <w:rPr>
                <w:rFonts w:ascii="Arial" w:cs="Arial" w:eastAsia="Arial" w:hAnsi="Arial"/>
                <w:sz w:val="18"/>
                <w:szCs w:val="18"/>
                <w:color w:val="auto"/>
                <w:w w:val="94"/>
              </w:rPr>
              <w:t>(Zip Code)</w:t>
            </w:r>
          </w:p>
        </w:tc>
        <w:tc>
          <w:tcPr>
            <w:tcW w:w="0" w:type="dxa"/>
            <w:vAlign w:val="bottom"/>
          </w:tcPr>
          <w:p>
            <w:pPr>
              <w:spacing w:after="0"/>
              <w:rPr>
                <w:sz w:val="1"/>
                <w:szCs w:val="1"/>
                <w:color w:val="auto"/>
              </w:rPr>
            </w:pPr>
          </w:p>
        </w:tc>
      </w:tr>
    </w:tbl>
    <w:p>
      <w:pPr>
        <w:spacing w:after="0" w:line="7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David A. Tutas</w:t>
      </w:r>
    </w:p>
    <w:p>
      <w:pPr>
        <w:jc w:val="center"/>
        <w:ind w:right="19"/>
        <w:spacing w:after="0" w:line="200" w:lineRule="auto"/>
        <w:rPr>
          <w:sz w:val="20"/>
          <w:szCs w:val="20"/>
          <w:color w:val="auto"/>
        </w:rPr>
      </w:pPr>
      <w:r>
        <w:rPr>
          <w:rFonts w:ascii="Arial" w:cs="Arial" w:eastAsia="Arial" w:hAnsi="Arial"/>
          <w:sz w:val="18"/>
          <w:szCs w:val="18"/>
          <w:b w:val="1"/>
          <w:bCs w:val="1"/>
          <w:color w:val="auto"/>
        </w:rPr>
        <w:t>Vice President, General Counsel, and Secretary</w:t>
      </w:r>
    </w:p>
    <w:p>
      <w:pPr>
        <w:jc w:val="center"/>
        <w:ind w:right="19"/>
        <w:spacing w:after="0" w:line="214" w:lineRule="auto"/>
        <w:rPr>
          <w:sz w:val="20"/>
          <w:szCs w:val="20"/>
          <w:color w:val="auto"/>
        </w:rPr>
      </w:pPr>
      <w:r>
        <w:rPr>
          <w:rFonts w:ascii="Arial" w:cs="Arial" w:eastAsia="Arial" w:hAnsi="Arial"/>
          <w:sz w:val="20"/>
          <w:szCs w:val="20"/>
          <w:b w:val="1"/>
          <w:bCs w:val="1"/>
          <w:color w:val="auto"/>
        </w:rPr>
        <w:t>(616) 364-6161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133985</wp:posOffset>
            </wp:positionH>
            <wp:positionV relativeFrom="paragraph">
              <wp:posOffset>0</wp:posOffset>
            </wp:positionV>
            <wp:extent cx="545211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452110" cy="8255"/>
                    </a:xfrm>
                    <a:prstGeom prst="rect">
                      <a:avLst/>
                    </a:prstGeom>
                    <a:noFill/>
                  </pic:spPr>
                </pic:pic>
              </a:graphicData>
            </a:graphic>
          </wp:anchor>
        </w:drawing>
      </w:r>
    </w:p>
    <w:p>
      <w:pPr>
        <w:jc w:val="center"/>
        <w:ind w:right="19"/>
        <w:spacing w:after="0"/>
        <w:rPr>
          <w:sz w:val="20"/>
          <w:szCs w:val="20"/>
          <w:color w:val="auto"/>
        </w:rPr>
      </w:pPr>
      <w:r>
        <w:rPr>
          <w:rFonts w:ascii="Arial" w:cs="Arial" w:eastAsia="Arial" w:hAnsi="Arial"/>
          <w:sz w:val="18"/>
          <w:szCs w:val="18"/>
          <w:color w:val="auto"/>
        </w:rPr>
        <w:t>(Name and Telephone number, including area code, of the person to contact in connection with this report.)</w:t>
      </w:r>
    </w:p>
    <w:p>
      <w:pPr>
        <w:spacing w:after="0" w:line="200" w:lineRule="exact"/>
        <w:rPr>
          <w:sz w:val="24"/>
          <w:szCs w:val="24"/>
          <w:color w:val="auto"/>
        </w:rPr>
      </w:pPr>
    </w:p>
    <w:p>
      <w:pPr>
        <w:spacing w:after="0" w:line="333" w:lineRule="exact"/>
        <w:rPr>
          <w:sz w:val="24"/>
          <w:szCs w:val="24"/>
          <w:color w:val="auto"/>
        </w:rPr>
      </w:pPr>
    </w:p>
    <w:p>
      <w:pPr>
        <w:ind w:left="200" w:right="599"/>
        <w:spacing w:after="0" w:line="261" w:lineRule="auto"/>
        <w:rPr>
          <w:sz w:val="20"/>
          <w:szCs w:val="20"/>
          <w:color w:val="auto"/>
        </w:rPr>
      </w:pPr>
      <w:r>
        <w:rPr>
          <w:rFonts w:ascii="Arial" w:cs="Arial" w:eastAsia="Arial" w:hAnsi="Arial"/>
          <w:sz w:val="18"/>
          <w:szCs w:val="18"/>
          <w:color w:val="auto"/>
        </w:rPr>
        <w:t>Check the appropriate box to indicate the rule pursuant to which this form is being filed, and provide the period to which the information in this form applies:</w:t>
      </w:r>
    </w:p>
    <w:p>
      <w:pPr>
        <w:spacing w:after="0" w:line="200" w:lineRule="exact"/>
        <w:rPr>
          <w:sz w:val="24"/>
          <w:szCs w:val="24"/>
          <w:color w:val="auto"/>
        </w:rPr>
      </w:pPr>
    </w:p>
    <w:p>
      <w:pPr>
        <w:spacing w:after="0" w:line="322" w:lineRule="exact"/>
        <w:rPr>
          <w:sz w:val="24"/>
          <w:szCs w:val="24"/>
          <w:color w:val="auto"/>
        </w:rPr>
      </w:pPr>
    </w:p>
    <w:p>
      <w:pPr>
        <w:ind w:left="200" w:right="259" w:firstLine="333"/>
        <w:spacing w:after="0" w:line="261" w:lineRule="auto"/>
        <w:tabs>
          <w:tab w:leader="none" w:pos="864" w:val="left"/>
        </w:tabs>
        <w:numPr>
          <w:ilvl w:val="0"/>
          <w:numId w:val="1"/>
        </w:numPr>
        <w:rPr>
          <w:rFonts w:ascii="Arial" w:cs="Arial" w:eastAsia="Arial" w:hAnsi="Arial"/>
          <w:sz w:val="18"/>
          <w:szCs w:val="18"/>
          <w:color w:val="auto"/>
        </w:rPr>
      </w:pPr>
      <w:r>
        <w:rPr>
          <w:rFonts w:ascii="Arial" w:cs="Arial" w:eastAsia="Arial" w:hAnsi="Arial"/>
          <w:sz w:val="18"/>
          <w:szCs w:val="18"/>
          <w:color w:val="auto"/>
        </w:rPr>
        <w:t>Rule 13p-1 under the Securities Exchange Act (17 CFR 240.13p-1) for the reporting period from January 1 to December 31,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133985</wp:posOffset>
            </wp:positionH>
            <wp:positionV relativeFrom="paragraph">
              <wp:posOffset>572135</wp:posOffset>
            </wp:positionV>
            <wp:extent cx="5452110" cy="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452110" cy="26035"/>
                    </a:xfrm>
                    <a:prstGeom prst="rect">
                      <a:avLst/>
                    </a:prstGeom>
                    <a:noFill/>
                  </pic:spPr>
                </pic:pic>
              </a:graphicData>
            </a:graphic>
          </wp:anchor>
        </w:drawing>
      </w:r>
    </w:p>
    <w:p>
      <w:pPr>
        <w:sectPr>
          <w:pgSz w:w="11900" w:h="16838" w:orient="portrait"/>
          <w:cols w:equalWidth="0" w:num="1">
            <w:col w:w="9019"/>
          </w:cols>
          <w:pgMar w:left="1440" w:top="192" w:right="1440" w:bottom="1440" w:gutter="0" w:footer="0" w:header="0"/>
        </w:sectPr>
      </w:pPr>
    </w:p>
    <w:bookmarkStart w:id="1" w:name="page2"/>
    <w:bookmarkEnd w:id="1"/>
    <w:p>
      <w:pPr>
        <w:ind w:left="200"/>
        <w:spacing w:after="0"/>
        <w:rPr>
          <w:sz w:val="20"/>
          <w:szCs w:val="20"/>
          <w:color w:val="auto"/>
        </w:rPr>
      </w:pPr>
      <w:r>
        <w:rPr>
          <w:rFonts w:ascii="Arial" w:cs="Arial" w:eastAsia="Arial" w:hAnsi="Arial"/>
          <w:sz w:val="18"/>
          <w:szCs w:val="18"/>
          <w:b w:val="1"/>
          <w:bCs w:val="1"/>
          <w:color w:val="auto"/>
        </w:rPr>
        <w:t>SECTION 1 – Conflict Minerals Disclosure</w:t>
      </w:r>
    </w:p>
    <w:p>
      <w:pPr>
        <w:spacing w:after="0" w:line="266" w:lineRule="exact"/>
        <w:rPr>
          <w:sz w:val="20"/>
          <w:szCs w:val="20"/>
          <w:color w:val="auto"/>
        </w:rPr>
      </w:pPr>
    </w:p>
    <w:p>
      <w:pPr>
        <w:ind w:left="200"/>
        <w:spacing w:after="0"/>
        <w:tabs>
          <w:tab w:leader="none" w:pos="1560" w:val="left"/>
        </w:tabs>
        <w:rPr>
          <w:sz w:val="20"/>
          <w:szCs w:val="20"/>
          <w:color w:val="auto"/>
        </w:rPr>
      </w:pPr>
      <w:r>
        <w:rPr>
          <w:rFonts w:ascii="Arial" w:cs="Arial" w:eastAsia="Arial" w:hAnsi="Arial"/>
          <w:sz w:val="18"/>
          <w:szCs w:val="18"/>
          <w:b w:val="1"/>
          <w:bCs w:val="1"/>
          <w:color w:val="auto"/>
        </w:rPr>
        <w:t>Item 1.01</w:t>
      </w:r>
      <w:r>
        <w:rPr>
          <w:sz w:val="20"/>
          <w:szCs w:val="20"/>
          <w:color w:val="auto"/>
        </w:rPr>
        <w:tab/>
      </w:r>
      <w:r>
        <w:rPr>
          <w:rFonts w:ascii="Arial" w:cs="Arial" w:eastAsia="Arial" w:hAnsi="Arial"/>
          <w:sz w:val="16"/>
          <w:szCs w:val="16"/>
          <w:color w:val="auto"/>
        </w:rPr>
        <w:t>Conflict Minerals Disclosure and Report.</w:t>
      </w:r>
    </w:p>
    <w:p>
      <w:pPr>
        <w:spacing w:after="0" w:line="162" w:lineRule="exact"/>
        <w:rPr>
          <w:sz w:val="20"/>
          <w:szCs w:val="20"/>
          <w:color w:val="auto"/>
        </w:rPr>
      </w:pPr>
    </w:p>
    <w:p>
      <w:pPr>
        <w:jc w:val="both"/>
        <w:ind w:left="200" w:right="219"/>
        <w:spacing w:after="0" w:line="248" w:lineRule="auto"/>
        <w:rPr>
          <w:sz w:val="20"/>
          <w:szCs w:val="20"/>
          <w:color w:val="auto"/>
        </w:rPr>
      </w:pPr>
      <w:r>
        <w:rPr>
          <w:rFonts w:ascii="Arial" w:cs="Arial" w:eastAsia="Arial" w:hAnsi="Arial"/>
          <w:sz w:val="18"/>
          <w:szCs w:val="18"/>
          <w:color w:val="auto"/>
        </w:rPr>
        <w:t>UFP Industries, Inc. has included the Conflict Minerals Report as an exhibit to its Form SD for the period from January 1,2019 to December 31, 2019. Unless the context otherwise indicates, “UFP Industries,” “we,” “us” and “our” refer to UFP Industries, Inc. and its consolidated subsidiaries.</w:t>
      </w:r>
    </w:p>
    <w:p>
      <w:pPr>
        <w:spacing w:after="0" w:line="168" w:lineRule="exact"/>
        <w:rPr>
          <w:sz w:val="20"/>
          <w:szCs w:val="20"/>
          <w:color w:val="auto"/>
        </w:rPr>
      </w:pPr>
    </w:p>
    <w:p>
      <w:pPr>
        <w:jc w:val="both"/>
        <w:ind w:left="200" w:right="219"/>
        <w:spacing w:after="0" w:line="270" w:lineRule="auto"/>
        <w:rPr>
          <w:sz w:val="20"/>
          <w:szCs w:val="20"/>
          <w:color w:val="auto"/>
        </w:rPr>
      </w:pPr>
      <w:r>
        <w:rPr>
          <w:rFonts w:ascii="Arial" w:cs="Arial" w:eastAsia="Arial" w:hAnsi="Arial"/>
          <w:sz w:val="16"/>
          <w:szCs w:val="16"/>
          <w:color w:val="auto"/>
        </w:rPr>
        <w:t>During 2019, certain of our operations manufactured, or contracted to manufacture, products for which 3TGs, as defined below, are necessary to their functionality or production (the “Covered Products”). Conflict minerals are defined in Section 13(p) of the Securities Exchange Act of 1934, as amended, as (A) gold, cassiterite, columbite-tantalite (coltan), wolframite, and their derivatives, which are limited to tin, tantalum and tungsten (collectively referred to as “3TGs”), or (B) any other mineral or its derivatives determined by the Secretary of State to be financing conflict in the Democratic Republic of Congo (“DRC”) or any adjoining country that shares an internationally recognized border with the DRC. Accordingly, we have conducted a reasonable country of origin inquiry (“RCOI”) that was designed to determine whether any of the 3TGs in our Covered Products originated in the Democratic Republic of the Congo or an adjoining country (Angola, Burundi, the Central African Republic, the Republic of the Congo, Rwanda, South Sudan, Tanzania, Uganda or Zambia), or were from recycled or scrap sources.</w:t>
      </w:r>
    </w:p>
    <w:p>
      <w:pPr>
        <w:spacing w:after="0" w:line="158" w:lineRule="exact"/>
        <w:rPr>
          <w:sz w:val="20"/>
          <w:szCs w:val="20"/>
          <w:color w:val="auto"/>
        </w:rPr>
      </w:pPr>
    </w:p>
    <w:p>
      <w:pPr>
        <w:jc w:val="both"/>
        <w:ind w:left="200" w:right="219"/>
        <w:spacing w:after="0" w:line="243" w:lineRule="auto"/>
        <w:rPr>
          <w:sz w:val="20"/>
          <w:szCs w:val="20"/>
          <w:color w:val="auto"/>
        </w:rPr>
      </w:pPr>
      <w:r>
        <w:rPr>
          <w:rFonts w:ascii="Arial" w:cs="Arial" w:eastAsia="Arial" w:hAnsi="Arial"/>
          <w:sz w:val="18"/>
          <w:szCs w:val="18"/>
          <w:color w:val="auto"/>
        </w:rPr>
        <w:t>A summary of our RCOI and steps of due diligence on the source and chain of custody of any 3TGs in our Covered Products is included in our Conflict Minerals Report, which is filed as Exhibit 1.01 to this Form SD. In addition to this, our Conflict Minerals Report and Form SD are publicly available on the Investor Relations section of our company website at: http://www.ufpinvestor.com/index.php/corporate-governance/highlights.</w:t>
      </w:r>
    </w:p>
    <w:p>
      <w:pPr>
        <w:spacing w:after="0" w:line="130"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Forward-Looking Statements</w:t>
      </w:r>
    </w:p>
    <w:p>
      <w:pPr>
        <w:spacing w:after="0" w:line="202" w:lineRule="exact"/>
        <w:rPr>
          <w:sz w:val="20"/>
          <w:szCs w:val="20"/>
          <w:color w:val="auto"/>
        </w:rPr>
      </w:pPr>
    </w:p>
    <w:p>
      <w:pPr>
        <w:jc w:val="both"/>
        <w:ind w:left="200" w:right="219"/>
        <w:spacing w:after="0" w:line="252" w:lineRule="auto"/>
        <w:rPr>
          <w:sz w:val="20"/>
          <w:szCs w:val="20"/>
          <w:color w:val="auto"/>
        </w:rPr>
      </w:pPr>
      <w:r>
        <w:rPr>
          <w:rFonts w:ascii="Arial" w:cs="Arial" w:eastAsia="Arial" w:hAnsi="Arial"/>
          <w:sz w:val="17"/>
          <w:szCs w:val="17"/>
          <w:color w:val="auto"/>
        </w:rPr>
        <w:t>This Form SD and the Conflict Minerals Report contains forward-looking statements within the meaning of Section 21E of the Securities Exchange Act, as amended, that are based upon beliefs, assumptions, current expectations, estimates, and intentions, as well as those that are based on historical fact, and include statements relating to our compliance efforts and expected actions. The words “expects,” “intends,” “plans,” “believes,” “anticipates”, “likely”, “should”, variations of such words, and similar expressions are used to identify these forward-looking statements. These statements do not guarantee future actions or performance and involve certain risks, uncertainties and assumptions that are difficult to predict with regards to timing, extent, likelihood and degree of occurrence. We do not undertake to update forward-looking statements to reflect facts, circumstances, events, or assumptions that occur after the date the forward-looking statements are made. Actual results could differ materially from those included in such forward-looking statements. Investors are cautioned that all forward-looking statements involve risk and uncertainty. Undue reliance should not be placed on these forward-looking statements.</w:t>
      </w:r>
    </w:p>
    <w:p>
      <w:pPr>
        <w:spacing w:after="0" w:line="128" w:lineRule="exact"/>
        <w:rPr>
          <w:sz w:val="20"/>
          <w:szCs w:val="20"/>
          <w:color w:val="auto"/>
        </w:rPr>
      </w:pPr>
    </w:p>
    <w:p>
      <w:pPr>
        <w:ind w:left="200"/>
        <w:spacing w:after="0"/>
        <w:tabs>
          <w:tab w:leader="none" w:pos="1560" w:val="left"/>
        </w:tabs>
        <w:rPr>
          <w:sz w:val="20"/>
          <w:szCs w:val="20"/>
          <w:color w:val="auto"/>
        </w:rPr>
      </w:pPr>
      <w:r>
        <w:rPr>
          <w:rFonts w:ascii="Arial" w:cs="Arial" w:eastAsia="Arial" w:hAnsi="Arial"/>
          <w:sz w:val="18"/>
          <w:szCs w:val="18"/>
          <w:b w:val="1"/>
          <w:bCs w:val="1"/>
          <w:color w:val="auto"/>
        </w:rPr>
        <w:t>Item 1.02</w:t>
      </w:r>
      <w:r>
        <w:rPr>
          <w:sz w:val="20"/>
          <w:szCs w:val="20"/>
          <w:color w:val="auto"/>
        </w:rPr>
        <w:tab/>
      </w:r>
      <w:r>
        <w:rPr>
          <w:rFonts w:ascii="Arial" w:cs="Arial" w:eastAsia="Arial" w:hAnsi="Arial"/>
          <w:sz w:val="17"/>
          <w:szCs w:val="17"/>
          <w:color w:val="auto"/>
        </w:rPr>
        <w:t>Exhibit.</w:t>
      </w:r>
    </w:p>
    <w:p>
      <w:pPr>
        <w:spacing w:after="0" w:line="162" w:lineRule="exact"/>
        <w:rPr>
          <w:sz w:val="20"/>
          <w:szCs w:val="20"/>
          <w:color w:val="auto"/>
        </w:rPr>
      </w:pPr>
    </w:p>
    <w:p>
      <w:pPr>
        <w:ind w:left="200"/>
        <w:spacing w:after="0"/>
        <w:rPr>
          <w:sz w:val="20"/>
          <w:szCs w:val="20"/>
          <w:color w:val="auto"/>
        </w:rPr>
      </w:pPr>
      <w:r>
        <w:rPr>
          <w:rFonts w:ascii="Arial" w:cs="Arial" w:eastAsia="Arial" w:hAnsi="Arial"/>
          <w:sz w:val="18"/>
          <w:szCs w:val="18"/>
          <w:color w:val="auto"/>
        </w:rPr>
        <w:t>We have filed our Conflict Minerals Report as Exhibit 1.01 to this Form SD.</w:t>
      </w:r>
    </w:p>
    <w:p>
      <w:pPr>
        <w:spacing w:after="0" w:line="167" w:lineRule="exact"/>
        <w:rPr>
          <w:sz w:val="20"/>
          <w:szCs w:val="20"/>
          <w:color w:val="auto"/>
        </w:rPr>
      </w:pPr>
    </w:p>
    <w:p>
      <w:pPr>
        <w:ind w:left="200"/>
        <w:spacing w:after="0"/>
        <w:tabs>
          <w:tab w:leader="none" w:pos="1600" w:val="left"/>
        </w:tabs>
        <w:rPr>
          <w:sz w:val="20"/>
          <w:szCs w:val="20"/>
          <w:color w:val="auto"/>
        </w:rPr>
      </w:pPr>
      <w:r>
        <w:rPr>
          <w:rFonts w:ascii="Arial" w:cs="Arial" w:eastAsia="Arial" w:hAnsi="Arial"/>
          <w:sz w:val="18"/>
          <w:szCs w:val="18"/>
          <w:b w:val="1"/>
          <w:bCs w:val="1"/>
          <w:color w:val="auto"/>
        </w:rPr>
        <w:t>Item 2.01</w:t>
      </w:r>
      <w:r>
        <w:rPr>
          <w:sz w:val="20"/>
          <w:szCs w:val="20"/>
          <w:color w:val="auto"/>
        </w:rPr>
        <w:tab/>
      </w:r>
      <w:r>
        <w:rPr>
          <w:rFonts w:ascii="Arial" w:cs="Arial" w:eastAsia="Arial" w:hAnsi="Arial"/>
          <w:sz w:val="16"/>
          <w:szCs w:val="16"/>
          <w:color w:val="auto"/>
        </w:rPr>
        <w:t>Exhibits.</w:t>
      </w:r>
    </w:p>
    <w:p>
      <w:pPr>
        <w:spacing w:after="0" w:line="148" w:lineRule="exact"/>
        <w:rPr>
          <w:sz w:val="20"/>
          <w:szCs w:val="20"/>
          <w:color w:val="auto"/>
        </w:rPr>
      </w:pPr>
    </w:p>
    <w:p>
      <w:pPr>
        <w:ind w:left="200"/>
        <w:spacing w:after="0"/>
        <w:rPr>
          <w:sz w:val="20"/>
          <w:szCs w:val="20"/>
          <w:color w:val="auto"/>
        </w:rPr>
      </w:pPr>
      <w:r>
        <w:rPr>
          <w:rFonts w:ascii="Arial" w:cs="Arial" w:eastAsia="Arial" w:hAnsi="Arial"/>
          <w:sz w:val="18"/>
          <w:szCs w:val="18"/>
          <w:color w:val="auto"/>
        </w:rPr>
        <w:t>Exhibit 1.01 – Conflict Minerals Report as required by Items 1.01. and 1.02 of Form SD.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563245</wp:posOffset>
            </wp:positionV>
            <wp:extent cx="545211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452110" cy="17145"/>
                    </a:xfrm>
                    <a:prstGeom prst="rect">
                      <a:avLst/>
                    </a:prstGeom>
                    <a:noFill/>
                  </pic:spPr>
                </pic:pic>
              </a:graphicData>
            </a:graphic>
          </wp:anchor>
        </w:drawing>
      </w:r>
    </w:p>
    <w:p>
      <w:pPr>
        <w:sectPr>
          <w:pgSz w:w="11900" w:h="16838" w:orient="portrait"/>
          <w:cols w:equalWidth="0" w:num="1">
            <w:col w:w="9019"/>
          </w:cols>
          <w:pgMar w:left="1440" w:top="121" w:right="1440"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EXHIBIT INDEX</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tbl>
      <w:tblPr>
        <w:tblLayout w:type="fixed"/>
        <w:tblInd w:w="220" w:type="dxa"/>
        <w:tblCellMar>
          <w:top w:w="0" w:type="dxa"/>
          <w:left w:w="0" w:type="dxa"/>
          <w:bottom w:w="0" w:type="dxa"/>
          <w:right w:w="0" w:type="dxa"/>
        </w:tblCellMar>
      </w:tblPr>
      <w:tr>
        <w:trPr>
          <w:trHeight w:val="207"/>
        </w:trPr>
        <w:tc>
          <w:tcPr>
            <w:tcW w:w="1220" w:type="dxa"/>
            <w:vAlign w:val="bottom"/>
          </w:tcPr>
          <w:p>
            <w:pPr>
              <w:ind w:left="360"/>
              <w:spacing w:after="0"/>
              <w:rPr>
                <w:sz w:val="20"/>
                <w:szCs w:val="20"/>
                <w:color w:val="auto"/>
              </w:rPr>
            </w:pPr>
            <w:r>
              <w:rPr>
                <w:rFonts w:ascii="Arial" w:cs="Arial" w:eastAsia="Arial" w:hAnsi="Arial"/>
                <w:sz w:val="18"/>
                <w:szCs w:val="18"/>
                <w:b w:val="1"/>
                <w:bCs w:val="1"/>
                <w:color w:val="auto"/>
              </w:rPr>
              <w:t>Exhibit</w:t>
            </w:r>
          </w:p>
        </w:tc>
        <w:tc>
          <w:tcPr>
            <w:tcW w:w="7360" w:type="dxa"/>
            <w:vAlign w:val="bottom"/>
          </w:tcPr>
          <w:p>
            <w:pPr>
              <w:spacing w:after="0"/>
              <w:rPr>
                <w:sz w:val="17"/>
                <w:szCs w:val="17"/>
                <w:color w:val="auto"/>
              </w:rPr>
            </w:pPr>
          </w:p>
        </w:tc>
      </w:tr>
      <w:tr>
        <w:trPr>
          <w:trHeight w:val="220"/>
        </w:trPr>
        <w:tc>
          <w:tcPr>
            <w:tcW w:w="1220" w:type="dxa"/>
            <w:vAlign w:val="bottom"/>
          </w:tcPr>
          <w:p>
            <w:pPr>
              <w:ind w:left="360"/>
              <w:spacing w:after="0"/>
              <w:rPr>
                <w:sz w:val="20"/>
                <w:szCs w:val="20"/>
                <w:color w:val="auto"/>
              </w:rPr>
            </w:pPr>
            <w:r>
              <w:rPr>
                <w:rFonts w:ascii="Arial" w:cs="Arial" w:eastAsia="Arial" w:hAnsi="Arial"/>
                <w:sz w:val="18"/>
                <w:szCs w:val="18"/>
                <w:b w:val="1"/>
                <w:bCs w:val="1"/>
                <w:color w:val="auto"/>
              </w:rPr>
              <w:t>Number</w:t>
            </w:r>
          </w:p>
        </w:tc>
        <w:tc>
          <w:tcPr>
            <w:tcW w:w="7360" w:type="dxa"/>
            <w:vAlign w:val="bottom"/>
          </w:tcPr>
          <w:p>
            <w:pPr>
              <w:ind w:left="200"/>
              <w:spacing w:after="0"/>
              <w:rPr>
                <w:sz w:val="20"/>
                <w:szCs w:val="20"/>
                <w:color w:val="auto"/>
              </w:rPr>
            </w:pPr>
            <w:r>
              <w:rPr>
                <w:rFonts w:ascii="Arial" w:cs="Arial" w:eastAsia="Arial" w:hAnsi="Arial"/>
                <w:sz w:val="18"/>
                <w:szCs w:val="18"/>
                <w:b w:val="1"/>
                <w:bCs w:val="1"/>
                <w:color w:val="auto"/>
              </w:rPr>
              <w:t>Description</w:t>
            </w:r>
          </w:p>
        </w:tc>
      </w:tr>
      <w:tr>
        <w:trPr>
          <w:trHeight w:val="203"/>
        </w:trPr>
        <w:tc>
          <w:tcPr>
            <w:tcW w:w="1220" w:type="dxa"/>
            <w:vAlign w:val="bottom"/>
          </w:tcPr>
          <w:p>
            <w:pPr>
              <w:ind w:left="360"/>
              <w:spacing w:after="0" w:line="202" w:lineRule="exact"/>
              <w:rPr>
                <w:sz w:val="20"/>
                <w:szCs w:val="20"/>
                <w:color w:val="auto"/>
              </w:rPr>
            </w:pPr>
            <w:r>
              <w:rPr>
                <w:rFonts w:ascii="Arial" w:cs="Arial" w:eastAsia="Arial" w:hAnsi="Arial"/>
                <w:sz w:val="18"/>
                <w:szCs w:val="18"/>
                <w:color w:val="auto"/>
              </w:rPr>
              <w:t>1.01</w:t>
            </w:r>
          </w:p>
        </w:tc>
        <w:tc>
          <w:tcPr>
            <w:tcW w:w="7360" w:type="dxa"/>
            <w:vAlign w:val="bottom"/>
          </w:tcPr>
          <w:p>
            <w:pPr>
              <w:ind w:left="220"/>
              <w:spacing w:after="0" w:line="202" w:lineRule="exact"/>
              <w:rPr>
                <w:sz w:val="20"/>
                <w:szCs w:val="20"/>
                <w:color w:val="auto"/>
              </w:rPr>
            </w:pPr>
            <w:r>
              <w:rPr>
                <w:rFonts w:ascii="Arial" w:cs="Arial" w:eastAsia="Arial" w:hAnsi="Arial"/>
                <w:sz w:val="18"/>
                <w:szCs w:val="18"/>
                <w:color w:val="auto"/>
                <w:w w:val="95"/>
              </w:rPr>
              <w:t>Conflict Minerals Report for the year ended December 31, 2019 as required by Items 1.01 and</w:t>
            </w:r>
          </w:p>
        </w:tc>
      </w:tr>
      <w:tr>
        <w:trPr>
          <w:trHeight w:val="230"/>
        </w:trPr>
        <w:tc>
          <w:tcPr>
            <w:tcW w:w="1220" w:type="dxa"/>
            <w:vAlign w:val="bottom"/>
          </w:tcPr>
          <w:p>
            <w:pPr>
              <w:spacing w:after="0"/>
              <w:rPr>
                <w:sz w:val="20"/>
                <w:szCs w:val="20"/>
                <w:color w:val="auto"/>
              </w:rPr>
            </w:pPr>
          </w:p>
        </w:tc>
        <w:tc>
          <w:tcPr>
            <w:tcW w:w="7360" w:type="dxa"/>
            <w:vAlign w:val="bottom"/>
          </w:tcPr>
          <w:p>
            <w:pPr>
              <w:ind w:left="220"/>
              <w:spacing w:after="0"/>
              <w:rPr>
                <w:sz w:val="20"/>
                <w:szCs w:val="20"/>
                <w:color w:val="auto"/>
              </w:rPr>
            </w:pPr>
            <w:r>
              <w:rPr>
                <w:rFonts w:ascii="Arial" w:cs="Arial" w:eastAsia="Arial" w:hAnsi="Arial"/>
                <w:sz w:val="18"/>
                <w:szCs w:val="18"/>
                <w:color w:val="auto"/>
              </w:rPr>
              <w:t>1.02 of this Form.</w:t>
            </w:r>
          </w:p>
        </w:tc>
      </w:tr>
      <w:tr>
        <w:trPr>
          <w:trHeight w:val="709"/>
        </w:trPr>
        <w:tc>
          <w:tcPr>
            <w:tcW w:w="1220" w:type="dxa"/>
            <w:vAlign w:val="bottom"/>
            <w:tcBorders>
              <w:bottom w:val="single" w:sz="8" w:color="auto"/>
            </w:tcBorders>
          </w:tcPr>
          <w:p>
            <w:pPr>
              <w:spacing w:after="0"/>
              <w:rPr>
                <w:sz w:val="24"/>
                <w:szCs w:val="24"/>
                <w:color w:val="auto"/>
              </w:rPr>
            </w:pPr>
          </w:p>
        </w:tc>
        <w:tc>
          <w:tcPr>
            <w:tcW w:w="736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297" w:right="1440"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SIGNATURE</w:t>
      </w:r>
    </w:p>
    <w:p>
      <w:pPr>
        <w:spacing w:after="0" w:line="378" w:lineRule="exact"/>
        <w:rPr>
          <w:sz w:val="20"/>
          <w:szCs w:val="20"/>
          <w:color w:val="auto"/>
        </w:rPr>
      </w:pPr>
    </w:p>
    <w:p>
      <w:pPr>
        <w:ind w:left="200" w:right="219"/>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94" w:lineRule="exact"/>
        <w:rPr>
          <w:sz w:val="20"/>
          <w:szCs w:val="20"/>
          <w:color w:val="auto"/>
        </w:rPr>
      </w:pPr>
    </w:p>
    <w:p>
      <w:pPr>
        <w:ind w:left="4360"/>
        <w:spacing w:after="0"/>
        <w:rPr>
          <w:sz w:val="20"/>
          <w:szCs w:val="20"/>
          <w:color w:val="auto"/>
        </w:rPr>
      </w:pPr>
      <w:r>
        <w:rPr>
          <w:rFonts w:ascii="Arial" w:cs="Arial" w:eastAsia="Arial" w:hAnsi="Arial"/>
          <w:sz w:val="18"/>
          <w:szCs w:val="18"/>
          <w:color w:val="auto"/>
        </w:rPr>
        <w:t>UFP INDUSTRIES, INC.</w:t>
      </w:r>
    </w:p>
    <w:p>
      <w:pPr>
        <w:spacing w:after="0" w:line="200" w:lineRule="exact"/>
        <w:rPr>
          <w:sz w:val="20"/>
          <w:szCs w:val="20"/>
          <w:color w:val="auto"/>
        </w:rPr>
      </w:pPr>
    </w:p>
    <w:p>
      <w:pPr>
        <w:spacing w:after="0" w:line="363" w:lineRule="exact"/>
        <w:rPr>
          <w:sz w:val="20"/>
          <w:szCs w:val="20"/>
          <w:color w:val="auto"/>
        </w:rPr>
      </w:pPr>
    </w:p>
    <w:p>
      <w:pPr>
        <w:ind w:left="260"/>
        <w:spacing w:after="0"/>
        <w:tabs>
          <w:tab w:leader="none" w:pos="4340" w:val="left"/>
          <w:tab w:leader="none" w:pos="4840" w:val="left"/>
        </w:tabs>
        <w:rPr>
          <w:sz w:val="20"/>
          <w:szCs w:val="20"/>
          <w:color w:val="auto"/>
        </w:rPr>
      </w:pPr>
      <w:r>
        <w:rPr>
          <w:rFonts w:ascii="Arial" w:cs="Arial" w:eastAsia="Arial" w:hAnsi="Arial"/>
          <w:sz w:val="18"/>
          <w:szCs w:val="18"/>
          <w:color w:val="auto"/>
        </w:rPr>
        <w:t>Dated: June 1,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Michael R. Cole</w:t>
      </w:r>
    </w:p>
    <w:p>
      <w:pPr>
        <w:spacing w:after="0" w:line="63" w:lineRule="exact"/>
        <w:rPr>
          <w:sz w:val="20"/>
          <w:szCs w:val="20"/>
          <w:color w:val="auto"/>
        </w:rPr>
      </w:pPr>
    </w:p>
    <w:p>
      <w:pPr>
        <w:ind w:left="4860"/>
        <w:spacing w:after="0"/>
        <w:rPr>
          <w:sz w:val="20"/>
          <w:szCs w:val="20"/>
          <w:color w:val="auto"/>
        </w:rPr>
      </w:pPr>
      <w:r>
        <w:rPr>
          <w:rFonts w:ascii="Arial" w:cs="Arial" w:eastAsia="Arial" w:hAnsi="Arial"/>
          <w:sz w:val="18"/>
          <w:szCs w:val="18"/>
          <w:color w:val="auto"/>
        </w:rPr>
        <w:t>Michael R. Cole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3056890</wp:posOffset>
            </wp:positionH>
            <wp:positionV relativeFrom="paragraph">
              <wp:posOffset>-130175</wp:posOffset>
            </wp:positionV>
            <wp:extent cx="25285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528570" cy="8890"/>
                    </a:xfrm>
                    <a:prstGeom prst="rect">
                      <a:avLst/>
                    </a:prstGeom>
                    <a:noFill/>
                  </pic:spPr>
                </pic:pic>
              </a:graphicData>
            </a:graphic>
          </wp:anchor>
        </w:drawing>
      </w:r>
    </w:p>
    <w:p>
      <w:pPr>
        <w:spacing w:after="0" w:line="16" w:lineRule="exact"/>
        <w:rPr>
          <w:sz w:val="20"/>
          <w:szCs w:val="20"/>
          <w:color w:val="auto"/>
        </w:rPr>
      </w:pPr>
    </w:p>
    <w:p>
      <w:pPr>
        <w:ind w:left="4860"/>
        <w:spacing w:after="0"/>
        <w:rPr>
          <w:sz w:val="20"/>
          <w:szCs w:val="20"/>
          <w:color w:val="auto"/>
        </w:rPr>
      </w:pPr>
      <w:r>
        <w:rPr>
          <w:rFonts w:ascii="Arial" w:cs="Arial" w:eastAsia="Arial" w:hAnsi="Arial"/>
          <w:sz w:val="18"/>
          <w:szCs w:val="18"/>
          <w:color w:val="auto"/>
        </w:rPr>
        <w:t>Chief Financial Officer and Treasurer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4660900</wp:posOffset>
            </wp:positionV>
            <wp:extent cx="545211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452110" cy="17145"/>
                    </a:xfrm>
                    <a:prstGeom prst="rect">
                      <a:avLst/>
                    </a:prstGeom>
                    <a:noFill/>
                  </pic:spPr>
                </pic:pic>
              </a:graphicData>
            </a:graphic>
          </wp:anchor>
        </w:drawing>
      </w:r>
    </w:p>
    <w:p>
      <w:pPr>
        <w:sectPr>
          <w:pgSz w:w="11900" w:h="16838" w:orient="portrait"/>
          <w:cols w:equalWidth="0" w:num="1">
            <w:col w:w="9019"/>
          </w:cols>
          <w:pgMar w:left="1440" w:top="459" w:right="1440" w:bottom="1440" w:gutter="0" w:footer="0" w:header="0"/>
        </w:sectPr>
      </w:pPr>
    </w:p>
    <w:bookmarkStart w:id="4" w:name="page5"/>
    <w:bookmarkEnd w:id="4"/>
    <w:p>
      <w:pPr>
        <w:jc w:val="right"/>
        <w:ind w:right="219"/>
        <w:spacing w:after="0"/>
        <w:rPr>
          <w:sz w:val="20"/>
          <w:szCs w:val="20"/>
          <w:color w:val="auto"/>
        </w:rPr>
      </w:pPr>
      <w:r>
        <w:rPr>
          <w:rFonts w:ascii="Arial" w:cs="Arial" w:eastAsia="Arial" w:hAnsi="Arial"/>
          <w:sz w:val="20"/>
          <w:szCs w:val="20"/>
          <w:b w:val="1"/>
          <w:bCs w:val="1"/>
          <w:color w:val="auto"/>
        </w:rPr>
        <w:t>EXHIBIT 1.01</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UFP Industries, Inc.</w:t>
      </w:r>
    </w:p>
    <w:p>
      <w:pPr>
        <w:jc w:val="center"/>
        <w:ind w:right="19"/>
        <w:spacing w:after="0" w:line="197" w:lineRule="auto"/>
        <w:rPr>
          <w:sz w:val="20"/>
          <w:szCs w:val="20"/>
          <w:color w:val="auto"/>
        </w:rPr>
      </w:pPr>
      <w:r>
        <w:rPr>
          <w:rFonts w:ascii="Arial" w:cs="Arial" w:eastAsia="Arial" w:hAnsi="Arial"/>
          <w:sz w:val="20"/>
          <w:szCs w:val="20"/>
          <w:b w:val="1"/>
          <w:bCs w:val="1"/>
          <w:color w:val="auto"/>
        </w:rPr>
        <w:t>Conflict Minerals Report</w:t>
      </w:r>
    </w:p>
    <w:p>
      <w:pPr>
        <w:jc w:val="center"/>
        <w:ind w:right="19"/>
        <w:spacing w:after="0"/>
        <w:rPr>
          <w:sz w:val="20"/>
          <w:szCs w:val="20"/>
          <w:color w:val="auto"/>
        </w:rPr>
      </w:pPr>
      <w:r>
        <w:rPr>
          <w:rFonts w:ascii="Arial" w:cs="Arial" w:eastAsia="Arial" w:hAnsi="Arial"/>
          <w:sz w:val="20"/>
          <w:szCs w:val="20"/>
          <w:b w:val="1"/>
          <w:bCs w:val="1"/>
          <w:color w:val="auto"/>
        </w:rPr>
        <w:t>For the Year Ended December 31, 2019</w:t>
      </w:r>
    </w:p>
    <w:p>
      <w:pPr>
        <w:spacing w:after="0" w:line="144"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Introduction</w:t>
      </w:r>
    </w:p>
    <w:p>
      <w:pPr>
        <w:spacing w:after="0" w:line="202" w:lineRule="exact"/>
        <w:rPr>
          <w:sz w:val="20"/>
          <w:szCs w:val="20"/>
          <w:color w:val="auto"/>
        </w:rPr>
      </w:pPr>
    </w:p>
    <w:p>
      <w:pPr>
        <w:jc w:val="both"/>
        <w:ind w:left="200" w:right="219"/>
        <w:spacing w:after="0" w:line="270" w:lineRule="auto"/>
        <w:rPr>
          <w:sz w:val="20"/>
          <w:szCs w:val="20"/>
          <w:color w:val="auto"/>
        </w:rPr>
      </w:pPr>
      <w:r>
        <w:rPr>
          <w:rFonts w:ascii="Arial" w:cs="Arial" w:eastAsia="Arial" w:hAnsi="Arial"/>
          <w:sz w:val="17"/>
          <w:szCs w:val="17"/>
          <w:color w:val="auto"/>
        </w:rPr>
        <w:t>This Conflict Minerals Report (the “Report”) has been prepared by UFP Industries, Inc. for the period from January 1, 2019 to December 31, 2019 (the “Reporting Period”). Unless the context otherwise indicates, “UFP Industries,” “we,” “us,” the “Company” and “our” mean UFP Industries, Inc. and its consolidated subsidiaries.</w:t>
      </w:r>
    </w:p>
    <w:p>
      <w:pPr>
        <w:spacing w:after="0" w:line="150" w:lineRule="exact"/>
        <w:rPr>
          <w:sz w:val="20"/>
          <w:szCs w:val="20"/>
          <w:color w:val="auto"/>
        </w:rPr>
      </w:pPr>
    </w:p>
    <w:p>
      <w:pPr>
        <w:jc w:val="both"/>
        <w:ind w:left="200" w:right="219"/>
        <w:spacing w:after="0" w:line="255" w:lineRule="auto"/>
        <w:rPr>
          <w:sz w:val="20"/>
          <w:szCs w:val="20"/>
          <w:color w:val="auto"/>
        </w:rPr>
      </w:pPr>
      <w:r>
        <w:rPr>
          <w:rFonts w:ascii="Arial" w:cs="Arial" w:eastAsia="Arial" w:hAnsi="Arial"/>
          <w:sz w:val="17"/>
          <w:szCs w:val="17"/>
          <w:color w:val="auto"/>
        </w:rPr>
        <w:t>This Report is presented to comply with Rule 13p-1 promulgated under Section 13(p) of the Securities Exchange Act of 1934, as amended (the “Rule”). This Rule imposes certain reporting obligations on public companies that manufacture or contract to manufacture products containing conflict minerals that are necessary to the functionality or production of their products. Form SD defines “conflict minerals” as gold, cassiterite, columbite-tantalite, wolframite and their derivatives, which are currently limited to tin, tantalum and tungsten. We identified tin, tantalum, tungsten and gold (collectively, the “3TGs”) that are necessary to the functionality or production of certain products that we manufactured or contracted to manufacture during the Reporting Period.</w:t>
      </w:r>
    </w:p>
    <w:p>
      <w:pPr>
        <w:spacing w:after="0" w:line="166" w:lineRule="exact"/>
        <w:rPr>
          <w:sz w:val="20"/>
          <w:szCs w:val="20"/>
          <w:color w:val="auto"/>
        </w:rPr>
      </w:pPr>
    </w:p>
    <w:p>
      <w:pPr>
        <w:jc w:val="both"/>
        <w:ind w:left="200" w:right="219"/>
        <w:spacing w:after="0" w:line="239" w:lineRule="auto"/>
        <w:rPr>
          <w:sz w:val="20"/>
          <w:szCs w:val="20"/>
          <w:color w:val="auto"/>
        </w:rPr>
      </w:pPr>
      <w:r>
        <w:rPr>
          <w:rFonts w:ascii="Arial" w:cs="Arial" w:eastAsia="Arial" w:hAnsi="Arial"/>
          <w:sz w:val="18"/>
          <w:szCs w:val="18"/>
          <w:color w:val="auto"/>
        </w:rPr>
        <w:t>As described in this Report, we have reason to believe that some of the 3TGs present in our supply chain may have originated in the Democratic Republic of the Congo (“DRC”) or an adjoining country (collectively, the “Covered Countries”). Therefore, we performed a reasonable country of origin inquiry (“RCOI”) to determine whether any of the 3TGs in our products originated from the Covered Countries and were not from recycled or scrap sources. Based on the RCOI, we determined that we may have some suppliers that sourced 3TGs from the Covered Countries and proceeded to conduct due diligence on our supplier base. The results of our RCOI and due diligence are covered below.</w:t>
      </w:r>
    </w:p>
    <w:p>
      <w:pPr>
        <w:spacing w:after="0" w:line="173"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Company Overview</w:t>
      </w:r>
    </w:p>
    <w:p>
      <w:pPr>
        <w:spacing w:after="0" w:line="202"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Our business</w:t>
      </w:r>
    </w:p>
    <w:p>
      <w:pPr>
        <w:spacing w:after="0" w:line="198" w:lineRule="exact"/>
        <w:rPr>
          <w:sz w:val="20"/>
          <w:szCs w:val="20"/>
          <w:color w:val="auto"/>
        </w:rPr>
      </w:pPr>
    </w:p>
    <w:p>
      <w:pPr>
        <w:jc w:val="both"/>
        <w:ind w:left="200" w:right="219"/>
        <w:spacing w:after="0" w:line="241" w:lineRule="auto"/>
        <w:rPr>
          <w:sz w:val="20"/>
          <w:szCs w:val="20"/>
          <w:color w:val="auto"/>
        </w:rPr>
      </w:pPr>
      <w:r>
        <w:rPr>
          <w:rFonts w:ascii="Arial" w:cs="Arial" w:eastAsia="Arial" w:hAnsi="Arial"/>
          <w:sz w:val="18"/>
          <w:szCs w:val="18"/>
          <w:color w:val="auto"/>
        </w:rPr>
        <w:t>We design, manufacture and market: wood, wood-alternative, and outdoor living products for national home centers and other retailers, structural lumber and other products for the manufactured housing industry, engineered wood components for residential and commercial construction, specialty wood packaging, components and packing materials for various industries, and customized interior fixtures used in a variety of retail stores, commercial and other structures.</w:t>
      </w:r>
    </w:p>
    <w:p>
      <w:pPr>
        <w:spacing w:after="0" w:line="176" w:lineRule="exact"/>
        <w:rPr>
          <w:sz w:val="20"/>
          <w:szCs w:val="20"/>
          <w:color w:val="auto"/>
        </w:rPr>
      </w:pPr>
    </w:p>
    <w:p>
      <w:pPr>
        <w:jc w:val="both"/>
        <w:ind w:left="200" w:right="219"/>
        <w:spacing w:after="0" w:line="261" w:lineRule="auto"/>
        <w:rPr>
          <w:sz w:val="20"/>
          <w:szCs w:val="20"/>
          <w:color w:val="auto"/>
        </w:rPr>
      </w:pPr>
      <w:r>
        <w:rPr>
          <w:rFonts w:ascii="Arial" w:cs="Arial" w:eastAsia="Arial" w:hAnsi="Arial"/>
          <w:sz w:val="18"/>
          <w:szCs w:val="18"/>
          <w:color w:val="auto"/>
        </w:rPr>
        <w:t>For additional information, please see Item 1 (captioned “Business”) in our Form 10-K for our fiscal year ending December 28, 2019 filed on February 26, 2020.</w:t>
      </w:r>
    </w:p>
    <w:p>
      <w:pPr>
        <w:spacing w:after="0" w:line="157"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Our products</w:t>
      </w:r>
    </w:p>
    <w:p>
      <w:pPr>
        <w:spacing w:after="0" w:line="198" w:lineRule="exact"/>
        <w:rPr>
          <w:sz w:val="20"/>
          <w:szCs w:val="20"/>
          <w:color w:val="auto"/>
        </w:rPr>
      </w:pPr>
    </w:p>
    <w:p>
      <w:pPr>
        <w:jc w:val="both"/>
        <w:ind w:left="200" w:right="219"/>
        <w:spacing w:after="0" w:line="294" w:lineRule="auto"/>
        <w:rPr>
          <w:sz w:val="20"/>
          <w:szCs w:val="20"/>
          <w:color w:val="auto"/>
        </w:rPr>
      </w:pPr>
      <w:r>
        <w:rPr>
          <w:rFonts w:ascii="Arial" w:cs="Arial" w:eastAsia="Arial" w:hAnsi="Arial"/>
          <w:sz w:val="16"/>
          <w:szCs w:val="16"/>
          <w:color w:val="auto"/>
        </w:rPr>
        <w:t>We conducted an analysis of our products to determine which of our products were likely to contain 3TG. We have identified 3TG in certain of our products within our segments that are necessary to the functionality or production of products that we manufactured or contracted to manufacture during the Reporting Period. Our range of products that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308610</wp:posOffset>
            </wp:positionV>
            <wp:extent cx="5452110" cy="260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452110" cy="26035"/>
                    </a:xfrm>
                    <a:prstGeom prst="rect">
                      <a:avLst/>
                    </a:prstGeom>
                    <a:noFill/>
                  </pic:spPr>
                </pic:pic>
              </a:graphicData>
            </a:graphic>
          </wp:anchor>
        </w:drawing>
      </w:r>
    </w:p>
    <w:p>
      <w:pPr>
        <w:sectPr>
          <w:pgSz w:w="11900" w:h="16838" w:orient="portrait"/>
          <w:cols w:equalWidth="0" w:num="1">
            <w:col w:w="9019"/>
          </w:cols>
          <w:pgMar w:left="1440" w:top="468" w:right="1440" w:bottom="1440" w:gutter="0" w:footer="0" w:header="0"/>
        </w:sectPr>
      </w:pPr>
    </w:p>
    <w:bookmarkStart w:id="5" w:name="page6"/>
    <w:bookmarkEnd w:id="5"/>
    <w:p>
      <w:pPr>
        <w:jc w:val="both"/>
        <w:ind w:left="200" w:right="219"/>
        <w:spacing w:after="0" w:line="261" w:lineRule="auto"/>
        <w:rPr>
          <w:sz w:val="20"/>
          <w:szCs w:val="20"/>
          <w:color w:val="auto"/>
        </w:rPr>
      </w:pPr>
      <w:r>
        <w:rPr>
          <w:rFonts w:ascii="Arial" w:cs="Arial" w:eastAsia="Arial" w:hAnsi="Arial"/>
          <w:sz w:val="18"/>
          <w:szCs w:val="18"/>
          <w:color w:val="auto"/>
        </w:rPr>
        <w:t>may contain 3TGs include the following components: non-lumber items sold to retailers (e.g. solar powered post caps) and interior fixtures (e.g. shelving, display cases, and lighting).</w:t>
      </w:r>
    </w:p>
    <w:p>
      <w:pPr>
        <w:spacing w:after="0" w:line="153"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Description of RCOI</w:t>
      </w:r>
    </w:p>
    <w:p>
      <w:pPr>
        <w:spacing w:after="0" w:line="202" w:lineRule="exact"/>
        <w:rPr>
          <w:sz w:val="20"/>
          <w:szCs w:val="20"/>
          <w:color w:val="auto"/>
        </w:rPr>
      </w:pPr>
    </w:p>
    <w:p>
      <w:pPr>
        <w:jc w:val="both"/>
        <w:ind w:left="200" w:right="219"/>
        <w:spacing w:after="0" w:line="262" w:lineRule="auto"/>
        <w:rPr>
          <w:sz w:val="20"/>
          <w:szCs w:val="20"/>
          <w:color w:val="auto"/>
        </w:rPr>
      </w:pPr>
      <w:r>
        <w:rPr>
          <w:rFonts w:ascii="Arial" w:cs="Arial" w:eastAsia="Arial" w:hAnsi="Arial"/>
          <w:sz w:val="17"/>
          <w:szCs w:val="17"/>
          <w:color w:val="auto"/>
        </w:rPr>
        <w:t>We began our scoping process by extracting a list of our suppliers that provide us with products that may contain one or more of the 3TGs. Once the filtering was completed, we populated the list with contact information and provided the list to our third-party service provider. This supplier list was then uploaded to our third-party service provider’s software platform that allows us to store and manage supplier requests and documentation.</w:t>
      </w:r>
    </w:p>
    <w:p>
      <w:pPr>
        <w:spacing w:after="0" w:line="159" w:lineRule="exact"/>
        <w:rPr>
          <w:sz w:val="20"/>
          <w:szCs w:val="20"/>
          <w:color w:val="auto"/>
        </w:rPr>
      </w:pPr>
    </w:p>
    <w:p>
      <w:pPr>
        <w:jc w:val="both"/>
        <w:ind w:left="200" w:right="219"/>
        <w:spacing w:after="0" w:line="248" w:lineRule="auto"/>
        <w:rPr>
          <w:sz w:val="20"/>
          <w:szCs w:val="20"/>
          <w:color w:val="auto"/>
        </w:rPr>
      </w:pPr>
      <w:r>
        <w:rPr>
          <w:rFonts w:ascii="Arial" w:cs="Arial" w:eastAsia="Arial" w:hAnsi="Arial"/>
          <w:sz w:val="18"/>
          <w:szCs w:val="18"/>
          <w:color w:val="auto"/>
        </w:rPr>
        <w:t>From there, we defined our scoping process even further by removing service providers, indirect materials suppliers, and suppliers who are inactive. This ensures that all suppliers surveyed provided items to UFP Industries that were used in final products in the year 2019.</w:t>
      </w:r>
    </w:p>
    <w:p>
      <w:pPr>
        <w:spacing w:after="0" w:line="168" w:lineRule="exact"/>
        <w:rPr>
          <w:sz w:val="20"/>
          <w:szCs w:val="20"/>
          <w:color w:val="auto"/>
        </w:rPr>
      </w:pPr>
    </w:p>
    <w:p>
      <w:pPr>
        <w:jc w:val="both"/>
        <w:ind w:left="200" w:right="219"/>
        <w:spacing w:after="0" w:line="255" w:lineRule="auto"/>
        <w:rPr>
          <w:sz w:val="20"/>
          <w:szCs w:val="20"/>
          <w:color w:val="auto"/>
        </w:rPr>
      </w:pPr>
      <w:r>
        <w:rPr>
          <w:rFonts w:ascii="Arial" w:cs="Arial" w:eastAsia="Arial" w:hAnsi="Arial"/>
          <w:sz w:val="17"/>
          <w:szCs w:val="17"/>
          <w:color w:val="auto"/>
        </w:rPr>
        <w:t>Our third-party service provider then conducted the supplier survey portion of the RCOI utilizing the Conflict Minerals Reporting Template (the “CMRT”), version 5.11 or higher, developed by the Responsible Minerals Initiative (“RMI”), and the suppliers identified through the procedures above were surveyed on their sourcing of the 3TGs that we identified in our products. The CMRT was developed to facilitate disclosure and communication of information regarding smelters that provide material to a company’s supply chain. It includes questions regarding a direct supplier’s conflict minerals policy, its due diligence process, and information about its supply chain such as the names and locations of smelters and refiners as well as the origin of 3TGs used by those facilities.</w:t>
      </w:r>
    </w:p>
    <w:p>
      <w:pPr>
        <w:spacing w:after="0" w:line="166" w:lineRule="exact"/>
        <w:rPr>
          <w:sz w:val="20"/>
          <w:szCs w:val="20"/>
          <w:color w:val="auto"/>
        </w:rPr>
      </w:pPr>
    </w:p>
    <w:p>
      <w:pPr>
        <w:jc w:val="both"/>
        <w:ind w:left="200" w:right="219"/>
        <w:spacing w:after="0" w:line="259" w:lineRule="auto"/>
        <w:rPr>
          <w:sz w:val="20"/>
          <w:szCs w:val="20"/>
          <w:color w:val="auto"/>
        </w:rPr>
      </w:pPr>
      <w:r>
        <w:rPr>
          <w:rFonts w:ascii="Arial" w:cs="Arial" w:eastAsia="Arial" w:hAnsi="Arial"/>
          <w:sz w:val="17"/>
          <w:szCs w:val="17"/>
          <w:color w:val="auto"/>
        </w:rPr>
        <w:t>During the supplier survey, suppliers were contacted and asked to complete the CMRT. All communications were tracked and monitored in the software platform. Non-responsive suppliers were contacted a minimum of three times and then were contacted an additional two times in an escalation format. To ensure that our suppliers understand our expectations regarding the sourcing of 3TGs, we and our third-party service provider have provided training to suppliers though webinars, videos, documentation, and one-on-one discussions.</w:t>
      </w:r>
    </w:p>
    <w:p>
      <w:pPr>
        <w:spacing w:after="0" w:line="160" w:lineRule="exact"/>
        <w:rPr>
          <w:sz w:val="20"/>
          <w:szCs w:val="20"/>
          <w:color w:val="auto"/>
        </w:rPr>
      </w:pPr>
    </w:p>
    <w:p>
      <w:pPr>
        <w:jc w:val="both"/>
        <w:ind w:left="200" w:right="219"/>
        <w:spacing w:after="0" w:line="276" w:lineRule="auto"/>
        <w:rPr>
          <w:sz w:val="20"/>
          <w:szCs w:val="20"/>
          <w:color w:val="auto"/>
        </w:rPr>
      </w:pPr>
      <w:r>
        <w:rPr>
          <w:rFonts w:ascii="Arial" w:cs="Arial" w:eastAsia="Arial" w:hAnsi="Arial"/>
          <w:sz w:val="16"/>
          <w:szCs w:val="16"/>
          <w:color w:val="auto"/>
        </w:rPr>
        <w:t>The RCOI also included automated data validation on all submitted CMRTs. The goal of data validation is to increase the accuracy of submissions and identify any contradictory answers in the CMRT. All submitted forms are accepted and classified as valid or invalid so that data is still retained. All suppliers who submitted CMRTs that were flagged as “invalid” were contacted to address items such as incomplete data, missing smelter information, or inconsistent answers. All of these communications were monitored and tracked in our service provider’s system for future reporting and transparency. As of May 7, 2019, there were 0 invalid submissions that were not corrected by suppliers.</w:t>
      </w:r>
    </w:p>
    <w:p>
      <w:pPr>
        <w:spacing w:after="0" w:line="148" w:lineRule="exact"/>
        <w:rPr>
          <w:sz w:val="20"/>
          <w:szCs w:val="20"/>
          <w:color w:val="auto"/>
        </w:rPr>
      </w:pPr>
    </w:p>
    <w:p>
      <w:pPr>
        <w:jc w:val="both"/>
        <w:ind w:left="200" w:right="219"/>
        <w:spacing w:after="0" w:line="261" w:lineRule="auto"/>
        <w:rPr>
          <w:sz w:val="20"/>
          <w:szCs w:val="20"/>
          <w:color w:val="auto"/>
        </w:rPr>
      </w:pPr>
      <w:r>
        <w:rPr>
          <w:rFonts w:ascii="Arial" w:cs="Arial" w:eastAsia="Arial" w:hAnsi="Arial"/>
          <w:sz w:val="18"/>
          <w:szCs w:val="18"/>
          <w:color w:val="auto"/>
        </w:rPr>
        <w:t>Based on the RCOI, we determined that we may have some suppliers that sourced 3TGs from the Covered Countries; therefore, we proceeded to conduct further due diligence on our supplier base.</w:t>
      </w:r>
    </w:p>
    <w:p>
      <w:pPr>
        <w:spacing w:after="0" w:line="153"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Due Diligence</w:t>
      </w:r>
    </w:p>
    <w:p>
      <w:pPr>
        <w:spacing w:after="0" w:line="202"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Design of due diligence</w:t>
      </w:r>
    </w:p>
    <w:p>
      <w:pPr>
        <w:spacing w:after="0" w:line="198" w:lineRule="exact"/>
        <w:rPr>
          <w:sz w:val="20"/>
          <w:szCs w:val="20"/>
          <w:color w:val="auto"/>
        </w:rPr>
      </w:pPr>
    </w:p>
    <w:p>
      <w:pPr>
        <w:jc w:val="both"/>
        <w:ind w:left="200" w:right="219"/>
        <w:spacing w:after="0" w:line="241" w:lineRule="auto"/>
        <w:rPr>
          <w:sz w:val="20"/>
          <w:szCs w:val="20"/>
          <w:color w:val="auto"/>
        </w:rPr>
      </w:pPr>
      <w:r>
        <w:rPr>
          <w:rFonts w:ascii="Arial" w:cs="Arial" w:eastAsia="Arial" w:hAnsi="Arial"/>
          <w:sz w:val="18"/>
          <w:szCs w:val="18"/>
          <w:color w:val="auto"/>
        </w:rPr>
        <w:t xml:space="preserve">We have designed our due diligence procedures to conform, in all material respects, with the due diligence framework presented by the Organisation for Economic Co-operation and Development (“OECD”) in the publication </w:t>
      </w:r>
      <w:r>
        <w:rPr>
          <w:rFonts w:ascii="Arial" w:cs="Arial" w:eastAsia="Arial" w:hAnsi="Arial"/>
          <w:sz w:val="18"/>
          <w:szCs w:val="18"/>
          <w:i w:val="1"/>
          <w:iCs w:val="1"/>
          <w:color w:val="auto"/>
        </w:rPr>
        <w:t>OECD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(2013) Due Diligence Guidance for Responsible Supply Chains of Minerals from Conflict-Affected and High-Risk Areas: Second Edition, OECD Publishing </w:t>
      </w:r>
      <w:r>
        <w:rPr>
          <w:rFonts w:ascii="Arial" w:cs="Arial" w:eastAsia="Arial" w:hAnsi="Arial"/>
          <w:sz w:val="18"/>
          <w:szCs w:val="18"/>
          <w:color w:val="auto"/>
        </w:rPr>
        <w:t>and the related Supplements for gold and for tin, tantalum and tungsten</w:t>
      </w:r>
      <w:r>
        <w:rPr>
          <w:rFonts w:ascii="Arial" w:cs="Arial" w:eastAsia="Arial" w:hAnsi="Arial"/>
          <w:sz w:val="18"/>
          <w:szCs w:val="18"/>
          <w:i w:val="1"/>
          <w:iCs w:val="1"/>
          <w:color w:val="auto"/>
        </w:rPr>
        <w:t xml:space="preserve"> </w:t>
      </w:r>
      <w:r>
        <w:rPr>
          <w:rFonts w:ascii="Arial" w:cs="Arial" w:eastAsia="Arial" w:hAnsi="Arial"/>
          <w:sz w:val="18"/>
          <w:szCs w:val="18"/>
          <w:color w:val="auto"/>
        </w:rPr>
        <w:t>(collectively, the “Guidance”).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463550</wp:posOffset>
            </wp:positionV>
            <wp:extent cx="5452110" cy="254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452110" cy="2540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6" w:name="page7"/>
    <w:bookmarkEnd w:id="6"/>
    <w:p>
      <w:pPr>
        <w:jc w:val="both"/>
        <w:ind w:left="200" w:right="239"/>
        <w:spacing w:after="0" w:line="284" w:lineRule="auto"/>
        <w:rPr>
          <w:sz w:val="20"/>
          <w:szCs w:val="20"/>
          <w:color w:val="auto"/>
        </w:rPr>
      </w:pPr>
      <w:r>
        <w:rPr>
          <w:rFonts w:ascii="Arial" w:cs="Arial" w:eastAsia="Arial" w:hAnsi="Arial"/>
          <w:sz w:val="16"/>
          <w:szCs w:val="16"/>
          <w:color w:val="auto"/>
        </w:rPr>
        <w:t>Our conflict minerals due diligence process includes the five steps as set forth in the Guidance: 1) establishing strong company management systems, 2) identifying and assessing risks in our supply chain, 3) designing and implementing a strategy to respond to identified risks, 4) utilizing independent third-party audits, and 5) publicly reporting on our supply chain due diligence. A summary of the due diligence measures undertaken by us is outlined below.</w:t>
      </w:r>
    </w:p>
    <w:p>
      <w:pPr>
        <w:spacing w:after="0" w:line="142"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Due diligence performed</w:t>
      </w:r>
    </w:p>
    <w:p>
      <w:pPr>
        <w:spacing w:after="0" w:line="198" w:lineRule="exact"/>
        <w:rPr>
          <w:sz w:val="20"/>
          <w:szCs w:val="20"/>
          <w:color w:val="auto"/>
        </w:rPr>
      </w:pPr>
    </w:p>
    <w:p>
      <w:pPr>
        <w:ind w:left="200"/>
        <w:spacing w:after="0"/>
        <w:rPr>
          <w:sz w:val="20"/>
          <w:szCs w:val="20"/>
          <w:color w:val="auto"/>
        </w:rPr>
      </w:pPr>
      <w:r>
        <w:rPr>
          <w:rFonts w:ascii="Arial" w:cs="Arial" w:eastAsia="Arial" w:hAnsi="Arial"/>
          <w:sz w:val="18"/>
          <w:szCs w:val="18"/>
          <w:u w:val="single" w:color="auto"/>
          <w:color w:val="auto"/>
        </w:rPr>
        <w:t>Establish Strong Company Management Systems</w:t>
      </w:r>
    </w:p>
    <w:p>
      <w:pPr>
        <w:spacing w:after="0" w:line="198" w:lineRule="exact"/>
        <w:rPr>
          <w:sz w:val="20"/>
          <w:szCs w:val="20"/>
          <w:color w:val="auto"/>
        </w:rPr>
      </w:pPr>
    </w:p>
    <w:p>
      <w:pPr>
        <w:ind w:left="200"/>
        <w:spacing w:after="0"/>
        <w:rPr>
          <w:sz w:val="20"/>
          <w:szCs w:val="20"/>
          <w:color w:val="auto"/>
        </w:rPr>
      </w:pPr>
      <w:r>
        <w:rPr>
          <w:rFonts w:ascii="Arial" w:cs="Arial" w:eastAsia="Arial" w:hAnsi="Arial"/>
          <w:sz w:val="18"/>
          <w:szCs w:val="18"/>
          <w:i w:val="1"/>
          <w:iCs w:val="1"/>
          <w:color w:val="auto"/>
        </w:rPr>
        <w:t>Internal team</w:t>
      </w:r>
    </w:p>
    <w:p>
      <w:pPr>
        <w:spacing w:after="0" w:line="198" w:lineRule="exact"/>
        <w:rPr>
          <w:sz w:val="20"/>
          <w:szCs w:val="20"/>
          <w:color w:val="auto"/>
        </w:rPr>
      </w:pPr>
    </w:p>
    <w:p>
      <w:pPr>
        <w:jc w:val="both"/>
        <w:ind w:left="200" w:right="219"/>
        <w:spacing w:after="0" w:line="262" w:lineRule="auto"/>
        <w:rPr>
          <w:sz w:val="20"/>
          <w:szCs w:val="20"/>
          <w:color w:val="auto"/>
        </w:rPr>
      </w:pPr>
      <w:r>
        <w:rPr>
          <w:rFonts w:ascii="Arial" w:cs="Arial" w:eastAsia="Arial" w:hAnsi="Arial"/>
          <w:sz w:val="17"/>
          <w:szCs w:val="17"/>
          <w:color w:val="auto"/>
        </w:rPr>
        <w:t>We have organized a Conflict Minerals Committee comprised of individuals in the legal department, including a senior attorney. As needed, other management personnel from multiple departments participate and/or assist the Conflict Minerals Committee. The Conflict Minerals Committee leads our conflict minerals compliance effort and is responsible for implementing our conflict minerals compliance strategy and overseeing the program.</w:t>
      </w:r>
    </w:p>
    <w:p>
      <w:pPr>
        <w:spacing w:after="0" w:line="159" w:lineRule="exact"/>
        <w:rPr>
          <w:sz w:val="20"/>
          <w:szCs w:val="20"/>
          <w:color w:val="auto"/>
        </w:rPr>
      </w:pPr>
    </w:p>
    <w:p>
      <w:pPr>
        <w:jc w:val="both"/>
        <w:ind w:left="200" w:right="219" w:firstLine="67"/>
        <w:spacing w:after="0" w:line="284" w:lineRule="auto"/>
        <w:rPr>
          <w:sz w:val="20"/>
          <w:szCs w:val="20"/>
          <w:color w:val="auto"/>
        </w:rPr>
      </w:pPr>
      <w:r>
        <w:rPr>
          <w:rFonts w:ascii="Arial" w:cs="Arial" w:eastAsia="Arial" w:hAnsi="Arial"/>
          <w:sz w:val="16"/>
          <w:szCs w:val="16"/>
          <w:color w:val="auto"/>
        </w:rPr>
        <w:t>We have also taken on other management systems that include the use of a third-party vendor. Through our vendor’s tool we are able to collect and store supplier data and CMRTs, communicate with suppliers, and monitor risks in our supply chain. The use of these tools has allowed us to assist our suppliers in understanding our expectations and requirements and increase the rate of responses we have received from our suppliers to our survey requests.</w:t>
      </w:r>
    </w:p>
    <w:p>
      <w:pPr>
        <w:spacing w:after="0" w:line="142" w:lineRule="exact"/>
        <w:rPr>
          <w:sz w:val="20"/>
          <w:szCs w:val="20"/>
          <w:color w:val="auto"/>
        </w:rPr>
      </w:pPr>
    </w:p>
    <w:p>
      <w:pPr>
        <w:ind w:left="200"/>
        <w:spacing w:after="0"/>
        <w:rPr>
          <w:sz w:val="20"/>
          <w:szCs w:val="20"/>
          <w:color w:val="auto"/>
        </w:rPr>
      </w:pPr>
      <w:r>
        <w:rPr>
          <w:rFonts w:ascii="Arial" w:cs="Arial" w:eastAsia="Arial" w:hAnsi="Arial"/>
          <w:sz w:val="18"/>
          <w:szCs w:val="18"/>
          <w:i w:val="1"/>
          <w:iCs w:val="1"/>
          <w:color w:val="auto"/>
        </w:rPr>
        <w:t>Control systems</w:t>
      </w:r>
    </w:p>
    <w:p>
      <w:pPr>
        <w:spacing w:after="0" w:line="198" w:lineRule="exact"/>
        <w:rPr>
          <w:sz w:val="20"/>
          <w:szCs w:val="20"/>
          <w:color w:val="auto"/>
        </w:rPr>
      </w:pPr>
    </w:p>
    <w:p>
      <w:pPr>
        <w:jc w:val="both"/>
        <w:ind w:left="200" w:right="219"/>
        <w:spacing w:after="0" w:line="259" w:lineRule="auto"/>
        <w:rPr>
          <w:sz w:val="20"/>
          <w:szCs w:val="20"/>
          <w:color w:val="auto"/>
        </w:rPr>
      </w:pPr>
      <w:r>
        <w:rPr>
          <w:rFonts w:ascii="Arial" w:cs="Arial" w:eastAsia="Arial" w:hAnsi="Arial"/>
          <w:sz w:val="17"/>
          <w:szCs w:val="17"/>
          <w:color w:val="auto"/>
        </w:rPr>
        <w:t>Controls include, but are not limited to, our Code of Business Conduct and Ethics, our Conflict Minerals Policy, regular monitoring of changes in applicable laws, regulations, and guidance, whistleblower mechanisms, regular training of key employee groups, and on-site visits and audits of our suppliers. Our Conflict Minerals Policy related to our sourcing of 3TGs is posted on our website at http://www.ufpinvestor.com/index.php/corporate-governance/highlights within the “Investor Relations” section under “Corporate Governance”.</w:t>
      </w:r>
    </w:p>
    <w:p>
      <w:pPr>
        <w:spacing w:after="0" w:line="160" w:lineRule="exact"/>
        <w:rPr>
          <w:sz w:val="20"/>
          <w:szCs w:val="20"/>
          <w:color w:val="auto"/>
        </w:rPr>
      </w:pPr>
    </w:p>
    <w:p>
      <w:pPr>
        <w:ind w:left="200"/>
        <w:spacing w:after="0"/>
        <w:rPr>
          <w:sz w:val="20"/>
          <w:szCs w:val="20"/>
          <w:color w:val="auto"/>
        </w:rPr>
      </w:pPr>
      <w:r>
        <w:rPr>
          <w:rFonts w:ascii="Arial" w:cs="Arial" w:eastAsia="Arial" w:hAnsi="Arial"/>
          <w:sz w:val="18"/>
          <w:szCs w:val="18"/>
          <w:i w:val="1"/>
          <w:iCs w:val="1"/>
          <w:color w:val="auto"/>
        </w:rPr>
        <w:t>Supplier engagement</w:t>
      </w:r>
    </w:p>
    <w:p>
      <w:pPr>
        <w:spacing w:after="0" w:line="198" w:lineRule="exact"/>
        <w:rPr>
          <w:sz w:val="20"/>
          <w:szCs w:val="20"/>
          <w:color w:val="auto"/>
        </w:rPr>
      </w:pPr>
    </w:p>
    <w:p>
      <w:pPr>
        <w:jc w:val="both"/>
        <w:ind w:left="200" w:right="219" w:firstLine="67"/>
        <w:spacing w:after="0" w:line="284" w:lineRule="auto"/>
        <w:rPr>
          <w:sz w:val="20"/>
          <w:szCs w:val="20"/>
          <w:color w:val="auto"/>
        </w:rPr>
      </w:pPr>
      <w:r>
        <w:rPr>
          <w:rFonts w:ascii="Arial" w:cs="Arial" w:eastAsia="Arial" w:hAnsi="Arial"/>
          <w:sz w:val="16"/>
          <w:szCs w:val="16"/>
          <w:color w:val="auto"/>
        </w:rPr>
        <w:t>With respect to the OECD requirement to strengthen engagement with suppliers, we have utilized the CMRT version 5.11 or higher and a third-party vendor’s software reporting tool for collecting Conflict Minerals declarations from our supply base. The use of these tools has allowed us to assist our suppliers in understanding our expectations and requirements and increase the rate of responses we have received from our suppliers to our survey requests.</w:t>
      </w:r>
    </w:p>
    <w:p>
      <w:pPr>
        <w:spacing w:after="0" w:line="142" w:lineRule="exact"/>
        <w:rPr>
          <w:sz w:val="20"/>
          <w:szCs w:val="20"/>
          <w:color w:val="auto"/>
        </w:rPr>
      </w:pPr>
    </w:p>
    <w:p>
      <w:pPr>
        <w:jc w:val="both"/>
        <w:ind w:left="200" w:right="219"/>
        <w:spacing w:after="0" w:line="262" w:lineRule="auto"/>
        <w:rPr>
          <w:sz w:val="20"/>
          <w:szCs w:val="20"/>
          <w:color w:val="auto"/>
        </w:rPr>
      </w:pPr>
      <w:r>
        <w:rPr>
          <w:rFonts w:ascii="Arial" w:cs="Arial" w:eastAsia="Arial" w:hAnsi="Arial"/>
          <w:sz w:val="17"/>
          <w:szCs w:val="17"/>
          <w:color w:val="auto"/>
        </w:rPr>
        <w:t>We have also communicated with suppliers potentially affected by our compliance efforts as identified through our RCOI process our expectation that they assist us in complying with our efforts related to our conflict minerals program. This includes obtaining information to support chain of custody of the 3TG identified in our products. We have provided suppliers access to our Conflict Minerals Policy through the website above or upon request.</w:t>
      </w:r>
    </w:p>
    <w:p>
      <w:pPr>
        <w:spacing w:after="0" w:line="159" w:lineRule="exact"/>
        <w:rPr>
          <w:sz w:val="20"/>
          <w:szCs w:val="20"/>
          <w:color w:val="auto"/>
        </w:rPr>
      </w:pPr>
    </w:p>
    <w:p>
      <w:pPr>
        <w:ind w:left="200"/>
        <w:spacing w:after="0"/>
        <w:rPr>
          <w:sz w:val="20"/>
          <w:szCs w:val="20"/>
          <w:color w:val="auto"/>
        </w:rPr>
      </w:pPr>
      <w:r>
        <w:rPr>
          <w:rFonts w:ascii="Arial" w:cs="Arial" w:eastAsia="Arial" w:hAnsi="Arial"/>
          <w:sz w:val="18"/>
          <w:szCs w:val="18"/>
          <w:i w:val="1"/>
          <w:iCs w:val="1"/>
          <w:color w:val="auto"/>
        </w:rPr>
        <w:t>Grievance mechanism</w:t>
      </w:r>
    </w:p>
    <w:p>
      <w:pPr>
        <w:spacing w:after="0" w:line="198" w:lineRule="exact"/>
        <w:rPr>
          <w:sz w:val="20"/>
          <w:szCs w:val="20"/>
          <w:color w:val="auto"/>
        </w:rPr>
      </w:pPr>
    </w:p>
    <w:p>
      <w:pPr>
        <w:jc w:val="both"/>
        <w:ind w:left="200" w:right="219"/>
        <w:spacing w:after="0" w:line="248" w:lineRule="auto"/>
        <w:rPr>
          <w:sz w:val="20"/>
          <w:szCs w:val="20"/>
          <w:color w:val="auto"/>
        </w:rPr>
      </w:pPr>
      <w:r>
        <w:rPr>
          <w:rFonts w:ascii="Arial" w:cs="Arial" w:eastAsia="Arial" w:hAnsi="Arial"/>
          <w:sz w:val="18"/>
          <w:szCs w:val="18"/>
          <w:color w:val="auto"/>
        </w:rPr>
        <w:t>We maintain several methods in which employees or third parties may notify us of potential issues with our conflict minerals program, including an anonymous employee hotline, email resources both internally and on our website, direct phone numbers, and our open door policy.</w:t>
      </w:r>
    </w:p>
    <w:p>
      <w:pPr>
        <w:spacing w:after="0" w:line="168" w:lineRule="exact"/>
        <w:rPr>
          <w:sz w:val="20"/>
          <w:szCs w:val="20"/>
          <w:color w:val="auto"/>
        </w:rPr>
      </w:pPr>
    </w:p>
    <w:p>
      <w:pPr>
        <w:ind w:left="200"/>
        <w:spacing w:after="0"/>
        <w:rPr>
          <w:sz w:val="20"/>
          <w:szCs w:val="20"/>
          <w:color w:val="auto"/>
        </w:rPr>
      </w:pPr>
      <w:r>
        <w:rPr>
          <w:rFonts w:ascii="Arial" w:cs="Arial" w:eastAsia="Arial" w:hAnsi="Arial"/>
          <w:sz w:val="18"/>
          <w:szCs w:val="18"/>
          <w:i w:val="1"/>
          <w:iCs w:val="1"/>
          <w:color w:val="auto"/>
        </w:rPr>
        <w:t>Maintain records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477520</wp:posOffset>
            </wp:positionV>
            <wp:extent cx="5452110" cy="25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452110" cy="2540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7" w:name="page8"/>
    <w:bookmarkEnd w:id="7"/>
    <w:p>
      <w:pPr>
        <w:jc w:val="both"/>
        <w:ind w:left="200" w:right="219"/>
        <w:spacing w:after="0" w:line="248" w:lineRule="auto"/>
        <w:rPr>
          <w:sz w:val="20"/>
          <w:szCs w:val="20"/>
          <w:color w:val="auto"/>
        </w:rPr>
      </w:pPr>
      <w:r>
        <w:rPr>
          <w:rFonts w:ascii="Arial" w:cs="Arial" w:eastAsia="Arial" w:hAnsi="Arial"/>
          <w:sz w:val="18"/>
          <w:szCs w:val="18"/>
          <w:color w:val="auto"/>
        </w:rPr>
        <w:t>We maintain company-wide document retention policies. These policies extend to the documentation accumulated in performing our 3TG due diligence procedures and requires that documentation will be retained for a period of five (5) years.</w:t>
      </w:r>
    </w:p>
    <w:p>
      <w:pPr>
        <w:spacing w:after="0" w:line="168" w:lineRule="exact"/>
        <w:rPr>
          <w:sz w:val="20"/>
          <w:szCs w:val="20"/>
          <w:color w:val="auto"/>
        </w:rPr>
      </w:pPr>
    </w:p>
    <w:p>
      <w:pPr>
        <w:ind w:left="200"/>
        <w:spacing w:after="0"/>
        <w:rPr>
          <w:sz w:val="20"/>
          <w:szCs w:val="20"/>
          <w:color w:val="auto"/>
        </w:rPr>
      </w:pPr>
      <w:r>
        <w:rPr>
          <w:rFonts w:ascii="Arial" w:cs="Arial" w:eastAsia="Arial" w:hAnsi="Arial"/>
          <w:sz w:val="18"/>
          <w:szCs w:val="18"/>
          <w:u w:val="single" w:color="auto"/>
          <w:color w:val="auto"/>
        </w:rPr>
        <w:t>Identify and Assess Risks in the Supply Chain</w:t>
      </w:r>
    </w:p>
    <w:p>
      <w:pPr>
        <w:spacing w:after="0" w:line="198" w:lineRule="exact"/>
        <w:rPr>
          <w:sz w:val="20"/>
          <w:szCs w:val="20"/>
          <w:color w:val="auto"/>
        </w:rPr>
      </w:pPr>
    </w:p>
    <w:p>
      <w:pPr>
        <w:jc w:val="both"/>
        <w:ind w:left="200" w:right="219"/>
        <w:spacing w:after="0" w:line="284" w:lineRule="auto"/>
        <w:rPr>
          <w:sz w:val="20"/>
          <w:szCs w:val="20"/>
          <w:color w:val="auto"/>
        </w:rPr>
      </w:pPr>
      <w:r>
        <w:rPr>
          <w:rFonts w:ascii="Arial" w:cs="Arial" w:eastAsia="Arial" w:hAnsi="Arial"/>
          <w:sz w:val="16"/>
          <w:szCs w:val="16"/>
          <w:color w:val="auto"/>
        </w:rPr>
        <w:t>It is important to note that UFP Industries has relied on supplier responses to provide us with the information about the source of 3TGs contained in the parts and components they supply to us. Similarly, our direct suppliers also rely on information provided by their suppliers. This chain of information creates a level of uncertainty and risk related to the accuracy of the information. We will continue to monitor, adapt, and modify our due diligence practices.</w:t>
      </w:r>
    </w:p>
    <w:p>
      <w:pPr>
        <w:spacing w:after="0" w:line="142" w:lineRule="exact"/>
        <w:rPr>
          <w:sz w:val="20"/>
          <w:szCs w:val="20"/>
          <w:color w:val="auto"/>
        </w:rPr>
      </w:pPr>
    </w:p>
    <w:p>
      <w:pPr>
        <w:jc w:val="both"/>
        <w:ind w:left="200" w:right="219"/>
        <w:spacing w:after="0" w:line="248" w:lineRule="auto"/>
        <w:rPr>
          <w:sz w:val="20"/>
          <w:szCs w:val="20"/>
          <w:color w:val="auto"/>
        </w:rPr>
      </w:pPr>
      <w:r>
        <w:rPr>
          <w:rFonts w:ascii="Arial" w:cs="Arial" w:eastAsia="Arial" w:hAnsi="Arial"/>
          <w:sz w:val="18"/>
          <w:szCs w:val="18"/>
          <w:color w:val="auto"/>
        </w:rPr>
        <w:t>UFP Industries, through its third-party vendor, reviews all responses against set criteria that have been developed to determine whether further communication is needed. These criteria include: non-responsiveness, incomplete responses, company-level CMRT, and overall inconsistencies.</w:t>
      </w:r>
    </w:p>
    <w:p>
      <w:pPr>
        <w:spacing w:after="0" w:line="168" w:lineRule="exact"/>
        <w:rPr>
          <w:sz w:val="20"/>
          <w:szCs w:val="20"/>
          <w:color w:val="auto"/>
        </w:rPr>
      </w:pPr>
    </w:p>
    <w:p>
      <w:pPr>
        <w:jc w:val="both"/>
        <w:ind w:left="200" w:right="219"/>
        <w:spacing w:after="0" w:line="324" w:lineRule="auto"/>
        <w:rPr>
          <w:sz w:val="20"/>
          <w:szCs w:val="20"/>
          <w:color w:val="auto"/>
        </w:rPr>
      </w:pPr>
      <w:r>
        <w:rPr>
          <w:rFonts w:ascii="Arial" w:cs="Arial" w:eastAsia="Arial" w:hAnsi="Arial"/>
          <w:sz w:val="16"/>
          <w:szCs w:val="16"/>
          <w:color w:val="auto"/>
        </w:rPr>
        <w:t>Additionally, many companies continue to report “unknown” or having information from less than 75% of their suppliers, and therefore, they could not provide a comprehensive list of all smelters or refiners in their supply chains.</w:t>
      </w:r>
    </w:p>
    <w:p>
      <w:pPr>
        <w:spacing w:after="0" w:line="111" w:lineRule="exact"/>
        <w:rPr>
          <w:sz w:val="20"/>
          <w:szCs w:val="20"/>
          <w:color w:val="auto"/>
        </w:rPr>
      </w:pPr>
    </w:p>
    <w:p>
      <w:pPr>
        <w:jc w:val="both"/>
        <w:ind w:left="200" w:right="219"/>
        <w:spacing w:after="0" w:line="253" w:lineRule="auto"/>
        <w:rPr>
          <w:sz w:val="20"/>
          <w:szCs w:val="20"/>
          <w:color w:val="auto"/>
        </w:rPr>
      </w:pPr>
      <w:r>
        <w:rPr>
          <w:rFonts w:ascii="Arial" w:cs="Arial" w:eastAsia="Arial" w:hAnsi="Arial"/>
          <w:sz w:val="17"/>
          <w:szCs w:val="17"/>
          <w:color w:val="auto"/>
        </w:rPr>
        <w:t>Risks were further identified by assessing the due diligence practices and the status of the smelters and refiners identified in the CMRTs provided to UFP Industries. Our third-party vendor compared the facilities listed in the responses to the list of smelters and refiners maintained by RMI to ensure that the facilities met the recognized definition of a 3TG processing facility that was operational during the 2019. Our vendor also determined if the smelter or refiner had been audited against a standard in conformance with the OECD Guidance, such as RMI’s Responsible Minerals Assurance Process. Smelters or refiners that completed RMI’s Responsible Minerals Assurance Process are considered to be DRC-conflict free. In cases where the smelter’s or refiner’s due diligence practices have not been audited against RMI’s Responsible Minerals Assurance Process, follow-ups are made to these suppliers. Smelters are then assessed for the potential for sourcing risk.</w:t>
      </w:r>
    </w:p>
    <w:p>
      <w:pPr>
        <w:spacing w:after="0" w:line="170" w:lineRule="exact"/>
        <w:rPr>
          <w:sz w:val="20"/>
          <w:szCs w:val="20"/>
          <w:color w:val="auto"/>
        </w:rPr>
      </w:pPr>
    </w:p>
    <w:p>
      <w:pPr>
        <w:jc w:val="both"/>
        <w:ind w:left="200" w:right="219"/>
        <w:spacing w:after="0" w:line="250" w:lineRule="auto"/>
        <w:rPr>
          <w:sz w:val="20"/>
          <w:szCs w:val="20"/>
          <w:color w:val="auto"/>
        </w:rPr>
      </w:pPr>
      <w:r>
        <w:rPr>
          <w:rFonts w:ascii="Arial" w:cs="Arial" w:eastAsia="Arial" w:hAnsi="Arial"/>
          <w:sz w:val="17"/>
          <w:szCs w:val="17"/>
          <w:color w:val="auto"/>
        </w:rPr>
        <w:t>Each facility that meets the definition of a smelter or refiner of a 3TG mineral is assessed according to red-flag indicators defined in the OECD Guidance. Several factors are used to determine the level of risk, including:</w:t>
      </w:r>
    </w:p>
    <w:p>
      <w:pPr>
        <w:ind w:left="860" w:hanging="327"/>
        <w:spacing w:after="0" w:line="203" w:lineRule="auto"/>
        <w:tabs>
          <w:tab w:leader="none" w:pos="860" w:val="left"/>
        </w:tabs>
        <w:numPr>
          <w:ilvl w:val="0"/>
          <w:numId w:val="2"/>
        </w:numPr>
        <w:rPr>
          <w:rFonts w:ascii="Arial" w:cs="Arial" w:eastAsia="Arial" w:hAnsi="Arial"/>
          <w:sz w:val="18"/>
          <w:szCs w:val="18"/>
          <w:color w:val="auto"/>
        </w:rPr>
      </w:pPr>
      <w:r>
        <w:rPr>
          <w:rFonts w:ascii="Arial" w:cs="Arial" w:eastAsia="Arial" w:hAnsi="Arial"/>
          <w:sz w:val="18"/>
          <w:szCs w:val="18"/>
          <w:color w:val="auto"/>
        </w:rPr>
        <w:t>Geographic proximity to the DRC and Covered Countries;</w:t>
      </w:r>
    </w:p>
    <w:p>
      <w:pPr>
        <w:ind w:left="860" w:hanging="327"/>
        <w:spacing w:after="0" w:line="203" w:lineRule="auto"/>
        <w:tabs>
          <w:tab w:leader="none" w:pos="860" w:val="left"/>
        </w:tabs>
        <w:numPr>
          <w:ilvl w:val="0"/>
          <w:numId w:val="2"/>
        </w:numPr>
        <w:rPr>
          <w:rFonts w:ascii="Arial" w:cs="Arial" w:eastAsia="Arial" w:hAnsi="Arial"/>
          <w:sz w:val="18"/>
          <w:szCs w:val="18"/>
          <w:color w:val="auto"/>
        </w:rPr>
      </w:pPr>
      <w:r>
        <w:rPr>
          <w:rFonts w:ascii="Arial" w:cs="Arial" w:eastAsia="Arial" w:hAnsi="Arial"/>
          <w:sz w:val="18"/>
          <w:szCs w:val="18"/>
          <w:color w:val="auto"/>
        </w:rPr>
        <w:t>Known mineral source country of origin;</w:t>
      </w:r>
    </w:p>
    <w:p>
      <w:pPr>
        <w:ind w:left="860" w:hanging="327"/>
        <w:spacing w:after="0" w:line="203" w:lineRule="auto"/>
        <w:tabs>
          <w:tab w:leader="none" w:pos="860" w:val="left"/>
        </w:tabs>
        <w:numPr>
          <w:ilvl w:val="0"/>
          <w:numId w:val="2"/>
        </w:numPr>
        <w:rPr>
          <w:rFonts w:ascii="Arial" w:cs="Arial" w:eastAsia="Arial" w:hAnsi="Arial"/>
          <w:sz w:val="18"/>
          <w:szCs w:val="18"/>
          <w:color w:val="auto"/>
        </w:rPr>
      </w:pPr>
      <w:r>
        <w:rPr>
          <w:rFonts w:ascii="Arial" w:cs="Arial" w:eastAsia="Arial" w:hAnsi="Arial"/>
          <w:sz w:val="18"/>
          <w:szCs w:val="18"/>
          <w:color w:val="auto"/>
        </w:rPr>
        <w:t>Responsible Minerals Assurance Process status;</w:t>
      </w:r>
    </w:p>
    <w:p>
      <w:pPr>
        <w:ind w:left="860" w:hanging="327"/>
        <w:spacing w:after="0" w:line="203" w:lineRule="auto"/>
        <w:tabs>
          <w:tab w:leader="none" w:pos="860" w:val="left"/>
        </w:tabs>
        <w:numPr>
          <w:ilvl w:val="0"/>
          <w:numId w:val="2"/>
        </w:numPr>
        <w:rPr>
          <w:rFonts w:ascii="Arial" w:cs="Arial" w:eastAsia="Arial" w:hAnsi="Arial"/>
          <w:sz w:val="18"/>
          <w:szCs w:val="18"/>
          <w:color w:val="auto"/>
        </w:rPr>
      </w:pPr>
      <w:r>
        <w:rPr>
          <w:rFonts w:ascii="Arial" w:cs="Arial" w:eastAsia="Arial" w:hAnsi="Arial"/>
          <w:sz w:val="18"/>
          <w:szCs w:val="18"/>
          <w:color w:val="auto"/>
        </w:rPr>
        <w:t>Credible evidence of unethical or conflict sourcing;</w:t>
      </w:r>
    </w:p>
    <w:p>
      <w:pPr>
        <w:ind w:left="860" w:hanging="327"/>
        <w:spacing w:after="0"/>
        <w:tabs>
          <w:tab w:leader="none" w:pos="860" w:val="left"/>
        </w:tabs>
        <w:numPr>
          <w:ilvl w:val="0"/>
          <w:numId w:val="2"/>
        </w:numPr>
        <w:rPr>
          <w:rFonts w:ascii="Arial" w:cs="Arial" w:eastAsia="Arial" w:hAnsi="Arial"/>
          <w:sz w:val="18"/>
          <w:szCs w:val="18"/>
          <w:color w:val="auto"/>
        </w:rPr>
      </w:pPr>
      <w:r>
        <w:rPr>
          <w:rFonts w:ascii="Arial" w:cs="Arial" w:eastAsia="Arial" w:hAnsi="Arial"/>
          <w:sz w:val="18"/>
          <w:szCs w:val="18"/>
          <w:color w:val="auto"/>
        </w:rPr>
        <w:t>Peer assessment conducted by credible third-party sources.</w:t>
      </w:r>
    </w:p>
    <w:p>
      <w:pPr>
        <w:spacing w:after="0" w:line="169" w:lineRule="exact"/>
        <w:rPr>
          <w:sz w:val="20"/>
          <w:szCs w:val="20"/>
          <w:color w:val="auto"/>
        </w:rPr>
      </w:pPr>
    </w:p>
    <w:p>
      <w:pPr>
        <w:jc w:val="both"/>
        <w:ind w:left="200" w:right="219"/>
        <w:spacing w:after="0" w:line="241" w:lineRule="auto"/>
        <w:rPr>
          <w:sz w:val="20"/>
          <w:szCs w:val="20"/>
          <w:color w:val="auto"/>
        </w:rPr>
      </w:pPr>
      <w:r>
        <w:rPr>
          <w:rFonts w:ascii="Arial" w:cs="Arial" w:eastAsia="Arial" w:hAnsi="Arial"/>
          <w:sz w:val="18"/>
          <w:szCs w:val="18"/>
          <w:color w:val="auto"/>
        </w:rPr>
        <w:t>Risk mitigation activities are initiated by our third-party vendor whenever a supplier’s CMRT reported facilities of concern. Our vendor provides feedback to such suppliers instructing that supplier to take their own independent risk mitigation actions. Examples include the submission of a product-specific CMRT to better identify the connection to products that they supply to us. Additional escalation may have been necessary to address any continued sourcing from these smelters of concern.</w:t>
      </w:r>
    </w:p>
    <w:p>
      <w:pPr>
        <w:spacing w:after="0" w:line="176" w:lineRule="exact"/>
        <w:rPr>
          <w:sz w:val="20"/>
          <w:szCs w:val="20"/>
          <w:color w:val="auto"/>
        </w:rPr>
      </w:pPr>
    </w:p>
    <w:p>
      <w:pPr>
        <w:jc w:val="both"/>
        <w:ind w:left="200" w:right="219"/>
        <w:spacing w:after="0" w:line="248" w:lineRule="auto"/>
        <w:rPr>
          <w:sz w:val="20"/>
          <w:szCs w:val="20"/>
          <w:color w:val="auto"/>
        </w:rPr>
      </w:pPr>
      <w:r>
        <w:rPr>
          <w:rFonts w:ascii="Arial" w:cs="Arial" w:eastAsia="Arial" w:hAnsi="Arial"/>
          <w:sz w:val="18"/>
          <w:szCs w:val="18"/>
          <w:color w:val="auto"/>
        </w:rPr>
        <w:t>As per the OECD Guidance, risk mitigation will also depend on the supplier’s specific context. If necessary, suppliers are given clear performance objectives within reasonable timeframes with the ultimate goal of progressive elimination of these risks from the supply chain.</w:t>
      </w:r>
    </w:p>
    <w:p>
      <w:pPr>
        <w:spacing w:after="0" w:line="168" w:lineRule="exact"/>
        <w:rPr>
          <w:sz w:val="20"/>
          <w:szCs w:val="20"/>
          <w:color w:val="auto"/>
        </w:rPr>
      </w:pPr>
    </w:p>
    <w:p>
      <w:pPr>
        <w:jc w:val="both"/>
        <w:ind w:left="200" w:right="219"/>
        <w:spacing w:after="0" w:line="261" w:lineRule="auto"/>
        <w:rPr>
          <w:sz w:val="20"/>
          <w:szCs w:val="20"/>
          <w:color w:val="auto"/>
        </w:rPr>
      </w:pPr>
      <w:r>
        <w:rPr>
          <w:rFonts w:ascii="Arial" w:cs="Arial" w:eastAsia="Arial" w:hAnsi="Arial"/>
          <w:sz w:val="18"/>
          <w:szCs w:val="18"/>
          <w:color w:val="auto"/>
        </w:rPr>
        <w:t>In addition, suppliers are guided to the Assent University learning platform to engage in educational materials on mitigating the risk of smelters or refiners on the supply chain.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452120</wp:posOffset>
            </wp:positionV>
            <wp:extent cx="5452110" cy="25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452110" cy="2540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8" w:name="page9"/>
    <w:bookmarkEnd w:id="8"/>
    <w:p>
      <w:pPr>
        <w:jc w:val="both"/>
        <w:ind w:left="200" w:right="219"/>
        <w:spacing w:after="0" w:line="248" w:lineRule="auto"/>
        <w:rPr>
          <w:sz w:val="20"/>
          <w:szCs w:val="20"/>
          <w:color w:val="auto"/>
        </w:rPr>
      </w:pPr>
      <w:r>
        <w:rPr>
          <w:rFonts w:ascii="Arial" w:cs="Arial" w:eastAsia="Arial" w:hAnsi="Arial"/>
          <w:sz w:val="18"/>
          <w:szCs w:val="18"/>
          <w:color w:val="auto"/>
        </w:rPr>
        <w:t>Finally, suppliers are evaluated on program strength, which assists in making key risk mitigation decisions as the program progresses. The criteria used to evaluate the strength of the program are based on certain questions in the CMRT related to the supplier’s conflict mineral practices and policies, including:</w:t>
      </w:r>
    </w:p>
    <w:p>
      <w:pPr>
        <w:spacing w:after="0" w:line="168" w:lineRule="exact"/>
        <w:rPr>
          <w:sz w:val="20"/>
          <w:szCs w:val="20"/>
          <w:color w:val="auto"/>
        </w:rPr>
      </w:pPr>
    </w:p>
    <w:p>
      <w:pPr>
        <w:ind w:left="860"/>
        <w:spacing w:after="0"/>
        <w:rPr>
          <w:sz w:val="20"/>
          <w:szCs w:val="20"/>
          <w:color w:val="auto"/>
        </w:rPr>
      </w:pPr>
      <w:r>
        <w:rPr>
          <w:rFonts w:ascii="Arial" w:cs="Arial" w:eastAsia="Arial" w:hAnsi="Arial"/>
          <w:sz w:val="18"/>
          <w:szCs w:val="18"/>
          <w:color w:val="auto"/>
        </w:rPr>
        <w:t>A. Do you have a policy in place that includes DRC conflict-free sourcing?</w:t>
      </w:r>
    </w:p>
    <w:p>
      <w:pPr>
        <w:spacing w:after="0" w:line="7" w:lineRule="exact"/>
        <w:rPr>
          <w:sz w:val="20"/>
          <w:szCs w:val="20"/>
          <w:color w:val="auto"/>
        </w:rPr>
      </w:pPr>
    </w:p>
    <w:p>
      <w:pPr>
        <w:ind w:left="860"/>
        <w:spacing w:after="0"/>
        <w:rPr>
          <w:sz w:val="20"/>
          <w:szCs w:val="20"/>
          <w:color w:val="auto"/>
        </w:rPr>
      </w:pPr>
      <w:r>
        <w:rPr>
          <w:rFonts w:ascii="Arial" w:cs="Arial" w:eastAsia="Arial" w:hAnsi="Arial"/>
          <w:sz w:val="18"/>
          <w:szCs w:val="18"/>
          <w:color w:val="auto"/>
        </w:rPr>
        <w:t>E. Have you implemented due diligence measures for conflict-free sourcing?</w:t>
      </w:r>
    </w:p>
    <w:p>
      <w:pPr>
        <w:ind w:left="860"/>
        <w:spacing w:after="0" w:line="234" w:lineRule="auto"/>
        <w:rPr>
          <w:sz w:val="20"/>
          <w:szCs w:val="20"/>
          <w:color w:val="auto"/>
        </w:rPr>
      </w:pPr>
      <w:r>
        <w:rPr>
          <w:rFonts w:ascii="Arial" w:cs="Arial" w:eastAsia="Arial" w:hAnsi="Arial"/>
          <w:sz w:val="18"/>
          <w:szCs w:val="18"/>
          <w:color w:val="auto"/>
        </w:rPr>
        <w:t>G. Does your review process include corrective active management?</w:t>
      </w:r>
    </w:p>
    <w:p>
      <w:pPr>
        <w:spacing w:after="0" w:line="1" w:lineRule="exact"/>
        <w:rPr>
          <w:sz w:val="20"/>
          <w:szCs w:val="20"/>
          <w:color w:val="auto"/>
        </w:rPr>
      </w:pPr>
    </w:p>
    <w:p>
      <w:pPr>
        <w:ind w:left="860"/>
        <w:spacing w:after="0"/>
        <w:rPr>
          <w:sz w:val="20"/>
          <w:szCs w:val="20"/>
          <w:color w:val="auto"/>
        </w:rPr>
      </w:pPr>
      <w:r>
        <w:rPr>
          <w:rFonts w:ascii="Arial" w:cs="Arial" w:eastAsia="Arial" w:hAnsi="Arial"/>
          <w:sz w:val="18"/>
          <w:szCs w:val="18"/>
          <w:color w:val="auto"/>
        </w:rPr>
        <w:t>H. Do you verify due diligence information received from your suppliers?</w:t>
      </w:r>
    </w:p>
    <w:p>
      <w:pPr>
        <w:spacing w:after="0" w:line="182" w:lineRule="exact"/>
        <w:rPr>
          <w:sz w:val="20"/>
          <w:szCs w:val="20"/>
          <w:color w:val="auto"/>
        </w:rPr>
      </w:pPr>
    </w:p>
    <w:p>
      <w:pPr>
        <w:ind w:left="200"/>
        <w:spacing w:after="0"/>
        <w:rPr>
          <w:sz w:val="20"/>
          <w:szCs w:val="20"/>
          <w:color w:val="auto"/>
        </w:rPr>
      </w:pPr>
      <w:r>
        <w:rPr>
          <w:rFonts w:ascii="Arial" w:cs="Arial" w:eastAsia="Arial" w:hAnsi="Arial"/>
          <w:sz w:val="18"/>
          <w:szCs w:val="18"/>
          <w:u w:val="single" w:color="auto"/>
          <w:color w:val="auto"/>
        </w:rPr>
        <w:t>Design and Implement a Strategy to Respond to Identified Risks</w:t>
      </w:r>
    </w:p>
    <w:p>
      <w:pPr>
        <w:spacing w:after="0" w:line="198" w:lineRule="exact"/>
        <w:rPr>
          <w:sz w:val="20"/>
          <w:szCs w:val="20"/>
          <w:color w:val="auto"/>
        </w:rPr>
      </w:pPr>
    </w:p>
    <w:p>
      <w:pPr>
        <w:jc w:val="both"/>
        <w:ind w:left="200" w:right="219"/>
        <w:spacing w:after="0" w:line="287" w:lineRule="auto"/>
        <w:rPr>
          <w:sz w:val="20"/>
          <w:szCs w:val="20"/>
          <w:color w:val="auto"/>
        </w:rPr>
      </w:pPr>
      <w:r>
        <w:rPr>
          <w:rFonts w:ascii="Arial" w:cs="Arial" w:eastAsia="Arial" w:hAnsi="Arial"/>
          <w:sz w:val="16"/>
          <w:szCs w:val="16"/>
          <w:color w:val="auto"/>
        </w:rPr>
        <w:t xml:space="preserve">UFP Industries has established a Conflict Minerals Policy that outlines our expectations for suppliers. If these expectations are not met, the business relationship with that supplier will be evaluated. </w:t>
      </w:r>
      <w:r>
        <w:rPr>
          <w:rFonts w:ascii="Arial" w:cs="Arial" w:eastAsia="Arial" w:hAnsi="Arial"/>
          <w:sz w:val="12"/>
          <w:szCs w:val="12"/>
          <w:color w:val="auto"/>
        </w:rPr>
        <w:t>For example, if we find that we source</w:t>
      </w:r>
    </w:p>
    <w:p>
      <w:pPr>
        <w:spacing w:after="0" w:line="1" w:lineRule="exact"/>
        <w:rPr>
          <w:sz w:val="20"/>
          <w:szCs w:val="20"/>
          <w:color w:val="auto"/>
        </w:rPr>
      </w:pPr>
    </w:p>
    <w:p>
      <w:pPr>
        <w:jc w:val="both"/>
        <w:ind w:left="200" w:right="219"/>
        <w:spacing w:after="0" w:line="338" w:lineRule="auto"/>
        <w:rPr>
          <w:sz w:val="20"/>
          <w:szCs w:val="20"/>
          <w:color w:val="auto"/>
        </w:rPr>
      </w:pPr>
      <w:r>
        <w:rPr>
          <w:rFonts w:ascii="Arial" w:cs="Arial" w:eastAsia="Arial" w:hAnsi="Arial"/>
          <w:sz w:val="13"/>
          <w:szCs w:val="13"/>
          <w:color w:val="auto"/>
        </w:rPr>
        <w:t xml:space="preserve">3TGs that directly or indirectly finance or benefit armed groups in the Covered Countries, UFP Industries will assess the supplier relationship and encourage that supplier to establish an alternative source of the minerals that does not support such conflict. </w:t>
      </w:r>
      <w:r>
        <w:rPr>
          <w:rFonts w:ascii="Arial" w:cs="Arial" w:eastAsia="Arial" w:hAnsi="Arial"/>
          <w:sz w:val="15"/>
          <w:szCs w:val="15"/>
          <w:color w:val="auto"/>
        </w:rPr>
        <w:t>If an alternative source cannot</w:t>
      </w:r>
      <w:r>
        <w:rPr>
          <w:rFonts w:ascii="Arial" w:cs="Arial" w:eastAsia="Arial" w:hAnsi="Arial"/>
          <w:sz w:val="13"/>
          <w:szCs w:val="13"/>
          <w:color w:val="auto"/>
        </w:rPr>
        <w:t xml:space="preserve"> </w:t>
      </w:r>
      <w:r>
        <w:rPr>
          <w:rFonts w:ascii="Arial" w:cs="Arial" w:eastAsia="Arial" w:hAnsi="Arial"/>
          <w:sz w:val="15"/>
          <w:szCs w:val="15"/>
          <w:color w:val="auto"/>
        </w:rPr>
        <w:t>be found or the supplier chooses not to respond to this risk, we will assess whether or not that supplier can be replaced.</w:t>
      </w:r>
    </w:p>
    <w:p>
      <w:pPr>
        <w:spacing w:after="0" w:line="105" w:lineRule="exact"/>
        <w:rPr>
          <w:sz w:val="20"/>
          <w:szCs w:val="20"/>
          <w:color w:val="auto"/>
        </w:rPr>
      </w:pPr>
    </w:p>
    <w:p>
      <w:pPr>
        <w:ind w:left="200"/>
        <w:spacing w:after="0"/>
        <w:rPr>
          <w:sz w:val="20"/>
          <w:szCs w:val="20"/>
          <w:color w:val="auto"/>
        </w:rPr>
      </w:pPr>
      <w:r>
        <w:rPr>
          <w:rFonts w:ascii="Arial" w:cs="Arial" w:eastAsia="Arial" w:hAnsi="Arial"/>
          <w:sz w:val="17"/>
          <w:szCs w:val="17"/>
          <w:u w:val="single" w:color="auto"/>
          <w:color w:val="auto"/>
        </w:rPr>
        <w:t>Carry Out Independent Third-Party Audit of Supply Chain Due Diligence at Identified Points in the Supply Chain</w:t>
      </w:r>
    </w:p>
    <w:p>
      <w:pPr>
        <w:spacing w:after="0" w:line="210" w:lineRule="exact"/>
        <w:rPr>
          <w:sz w:val="20"/>
          <w:szCs w:val="20"/>
          <w:color w:val="auto"/>
        </w:rPr>
      </w:pPr>
    </w:p>
    <w:p>
      <w:pPr>
        <w:jc w:val="both"/>
        <w:ind w:left="200" w:right="219"/>
        <w:spacing w:after="0" w:line="248" w:lineRule="auto"/>
        <w:rPr>
          <w:sz w:val="20"/>
          <w:szCs w:val="20"/>
          <w:color w:val="auto"/>
        </w:rPr>
      </w:pPr>
      <w:r>
        <w:rPr>
          <w:rFonts w:ascii="Arial" w:cs="Arial" w:eastAsia="Arial" w:hAnsi="Arial"/>
          <w:sz w:val="18"/>
          <w:szCs w:val="18"/>
          <w:color w:val="auto"/>
        </w:rPr>
        <w:t>We do not have a direct relationship with smelters and refiners of Conflict Minerals and, therefore, do not perform or direct audits of these entities. In connection with our due diligence, we utilized information made available by RMI concerning independent third-party audits of smelters and refiners.</w:t>
      </w:r>
    </w:p>
    <w:p>
      <w:pPr>
        <w:spacing w:after="0" w:line="168" w:lineRule="exact"/>
        <w:rPr>
          <w:sz w:val="20"/>
          <w:szCs w:val="20"/>
          <w:color w:val="auto"/>
        </w:rPr>
      </w:pPr>
    </w:p>
    <w:p>
      <w:pPr>
        <w:ind w:left="200"/>
        <w:spacing w:after="0"/>
        <w:rPr>
          <w:sz w:val="20"/>
          <w:szCs w:val="20"/>
          <w:color w:val="auto"/>
        </w:rPr>
      </w:pPr>
      <w:r>
        <w:rPr>
          <w:rFonts w:ascii="Arial" w:cs="Arial" w:eastAsia="Arial" w:hAnsi="Arial"/>
          <w:sz w:val="18"/>
          <w:szCs w:val="18"/>
          <w:u w:val="single" w:color="auto"/>
          <w:color w:val="auto"/>
        </w:rPr>
        <w:t>Report on Supply Chain Due Diligence</w:t>
      </w:r>
    </w:p>
    <w:p>
      <w:pPr>
        <w:spacing w:after="0" w:line="198" w:lineRule="exact"/>
        <w:rPr>
          <w:sz w:val="20"/>
          <w:szCs w:val="20"/>
          <w:color w:val="auto"/>
        </w:rPr>
      </w:pPr>
    </w:p>
    <w:p>
      <w:pPr>
        <w:jc w:val="both"/>
        <w:ind w:left="200" w:right="219"/>
        <w:spacing w:after="0" w:line="248" w:lineRule="auto"/>
        <w:rPr>
          <w:sz w:val="20"/>
          <w:szCs w:val="20"/>
          <w:color w:val="auto"/>
        </w:rPr>
      </w:pPr>
      <w:r>
        <w:rPr>
          <w:rFonts w:ascii="Arial" w:cs="Arial" w:eastAsia="Arial" w:hAnsi="Arial"/>
          <w:sz w:val="18"/>
          <w:szCs w:val="18"/>
          <w:color w:val="auto"/>
        </w:rPr>
        <w:t>This Report, which constitutes our annual report on our due diligence efforts, is available on our website at http://www.ufpinvestor.com/index.php/corporate-governance/highlights within the “Investor Relations” section under “Corporate Governance” and is filed with the SEC.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459105</wp:posOffset>
            </wp:positionV>
            <wp:extent cx="545211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45211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9" w:name="page10"/>
    <w:bookmarkEnd w:id="9"/>
    <w:p>
      <w:pPr>
        <w:ind w:left="200"/>
        <w:spacing w:after="0"/>
        <w:rPr>
          <w:sz w:val="20"/>
          <w:szCs w:val="20"/>
          <w:color w:val="auto"/>
        </w:rPr>
      </w:pPr>
      <w:r>
        <w:rPr>
          <w:rFonts w:ascii="Arial" w:cs="Arial" w:eastAsia="Arial" w:hAnsi="Arial"/>
          <w:sz w:val="18"/>
          <w:szCs w:val="18"/>
          <w:b w:val="1"/>
          <w:bCs w:val="1"/>
          <w:color w:val="auto"/>
        </w:rPr>
        <w:t>Results of Due Diligence</w:t>
      </w:r>
    </w:p>
    <w:p>
      <w:pPr>
        <w:spacing w:after="0" w:line="202"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Survey Results</w:t>
      </w:r>
    </w:p>
    <w:p>
      <w:pPr>
        <w:spacing w:after="0" w:line="198" w:lineRule="exact"/>
        <w:rPr>
          <w:sz w:val="20"/>
          <w:szCs w:val="20"/>
          <w:color w:val="auto"/>
        </w:rPr>
      </w:pPr>
    </w:p>
    <w:p>
      <w:pPr>
        <w:ind w:left="200"/>
        <w:spacing w:after="0"/>
        <w:rPr>
          <w:sz w:val="20"/>
          <w:szCs w:val="20"/>
          <w:color w:val="auto"/>
        </w:rPr>
      </w:pPr>
      <w:r>
        <w:rPr>
          <w:rFonts w:ascii="Arial" w:cs="Arial" w:eastAsia="Arial" w:hAnsi="Arial"/>
          <w:sz w:val="18"/>
          <w:szCs w:val="18"/>
          <w:color w:val="auto"/>
        </w:rPr>
        <w:t>As of May 7, 2020, we received 82 CMRTs from 169 of our surveyed suppliers for the 2019 year.</w:t>
      </w:r>
    </w:p>
    <w:p>
      <w:pPr>
        <w:spacing w:after="0" w:line="198" w:lineRule="exact"/>
        <w:rPr>
          <w:sz w:val="20"/>
          <w:szCs w:val="20"/>
          <w:color w:val="auto"/>
        </w:rPr>
      </w:pPr>
    </w:p>
    <w:p>
      <w:pPr>
        <w:jc w:val="both"/>
        <w:ind w:left="200" w:right="219"/>
        <w:spacing w:after="0" w:line="243" w:lineRule="auto"/>
        <w:rPr>
          <w:sz w:val="20"/>
          <w:szCs w:val="20"/>
          <w:color w:val="auto"/>
        </w:rPr>
      </w:pPr>
      <w:r>
        <w:rPr>
          <w:rFonts w:ascii="Arial" w:cs="Arial" w:eastAsia="Arial" w:hAnsi="Arial"/>
          <w:sz w:val="18"/>
          <w:szCs w:val="18"/>
          <w:color w:val="auto"/>
        </w:rPr>
        <w:t>Of the suppliers surveyed, many completed their CMRTs at the company, business unit or entity level. Due to the scope of these CMRTs, we are unable to conclude which of the 3TGs (if any) have actually been included in parts or products that they supplied to us, nor are we able to determine from which of the processing facilities they listed the 3TGs originated.</w:t>
      </w:r>
    </w:p>
    <w:p>
      <w:pPr>
        <w:spacing w:after="0" w:line="174"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Smelters and Refiners</w:t>
      </w:r>
    </w:p>
    <w:p>
      <w:pPr>
        <w:spacing w:after="0" w:line="198" w:lineRule="exact"/>
        <w:rPr>
          <w:sz w:val="20"/>
          <w:szCs w:val="20"/>
          <w:color w:val="auto"/>
        </w:rPr>
      </w:pPr>
    </w:p>
    <w:p>
      <w:pPr>
        <w:jc w:val="both"/>
        <w:ind w:left="200" w:right="219"/>
        <w:spacing w:after="0" w:line="259" w:lineRule="auto"/>
        <w:rPr>
          <w:sz w:val="20"/>
          <w:szCs w:val="20"/>
          <w:color w:val="auto"/>
        </w:rPr>
      </w:pPr>
      <w:r>
        <w:rPr>
          <w:rFonts w:ascii="Arial" w:cs="Arial" w:eastAsia="Arial" w:hAnsi="Arial"/>
          <w:sz w:val="17"/>
          <w:szCs w:val="17"/>
          <w:color w:val="auto"/>
        </w:rPr>
        <w:t>Many of the responses provided by a supplier via the CMRT included the names of facilities listed by the suppliers as smelters or refiners (“SORs”). The CMRTs submitted by suppliers that do not list at least one smelter for each 3TG claimed on the CMRT are considered invalid, and our third-party service provider follows up on these, urging suppliers to resubmit the form and include smelter information. Even with that further request, there are still suppliers that are unable to provide SORs used for the materials supplied to us.</w:t>
      </w:r>
    </w:p>
    <w:p>
      <w:pPr>
        <w:spacing w:after="0" w:line="160" w:lineRule="exact"/>
        <w:rPr>
          <w:sz w:val="20"/>
          <w:szCs w:val="20"/>
          <w:color w:val="auto"/>
        </w:rPr>
      </w:pPr>
    </w:p>
    <w:p>
      <w:pPr>
        <w:jc w:val="both"/>
        <w:ind w:left="200" w:right="219"/>
        <w:spacing w:after="0" w:line="272" w:lineRule="auto"/>
        <w:rPr>
          <w:sz w:val="20"/>
          <w:szCs w:val="20"/>
          <w:color w:val="auto"/>
        </w:rPr>
      </w:pPr>
      <w:r>
        <w:rPr>
          <w:rFonts w:ascii="Arial" w:cs="Arial" w:eastAsia="Arial" w:hAnsi="Arial"/>
          <w:sz w:val="16"/>
          <w:szCs w:val="16"/>
          <w:color w:val="auto"/>
        </w:rPr>
        <w:t>For all responses that indicated a SOR, our third-party service provider compared the facilities listed to the list of SORs maintained by the Responsible Minerals Initiative (“RMI”). If a supplier indicated that the facility was certified as “Conflict-Free,” our vendor confirmed that the name was listed by RMI as a certified smelter. As May 7, 2020, we have validated 285 smelters or refiners, and our third-party service provider is working to validate the additional smelter/refiner entries from the submitted CMRTs. Appendix A lists the smelters and refiners that the suppliers we surveyed reported as being in their supply chains. We have not listed in Appendix A any smelters or refiners that we have not been able to validate. Appendix A also includes an aggregated list of the countries of origin from which the reported facilities collectively source conflict minerals, based on information provided by suppliers and RMI.</w:t>
      </w:r>
    </w:p>
    <w:p>
      <w:pPr>
        <w:spacing w:after="0" w:line="154" w:lineRule="exact"/>
        <w:rPr>
          <w:sz w:val="20"/>
          <w:szCs w:val="20"/>
          <w:color w:val="auto"/>
        </w:rPr>
      </w:pPr>
    </w:p>
    <w:p>
      <w:pPr>
        <w:jc w:val="both"/>
        <w:ind w:left="200" w:right="239"/>
        <w:spacing w:after="0" w:line="248" w:lineRule="auto"/>
        <w:rPr>
          <w:sz w:val="20"/>
          <w:szCs w:val="20"/>
          <w:color w:val="auto"/>
        </w:rPr>
      </w:pPr>
      <w:r>
        <w:rPr>
          <w:rFonts w:ascii="Arial" w:cs="Arial" w:eastAsia="Arial" w:hAnsi="Arial"/>
          <w:sz w:val="18"/>
          <w:szCs w:val="18"/>
          <w:color w:val="auto"/>
        </w:rPr>
        <w:t>As our suppliers are largely unable to provide us with the information necessary to determine country of origin at the product level, we are unable to provide additional SOR names and country of origin of the necessary 3TGs in this Report at this time.</w:t>
      </w:r>
    </w:p>
    <w:p>
      <w:pPr>
        <w:spacing w:after="0" w:line="164"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Future Steps to be Taken</w:t>
      </w:r>
    </w:p>
    <w:p>
      <w:pPr>
        <w:spacing w:after="0" w:line="202" w:lineRule="exact"/>
        <w:rPr>
          <w:sz w:val="20"/>
          <w:szCs w:val="20"/>
          <w:color w:val="auto"/>
        </w:rPr>
      </w:pPr>
    </w:p>
    <w:p>
      <w:pPr>
        <w:jc w:val="both"/>
        <w:ind w:left="200" w:right="219"/>
        <w:spacing w:after="0" w:line="284" w:lineRule="auto"/>
        <w:rPr>
          <w:sz w:val="20"/>
          <w:szCs w:val="20"/>
          <w:color w:val="auto"/>
        </w:rPr>
      </w:pPr>
      <w:r>
        <w:rPr>
          <w:rFonts w:ascii="Arial" w:cs="Arial" w:eastAsia="Arial" w:hAnsi="Arial"/>
          <w:sz w:val="16"/>
          <w:szCs w:val="16"/>
          <w:color w:val="auto"/>
        </w:rPr>
        <w:t>We are committed to complying with the provisions of the Rule and Form SD and expect to continue our efforts to improve our conflict minerals program and related due diligence. As we further develop our program and procedures, we intend to take the following steps to mitigate the risk that any of the 3TGs contained in our products could benefit armed groups in the Covered Countries. These may include, but are not limited to the following:</w:t>
      </w:r>
    </w:p>
    <w:p>
      <w:pPr>
        <w:spacing w:after="0" w:line="128" w:lineRule="exact"/>
        <w:rPr>
          <w:sz w:val="20"/>
          <w:szCs w:val="20"/>
          <w:color w:val="auto"/>
        </w:rPr>
      </w:pPr>
    </w:p>
    <w:p>
      <w:pPr>
        <w:jc w:val="both"/>
        <w:ind w:left="1180" w:right="219" w:hanging="323"/>
        <w:spacing w:after="0" w:line="208" w:lineRule="auto"/>
        <w:tabs>
          <w:tab w:leader="none" w:pos="1180" w:val="left"/>
        </w:tabs>
        <w:numPr>
          <w:ilvl w:val="0"/>
          <w:numId w:val="3"/>
        </w:numPr>
        <w:rPr>
          <w:rFonts w:ascii="Arial" w:cs="Arial" w:eastAsia="Arial" w:hAnsi="Arial"/>
          <w:sz w:val="18"/>
          <w:szCs w:val="18"/>
          <w:color w:val="auto"/>
        </w:rPr>
      </w:pPr>
      <w:r>
        <w:rPr>
          <w:rFonts w:ascii="Arial" w:cs="Arial" w:eastAsia="Arial" w:hAnsi="Arial"/>
          <w:sz w:val="18"/>
          <w:szCs w:val="18"/>
          <w:color w:val="auto"/>
        </w:rPr>
        <w:t>Engage with suppliers and direct them to training resources to attempt to increase our response rate and improve the content of responses to assist in our RCOI process and our efforts to determine the processing facilities for and country of origin of the 3TGs in our products with the greatest specificity possible;</w:t>
      </w:r>
    </w:p>
    <w:p>
      <w:pPr>
        <w:ind w:left="1180" w:hanging="323"/>
        <w:spacing w:after="0" w:line="203" w:lineRule="auto"/>
        <w:tabs>
          <w:tab w:leader="none" w:pos="1180" w:val="left"/>
        </w:tabs>
        <w:numPr>
          <w:ilvl w:val="0"/>
          <w:numId w:val="3"/>
        </w:numPr>
        <w:rPr>
          <w:rFonts w:ascii="Arial" w:cs="Arial" w:eastAsia="Arial" w:hAnsi="Arial"/>
          <w:sz w:val="18"/>
          <w:szCs w:val="18"/>
          <w:color w:val="auto"/>
        </w:rPr>
      </w:pPr>
      <w:r>
        <w:rPr>
          <w:rFonts w:ascii="Arial" w:cs="Arial" w:eastAsia="Arial" w:hAnsi="Arial"/>
          <w:sz w:val="18"/>
          <w:szCs w:val="18"/>
          <w:color w:val="auto"/>
        </w:rPr>
        <w:t>Engage suppliers and encourage them to provide responses at the product level;</w:t>
      </w:r>
    </w:p>
    <w:p>
      <w:pPr>
        <w:ind w:left="1180" w:hanging="323"/>
        <w:spacing w:after="0" w:line="203" w:lineRule="auto"/>
        <w:tabs>
          <w:tab w:leader="none" w:pos="118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Continue to invest in Conflict Minerals due diligence tools;</w:t>
      </w:r>
    </w:p>
    <w:p>
      <w:pPr>
        <w:ind w:left="1180" w:hanging="323"/>
        <w:spacing w:after="0" w:line="203" w:lineRule="auto"/>
        <w:tabs>
          <w:tab w:leader="none" w:pos="118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Continue to respond to legal requirements regarding 3TGs in our supply chain;</w:t>
      </w:r>
    </w:p>
    <w:p>
      <w:pPr>
        <w:ind w:left="1180" w:hanging="323"/>
        <w:spacing w:after="0" w:line="203" w:lineRule="auto"/>
        <w:tabs>
          <w:tab w:leader="none" w:pos="118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Continue to refine the identification of suppliers who provide us with 3TGs;</w:t>
      </w:r>
    </w:p>
    <w:p>
      <w:pPr>
        <w:jc w:val="both"/>
        <w:ind w:left="1180" w:right="219" w:hanging="323"/>
        <w:spacing w:after="0" w:line="218" w:lineRule="auto"/>
        <w:tabs>
          <w:tab w:leader="none" w:pos="1180" w:val="left"/>
        </w:tabs>
        <w:numPr>
          <w:ilvl w:val="0"/>
          <w:numId w:val="3"/>
        </w:numPr>
        <w:rPr>
          <w:rFonts w:ascii="Arial" w:cs="Arial" w:eastAsia="Arial" w:hAnsi="Arial"/>
          <w:sz w:val="18"/>
          <w:szCs w:val="18"/>
          <w:color w:val="auto"/>
        </w:rPr>
      </w:pPr>
      <w:r>
        <w:rPr>
          <w:rFonts w:ascii="Arial" w:cs="Arial" w:eastAsia="Arial" w:hAnsi="Arial"/>
          <w:sz w:val="18"/>
          <w:szCs w:val="18"/>
          <w:color w:val="auto"/>
        </w:rPr>
        <w:t>Implement a strategy to respond to identified risk, including but not limited to, potential action to be taken against suppliers that do not respond to our requests or do not provide reasonable information to support our due diligence activities;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326390</wp:posOffset>
            </wp:positionV>
            <wp:extent cx="545211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452110" cy="26035"/>
                    </a:xfrm>
                    <a:prstGeom prst="rect">
                      <a:avLst/>
                    </a:prstGeom>
                    <a:noFill/>
                  </pic:spPr>
                </pic:pic>
              </a:graphicData>
            </a:graphic>
          </wp:anchor>
        </w:drawing>
      </w:r>
    </w:p>
    <w:p>
      <w:pPr>
        <w:sectPr>
          <w:pgSz w:w="11900" w:h="16838" w:orient="portrait"/>
          <w:cols w:equalWidth="0" w:num="1">
            <w:col w:w="9019"/>
          </w:cols>
          <w:pgMar w:left="1440" w:top="121" w:right="1440" w:bottom="1440" w:gutter="0" w:footer="0" w:header="0"/>
        </w:sectPr>
      </w:pPr>
    </w:p>
    <w:bookmarkStart w:id="10" w:name="page11"/>
    <w:bookmarkEnd w:id="10"/>
    <w:p>
      <w:pPr>
        <w:ind w:left="1180" w:right="239" w:hanging="323"/>
        <w:spacing w:after="0" w:line="258" w:lineRule="auto"/>
        <w:tabs>
          <w:tab w:leader="none" w:pos="1180" w:val="left"/>
        </w:tabs>
        <w:numPr>
          <w:ilvl w:val="0"/>
          <w:numId w:val="4"/>
        </w:numPr>
        <w:rPr>
          <w:rFonts w:ascii="Arial" w:cs="Arial" w:eastAsia="Arial" w:hAnsi="Arial"/>
          <w:sz w:val="17"/>
          <w:szCs w:val="17"/>
          <w:color w:val="auto"/>
        </w:rPr>
      </w:pPr>
      <w:r>
        <w:rPr>
          <w:rFonts w:ascii="Arial" w:cs="Arial" w:eastAsia="Arial" w:hAnsi="Arial"/>
          <w:sz w:val="17"/>
          <w:szCs w:val="17"/>
          <w:color w:val="auto"/>
        </w:rPr>
        <w:t>Engage any of our suppliers found to be supplying us with 3TGs from sourcing that support conflict in the Covered Countries to establish an alternative source of 3TGs that does not support such conflict.</w:t>
      </w:r>
    </w:p>
    <w:p>
      <w:pPr>
        <w:spacing w:after="0" w:line="143" w:lineRule="exact"/>
        <w:rPr>
          <w:sz w:val="20"/>
          <w:szCs w:val="20"/>
          <w:color w:val="auto"/>
        </w:rPr>
      </w:pPr>
    </w:p>
    <w:p>
      <w:pPr>
        <w:ind w:left="200"/>
        <w:spacing w:after="0"/>
        <w:rPr>
          <w:sz w:val="20"/>
          <w:szCs w:val="20"/>
          <w:color w:val="auto"/>
        </w:rPr>
      </w:pPr>
      <w:r>
        <w:rPr>
          <w:rFonts w:ascii="Arial" w:cs="Arial" w:eastAsia="Arial" w:hAnsi="Arial"/>
          <w:sz w:val="18"/>
          <w:szCs w:val="18"/>
          <w:b w:val="1"/>
          <w:bCs w:val="1"/>
          <w:u w:val="single" w:color="auto"/>
          <w:color w:val="auto"/>
        </w:rPr>
        <w:t>Appendix A</w:t>
      </w:r>
      <w:r>
        <w:rPr>
          <w:rFonts w:ascii="Arial" w:cs="Arial" w:eastAsia="Arial" w:hAnsi="Arial"/>
          <w:sz w:val="18"/>
          <w:szCs w:val="18"/>
          <w:b w:val="1"/>
          <w:bCs w:val="1"/>
          <w:color w:val="auto"/>
        </w:rPr>
        <w:t>:</w:t>
      </w:r>
    </w:p>
    <w:p>
      <w:pPr>
        <w:spacing w:after="0" w:line="202" w:lineRule="exact"/>
        <w:rPr>
          <w:sz w:val="20"/>
          <w:szCs w:val="20"/>
          <w:color w:val="auto"/>
        </w:rPr>
      </w:pPr>
    </w:p>
    <w:p>
      <w:pPr>
        <w:jc w:val="both"/>
        <w:ind w:left="200" w:right="219"/>
        <w:spacing w:after="0" w:line="241" w:lineRule="auto"/>
        <w:rPr>
          <w:sz w:val="20"/>
          <w:szCs w:val="20"/>
          <w:color w:val="auto"/>
        </w:rPr>
      </w:pPr>
      <w:r>
        <w:rPr>
          <w:rFonts w:ascii="Arial" w:cs="Arial" w:eastAsia="Arial" w:hAnsi="Arial"/>
          <w:sz w:val="18"/>
          <w:szCs w:val="18"/>
          <w:color w:val="auto"/>
        </w:rPr>
        <w:t>The table below lists, as of May 7, 2020, the smelters or refiners identified by our responsive suppliers that may have been used to process the conflict minerals necessary to the functionality or production of our products during 2019. As described above, this list may contain more facilities than are actually linked to the Company’s products. In addition, this list may not include all applicable facilities as not all of our suppliers were able to provide SOR information at this time.</w:t>
      </w:r>
    </w:p>
    <w:p>
      <w:pPr>
        <w:spacing w:after="0" w:line="184" w:lineRule="exact"/>
        <w:rPr>
          <w:sz w:val="20"/>
          <w:szCs w:val="20"/>
          <w:color w:val="auto"/>
        </w:rPr>
      </w:pPr>
    </w:p>
    <w:tbl>
      <w:tblPr>
        <w:tblLayout w:type="fixed"/>
        <w:tblInd w:w="230" w:type="dxa"/>
        <w:tblCellMar>
          <w:top w:w="0" w:type="dxa"/>
          <w:left w:w="0" w:type="dxa"/>
          <w:bottom w:w="0" w:type="dxa"/>
          <w:right w:w="0" w:type="dxa"/>
        </w:tblCellMar>
      </w:tblPr>
      <w:tr>
        <w:trPr>
          <w:trHeight w:val="216"/>
        </w:trPr>
        <w:tc>
          <w:tcPr>
            <w:tcW w:w="118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5"/>
              </w:rPr>
              <w:t>Metal</w:t>
            </w:r>
          </w:p>
        </w:tc>
        <w:tc>
          <w:tcPr>
            <w:tcW w:w="366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Standard Smelter Name</w:t>
            </w:r>
          </w:p>
        </w:tc>
        <w:tc>
          <w:tcPr>
            <w:tcW w:w="250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Smelter Facility Location</w:t>
            </w:r>
          </w:p>
        </w:tc>
        <w:tc>
          <w:tcPr>
            <w:tcW w:w="1260" w:type="dxa"/>
            <w:vAlign w:val="bottom"/>
            <w:tcBorders>
              <w:top w:val="single" w:sz="8" w:color="auto"/>
              <w:bottom w:val="single" w:sz="8" w:color="auto"/>
              <w:right w:val="single" w:sz="8" w:color="auto"/>
            </w:tcBorders>
          </w:tcPr>
          <w:p>
            <w:pPr>
              <w:ind w:left="200"/>
              <w:spacing w:after="0"/>
              <w:rPr>
                <w:sz w:val="20"/>
                <w:szCs w:val="20"/>
                <w:color w:val="auto"/>
              </w:rPr>
            </w:pPr>
            <w:r>
              <w:rPr>
                <w:rFonts w:ascii="Arial" w:cs="Arial" w:eastAsia="Arial" w:hAnsi="Arial"/>
                <w:sz w:val="18"/>
                <w:szCs w:val="18"/>
                <w:b w:val="1"/>
                <w:bCs w:val="1"/>
                <w:color w:val="auto"/>
              </w:rPr>
              <w:t>Smelter ID</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8853 S.p.A.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ITALY</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CID002763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Abington Reldan Metals, LLC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CID002708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Advanced Chemical Company</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CID000015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African Gold Refinery</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UGANDA</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CID003185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Aida Chemical Industries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CID000019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Al Etihad Gold Refinery DMCC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UNITED ARAB EMIRATES</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CID002560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Allgemeine Gold-und Silberscheideanstalt A.G.</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GERMANY</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CID000035</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94"/>
              </w:rPr>
              <w:t>Gold</w:t>
            </w:r>
          </w:p>
        </w:tc>
        <w:tc>
          <w:tcPr>
            <w:tcW w:w="366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5"/>
              </w:rPr>
              <w:t>Almalyk Mining and Metallurgical Complex</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7"/>
              </w:rPr>
              <w:t>UZBEKISTAN</w:t>
            </w:r>
          </w:p>
        </w:tc>
        <w:tc>
          <w:tcPr>
            <w:tcW w:w="1260" w:type="dxa"/>
            <w:vAlign w:val="bottom"/>
            <w:tcBorders>
              <w:right w:val="single" w:sz="8" w:color="auto"/>
            </w:tcBorders>
            <w:vMerge w:val="restart"/>
          </w:tcPr>
          <w:p>
            <w:pPr>
              <w:ind w:left="180"/>
              <w:spacing w:after="0"/>
              <w:rPr>
                <w:sz w:val="20"/>
                <w:szCs w:val="20"/>
                <w:color w:val="auto"/>
              </w:rPr>
            </w:pPr>
            <w:r>
              <w:rPr>
                <w:rFonts w:ascii="Arial" w:cs="Arial" w:eastAsia="Arial" w:hAnsi="Arial"/>
                <w:sz w:val="18"/>
                <w:szCs w:val="18"/>
                <w:color w:val="auto"/>
              </w:rPr>
              <w:t>CID000041</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rPr>
              <w:t>(AMMC)</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6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AngloGold Ashanti Corrego do Sitio Mineracao</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CID000058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Argor-Heraeus S.A.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SWITZERLAND</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CID000077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Asahi Pretec Corp.</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CID000082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Asahi Refining Canada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CANADA</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CID000924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Asahi Refining USA Inc.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CID000920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Asaka Riken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CID000090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Atasay Kuyumculuk Sanayi Ve Ticaret A.S.</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TURKEY</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CID000103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AU Traders and Refiners</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6"/>
              </w:rPr>
              <w:t>SOUTH AFRICA</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CID002850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Aurubis AG</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GERMANY</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CID000113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Bangalore Refinery</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INDIA</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CID002863</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94"/>
              </w:rPr>
              <w:t>Gold</w:t>
            </w:r>
          </w:p>
        </w:tc>
        <w:tc>
          <w:tcPr>
            <w:tcW w:w="366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1"/>
              </w:rPr>
              <w:t>Bangko Sentral ng Pilipinas (Central Bank of the</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5"/>
              </w:rPr>
              <w:t>PHILIPPINES</w:t>
            </w:r>
          </w:p>
        </w:tc>
        <w:tc>
          <w:tcPr>
            <w:tcW w:w="1260" w:type="dxa"/>
            <w:vAlign w:val="bottom"/>
            <w:tcBorders>
              <w:right w:val="single" w:sz="8" w:color="auto"/>
            </w:tcBorders>
            <w:vMerge w:val="restart"/>
          </w:tcPr>
          <w:p>
            <w:pPr>
              <w:ind w:left="180"/>
              <w:spacing w:after="0"/>
              <w:rPr>
                <w:sz w:val="20"/>
                <w:szCs w:val="20"/>
                <w:color w:val="auto"/>
              </w:rPr>
            </w:pPr>
            <w:r>
              <w:rPr>
                <w:rFonts w:ascii="Arial" w:cs="Arial" w:eastAsia="Arial" w:hAnsi="Arial"/>
                <w:sz w:val="18"/>
                <w:szCs w:val="18"/>
                <w:color w:val="auto"/>
              </w:rPr>
              <w:t>CID000128</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2"/>
              </w:rPr>
              <w:t>Philippines)</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6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6"/>
              </w:rPr>
              <w:t>Boliden AB</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SWEDEN</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CID000157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C. Hafner GmbH + Co. KG</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GERMANY</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CID000176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Caridad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MEXICO</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CID000180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CCR Refinery - Glencore Canada Corporation</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CANADA</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CID000185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Cendres + Metaux S.A.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SWITZERLAND</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CID000189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CGR Metalloys Pvt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INDIA</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CID003382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Chimet S.p.A.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ITALY</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CID000233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Chugai Mining</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CID000264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Daye Non-Ferrous Metals Mining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CHINA</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CID000343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Degussa Sonne / Mond Goldhandel GmbH</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GERMANY</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CID002867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6"/>
              </w:rPr>
              <w:t>Dijllah Gold Refinery FZC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UNITED ARAB EMIRATES</w:t>
            </w:r>
          </w:p>
        </w:tc>
        <w:tc>
          <w:tcPr>
            <w:tcW w:w="1260" w:type="dxa"/>
            <w:vAlign w:val="bottom"/>
            <w:tcBorders>
              <w:bottom w:val="single" w:sz="8" w:color="auto"/>
              <w:right w:val="single" w:sz="8" w:color="auto"/>
            </w:tcBorders>
          </w:tcPr>
          <w:p>
            <w:pPr>
              <w:ind w:left="180"/>
              <w:spacing w:after="0" w:line="196" w:lineRule="exact"/>
              <w:rPr>
                <w:sz w:val="20"/>
                <w:szCs w:val="20"/>
                <w:color w:val="auto"/>
              </w:rPr>
            </w:pPr>
            <w:r>
              <w:rPr>
                <w:rFonts w:ascii="Arial" w:cs="Arial" w:eastAsia="Arial" w:hAnsi="Arial"/>
                <w:sz w:val="18"/>
                <w:szCs w:val="18"/>
                <w:color w:val="auto"/>
              </w:rPr>
              <w:t>CID003348</w:t>
            </w:r>
          </w:p>
        </w:tc>
        <w:tc>
          <w:tcPr>
            <w:tcW w:w="0" w:type="dxa"/>
            <w:vAlign w:val="bottom"/>
          </w:tcPr>
          <w:p>
            <w:pPr>
              <w:spacing w:after="0"/>
              <w:rPr>
                <w:sz w:val="1"/>
                <w:szCs w:val="1"/>
                <w:color w:val="auto"/>
              </w:rPr>
            </w:pPr>
          </w:p>
        </w:tc>
      </w:tr>
      <w:tr>
        <w:trPr>
          <w:trHeight w:val="554"/>
        </w:trPr>
        <w:tc>
          <w:tcPr>
            <w:tcW w:w="1180" w:type="dxa"/>
            <w:vAlign w:val="bottom"/>
            <w:tcBorders>
              <w:bottom w:val="single" w:sz="8" w:color="auto"/>
            </w:tcBorders>
          </w:tcPr>
          <w:p>
            <w:pPr>
              <w:spacing w:after="0"/>
              <w:rPr>
                <w:sz w:val="24"/>
                <w:szCs w:val="24"/>
                <w:color w:val="auto"/>
              </w:rPr>
            </w:pPr>
          </w:p>
        </w:tc>
        <w:tc>
          <w:tcPr>
            <w:tcW w:w="366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112" w:right="1440" w:bottom="1440" w:gutter="0" w:footer="0" w:header="0"/>
        </w:sectPr>
      </w:pPr>
    </w:p>
    <w:bookmarkStart w:id="11" w:name="page12"/>
    <w:bookmarkEnd w:id="11"/>
    <w:p>
      <w:pPr>
        <w:spacing w:after="0" w:line="1" w:lineRule="exact"/>
        <w:rPr>
          <w:sz w:val="20"/>
          <w:szCs w:val="20"/>
          <w:color w:val="auto"/>
        </w:rPr>
      </w:pPr>
    </w:p>
    <w:tbl>
      <w:tblPr>
        <w:tblLayout w:type="fixed"/>
        <w:tblInd w:w="230" w:type="dxa"/>
        <w:tblCellMar>
          <w:top w:w="0" w:type="dxa"/>
          <w:left w:w="0" w:type="dxa"/>
          <w:bottom w:w="0" w:type="dxa"/>
          <w:right w:w="0" w:type="dxa"/>
        </w:tblCellMar>
      </w:tblPr>
      <w:tr>
        <w:trPr>
          <w:trHeight w:val="207"/>
        </w:trPr>
        <w:tc>
          <w:tcPr>
            <w:tcW w:w="1180" w:type="dxa"/>
            <w:vAlign w:val="bottom"/>
            <w:tcBorders>
              <w:left w:val="single" w:sz="8" w:color="auto"/>
              <w:bottom w:val="single" w:sz="8" w:color="auto"/>
              <w:right w:val="single" w:sz="8" w:color="auto"/>
            </w:tcBorders>
          </w:tcPr>
          <w:p>
            <w:pPr>
              <w:ind w:left="400"/>
              <w:spacing w:after="0"/>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DODUCO Contacts and Refining GmbH</w:t>
            </w:r>
          </w:p>
        </w:tc>
        <w:tc>
          <w:tcPr>
            <w:tcW w:w="25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GERMANY</w:t>
            </w:r>
          </w:p>
        </w:tc>
        <w:tc>
          <w:tcPr>
            <w:tcW w:w="1260" w:type="dxa"/>
            <w:vAlign w:val="bottom"/>
            <w:tcBorders>
              <w:bottom w:val="single" w:sz="8" w:color="auto"/>
              <w:right w:val="single" w:sz="8" w:color="auto"/>
            </w:tcBorders>
          </w:tcPr>
          <w:p>
            <w:pPr>
              <w:ind w:left="200"/>
              <w:spacing w:after="0"/>
              <w:rPr>
                <w:sz w:val="20"/>
                <w:szCs w:val="20"/>
                <w:color w:val="auto"/>
              </w:rPr>
            </w:pPr>
            <w:r>
              <w:rPr>
                <w:rFonts w:ascii="Arial" w:cs="Arial" w:eastAsia="Arial" w:hAnsi="Arial"/>
                <w:sz w:val="18"/>
                <w:szCs w:val="18"/>
                <w:color w:val="auto"/>
              </w:rPr>
              <w:t>CID000362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Dowa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CID000401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DS PRETECH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KOREA, REPUBLIC OF</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CID003195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DSC (Do Sung Corporation)</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KOREA, REPUBLIC OF</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CID000359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Eco-System Recycling Co., Ltd. East Plant</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CID000425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Emirates Gold DMCC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UNITED ARAB EMIRATES</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CID002561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Fujairah Gold FZC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UNITED ARAB EMIRATES</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CID002584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GCC Gujrat Gold Centre Pvt.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INDIA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CID002852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Geib Refining Corporation</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CID002459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Gold Refinery of Zijin Mining Group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CID002243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Great Wall Precious Metals Co., Ltd. of CBPM</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CID001909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Guangdong Jinding Gold Limited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CID002312</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400"/>
              <w:spacing w:after="0"/>
              <w:rPr>
                <w:sz w:val="20"/>
                <w:szCs w:val="20"/>
                <w:color w:val="auto"/>
              </w:rPr>
            </w:pPr>
            <w:r>
              <w:rPr>
                <w:rFonts w:ascii="Arial" w:cs="Arial" w:eastAsia="Arial" w:hAnsi="Arial"/>
                <w:sz w:val="18"/>
                <w:szCs w:val="18"/>
                <w:color w:val="auto"/>
              </w:rPr>
              <w:t>Gold</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2"/>
              </w:rPr>
              <w:t>Guoda Safina High-Tech Environmental Refinery</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CID000651</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3"/>
              </w:rPr>
              <w:t>Co., Ltd.</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Hangzhou Fuchunjiang Smelting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CID000671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Heimerle + Meule GmbH</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GERMANY</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CID000694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Heraeus Metals Hong Kong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CID000707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Heraeus Precious Metals GmbH &amp; Co. KG</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GERMANY</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CID000711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Hunan Chenzhou Mining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CID000767</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400"/>
              <w:spacing w:after="0"/>
              <w:rPr>
                <w:sz w:val="20"/>
                <w:szCs w:val="20"/>
                <w:color w:val="auto"/>
              </w:rPr>
            </w:pPr>
            <w:r>
              <w:rPr>
                <w:rFonts w:ascii="Arial" w:cs="Arial" w:eastAsia="Arial" w:hAnsi="Arial"/>
                <w:sz w:val="18"/>
                <w:szCs w:val="18"/>
                <w:color w:val="auto"/>
              </w:rPr>
              <w:t>Gold</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2"/>
              </w:rPr>
              <w:t>Hunan Guiyang yinxing Nonferrous Smelting</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CID000773</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3"/>
              </w:rPr>
              <w:t>Co., Ltd.</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HwaSeong CJ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KOREA, REPUBLIC OF</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CID000778</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400"/>
              <w:spacing w:after="0"/>
              <w:rPr>
                <w:sz w:val="20"/>
                <w:szCs w:val="20"/>
                <w:color w:val="auto"/>
              </w:rPr>
            </w:pPr>
            <w:r>
              <w:rPr>
                <w:rFonts w:ascii="Arial" w:cs="Arial" w:eastAsia="Arial" w:hAnsi="Arial"/>
                <w:sz w:val="18"/>
                <w:szCs w:val="18"/>
                <w:color w:val="auto"/>
              </w:rPr>
              <w:t>Gold</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2"/>
              </w:rPr>
              <w:t>Inner Mongolia Qiankun Gold and Silver</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CID000801</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Refinery Share Co., Ltd.</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International Precious Metal Refiners</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UNITED ARAB EMIRATES</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CID002562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Ishifuku Metal Industry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CID000807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Istanbul Gold Refinery</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TURKEY</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CID000814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Italpreziosi</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ITALY</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CID002765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Japan Mint</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CID000823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Jiangxi Copper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CID000855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9"/>
              </w:rPr>
              <w:t>JSC Uralelectromed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RUSSIAN FEDERATION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CID000929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JX Nippon Mining &amp; Metals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CID000937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Kaloti Precious Metals</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UNITED ARAB EMIRATES</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CID002563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Kazakhmys Smelting LLC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KAZAKHSTAN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CID000956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Kazzinc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KAZAKHSTAN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CID000957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Kennecott Utah Copper LLC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CID000969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KGHM Polska Miedz Spolka Akcyjna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7"/>
              </w:rPr>
              <w:t>POLAND</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CID002511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Kojima Chemicals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CID000981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Korea Zinc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KOREA, REPUBLIC OF</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CID002605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Kyrgyzaltyn JSC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KYRGYZSTAN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CID001029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Kyshtym Copper-Electrolytic Plant ZAO</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RUSSIAN FEDERATION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CID002865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L'azurde Company For Jewelry</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SAUDI ARABIA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CID001032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Lingbao Gold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CID001056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Lingbao Jinyuan Tonghui Refinery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CID001058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L'Orfebre S.A.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7"/>
              </w:rPr>
              <w:t>ANDORRA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CID002762</w:t>
            </w:r>
          </w:p>
        </w:tc>
        <w:tc>
          <w:tcPr>
            <w:tcW w:w="0" w:type="dxa"/>
            <w:vAlign w:val="bottom"/>
          </w:tcPr>
          <w:p>
            <w:pPr>
              <w:spacing w:after="0"/>
              <w:rPr>
                <w:sz w:val="1"/>
                <w:szCs w:val="1"/>
                <w:color w:val="auto"/>
              </w:rPr>
            </w:pPr>
          </w:p>
        </w:tc>
      </w:tr>
      <w:tr>
        <w:trPr>
          <w:trHeight w:val="554"/>
        </w:trPr>
        <w:tc>
          <w:tcPr>
            <w:tcW w:w="1180" w:type="dxa"/>
            <w:vAlign w:val="bottom"/>
            <w:tcBorders>
              <w:bottom w:val="single" w:sz="8" w:color="auto"/>
            </w:tcBorders>
          </w:tcPr>
          <w:p>
            <w:pPr>
              <w:spacing w:after="0"/>
              <w:rPr>
                <w:sz w:val="24"/>
                <w:szCs w:val="24"/>
                <w:color w:val="auto"/>
              </w:rPr>
            </w:pPr>
          </w:p>
        </w:tc>
        <w:tc>
          <w:tcPr>
            <w:tcW w:w="364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135" w:right="1440" w:bottom="1440" w:gutter="0" w:footer="0" w:header="0"/>
        </w:sectPr>
      </w:pPr>
    </w:p>
    <w:bookmarkStart w:id="12" w:name="page13"/>
    <w:bookmarkEnd w:id="12"/>
    <w:p>
      <w:pPr>
        <w:spacing w:after="0" w:line="1" w:lineRule="exact"/>
        <w:rPr>
          <w:sz w:val="20"/>
          <w:szCs w:val="20"/>
          <w:color w:val="auto"/>
        </w:rPr>
      </w:pPr>
    </w:p>
    <w:tbl>
      <w:tblPr>
        <w:tblLayout w:type="fixed"/>
        <w:tblInd w:w="230" w:type="dxa"/>
        <w:tblCellMar>
          <w:top w:w="0" w:type="dxa"/>
          <w:left w:w="0" w:type="dxa"/>
          <w:bottom w:w="0" w:type="dxa"/>
          <w:right w:w="0" w:type="dxa"/>
        </w:tblCellMar>
      </w:tblPr>
      <w:tr>
        <w:trPr>
          <w:trHeight w:val="207"/>
        </w:trPr>
        <w:tc>
          <w:tcPr>
            <w:tcW w:w="1180" w:type="dxa"/>
            <w:vAlign w:val="bottom"/>
            <w:tcBorders>
              <w:left w:val="single" w:sz="8" w:color="auto"/>
              <w:bottom w:val="single" w:sz="8" w:color="auto"/>
              <w:right w:val="single" w:sz="8" w:color="auto"/>
            </w:tcBorders>
          </w:tcPr>
          <w:p>
            <w:pPr>
              <w:ind w:left="400"/>
              <w:spacing w:after="0"/>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6"/>
              </w:rPr>
              <w:t>LS-NIKKO Copper Inc.</w:t>
            </w:r>
          </w:p>
        </w:tc>
        <w:tc>
          <w:tcPr>
            <w:tcW w:w="25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KOREA, REPUBLIC OF</w:t>
            </w:r>
          </w:p>
        </w:tc>
        <w:tc>
          <w:tcPr>
            <w:tcW w:w="1260" w:type="dxa"/>
            <w:vAlign w:val="bottom"/>
            <w:tcBorders>
              <w:bottom w:val="single" w:sz="8" w:color="auto"/>
              <w:right w:val="single" w:sz="8" w:color="auto"/>
            </w:tcBorders>
          </w:tcPr>
          <w:p>
            <w:pPr>
              <w:ind w:left="200"/>
              <w:spacing w:after="0"/>
              <w:rPr>
                <w:sz w:val="20"/>
                <w:szCs w:val="20"/>
                <w:color w:val="auto"/>
              </w:rPr>
            </w:pPr>
            <w:r>
              <w:rPr>
                <w:rFonts w:ascii="Arial" w:cs="Arial" w:eastAsia="Arial" w:hAnsi="Arial"/>
                <w:sz w:val="18"/>
                <w:szCs w:val="18"/>
                <w:color w:val="auto"/>
              </w:rPr>
              <w:t>CID001078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LT Metal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KOREA, REPUBLIC OF</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CID000689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Luoyang Zijin Yinhui Gold Refinery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CID001093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Marsam Metals</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CID002606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Materion</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CID001113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Matsuda Sangyo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CID001119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Metalor Technologies (Hong Kong)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CID001149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Metalor Technologies (Singapore) Pte.,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SINGAPORE</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CID001152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Metalor Technologies (Suzhou)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CID001147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Metalor Technologies S.A.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SWITZERLAND</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CID001153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Metalor USA Refining Corporation</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CID001157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Metalurgica Met-Mex Penoles S.A. De C.V.</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MEXICO</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CID001161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Mitsubishi Materials Corporation</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CID001188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Mitsui Mining and Smelting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CID001193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MMTC-PAMP India Pvt.,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INDIA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CID002509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Modeltech Sdn Bhd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MALAYSIA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CID002857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Morris and Watson</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NEW ZEALAND</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CID002282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Moscow Special Alloys Processing Plant</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RUSSIAN FEDERATION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CID001204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Nadir Metal Rafineri San. Ve Tic. A.S.</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TURKEY</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CID001220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Navoi Mining and Metallurgical Combinat</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UZBEKISTAN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CID001236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NH Recytech Company</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KOREA, REPUBLIC OF</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CID003189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Nihon Material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CID001259</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400"/>
              <w:spacing w:after="0"/>
              <w:rPr>
                <w:sz w:val="20"/>
                <w:szCs w:val="20"/>
                <w:color w:val="auto"/>
              </w:rPr>
            </w:pPr>
            <w:r>
              <w:rPr>
                <w:rFonts w:ascii="Arial" w:cs="Arial" w:eastAsia="Arial" w:hAnsi="Arial"/>
                <w:sz w:val="18"/>
                <w:szCs w:val="18"/>
                <w:color w:val="auto"/>
              </w:rPr>
              <w:t>Gold</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0"/>
              </w:rPr>
              <w:t>Ogussa Osterreichische Gold- und Silber-</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AUSTRIA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CID002779</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9"/>
              </w:rPr>
              <w:t>Scheideanstalt GmbH</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Ohura Precious Metal Industry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CID001325</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400"/>
              <w:spacing w:after="0"/>
              <w:rPr>
                <w:sz w:val="20"/>
                <w:szCs w:val="20"/>
                <w:color w:val="auto"/>
              </w:rPr>
            </w:pPr>
            <w:r>
              <w:rPr>
                <w:rFonts w:ascii="Arial" w:cs="Arial" w:eastAsia="Arial" w:hAnsi="Arial"/>
                <w:sz w:val="18"/>
                <w:szCs w:val="18"/>
                <w:color w:val="auto"/>
              </w:rPr>
              <w:t>Gold</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1"/>
              </w:rPr>
              <w:t>OJSC "The Gulidov Krasnoyarsk Non-Ferrous</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5"/>
              </w:rPr>
              <w:t>RUSSIAN FEDERATION</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CID001326</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Metals Plant" (OJSC Krastsvetmet)</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OJSC Novosibirsk Refinery</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RUSSIAN FEDERATION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CID000493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PAMP S.A.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SWITZERLAND</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CID001352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Pease &amp; Curren</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CID002872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Penglai Penggang Gold Industry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CID001362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8"/>
              </w:rPr>
              <w:t>Planta Recuperadora de Metales SpA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CHILE</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CID002919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Prioksky Plant of Non-Ferrous Metals</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RUSSIAN FEDERATION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CID001386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PT Aneka Tambang (Persero) Tbk</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INDONESIA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CID001397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PX Precinox S.A.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SWITZERLAND</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CID001498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QG Refining, LLC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CID003324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Rand Refinery (Pty)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6"/>
              </w:rPr>
              <w:t>SOUTH AFRICA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CID001512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Refinery of Seemine Gold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CID000522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REMONDIS PMR B.V.</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NETHERLANDS</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CID002582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Royal Canadian Mint</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CANADA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CID001534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SAAMP</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7"/>
              </w:rPr>
              <w:t>FRANCE</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CID002761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00"/>
              <w:spacing w:after="0" w:line="196" w:lineRule="exact"/>
              <w:rPr>
                <w:sz w:val="20"/>
                <w:szCs w:val="20"/>
                <w:color w:val="auto"/>
              </w:rPr>
            </w:pPr>
            <w:r>
              <w:rPr>
                <w:rFonts w:ascii="Arial" w:cs="Arial" w:eastAsia="Arial" w:hAnsi="Arial"/>
                <w:sz w:val="18"/>
                <w:szCs w:val="18"/>
                <w:color w:val="auto"/>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Sabin Metal Corp.</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CID001546</w:t>
            </w:r>
          </w:p>
        </w:tc>
        <w:tc>
          <w:tcPr>
            <w:tcW w:w="0" w:type="dxa"/>
            <w:vAlign w:val="bottom"/>
          </w:tcPr>
          <w:p>
            <w:pPr>
              <w:spacing w:after="0"/>
              <w:rPr>
                <w:sz w:val="1"/>
                <w:szCs w:val="1"/>
                <w:color w:val="auto"/>
              </w:rPr>
            </w:pPr>
          </w:p>
        </w:tc>
      </w:tr>
      <w:tr>
        <w:trPr>
          <w:trHeight w:val="554"/>
        </w:trPr>
        <w:tc>
          <w:tcPr>
            <w:tcW w:w="1180" w:type="dxa"/>
            <w:vAlign w:val="bottom"/>
            <w:tcBorders>
              <w:bottom w:val="single" w:sz="8" w:color="auto"/>
            </w:tcBorders>
          </w:tcPr>
          <w:p>
            <w:pPr>
              <w:spacing w:after="0"/>
              <w:rPr>
                <w:sz w:val="24"/>
                <w:szCs w:val="24"/>
                <w:color w:val="auto"/>
              </w:rPr>
            </w:pPr>
          </w:p>
        </w:tc>
        <w:tc>
          <w:tcPr>
            <w:tcW w:w="364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135" w:right="1440" w:bottom="1440" w:gutter="0" w:footer="0" w:header="0"/>
        </w:sectPr>
      </w:pPr>
    </w:p>
    <w:bookmarkStart w:id="13" w:name="page14"/>
    <w:bookmarkEnd w:id="13"/>
    <w:p>
      <w:pPr>
        <w:spacing w:after="0" w:line="1" w:lineRule="exact"/>
        <w:rPr>
          <w:sz w:val="20"/>
          <w:szCs w:val="20"/>
          <w:color w:val="auto"/>
        </w:rPr>
      </w:pPr>
    </w:p>
    <w:tbl>
      <w:tblPr>
        <w:tblLayout w:type="fixed"/>
        <w:tblInd w:w="230" w:type="dxa"/>
        <w:tblCellMar>
          <w:top w:w="0" w:type="dxa"/>
          <w:left w:w="0" w:type="dxa"/>
          <w:bottom w:w="0" w:type="dxa"/>
          <w:right w:w="0" w:type="dxa"/>
        </w:tblCellMar>
      </w:tblPr>
      <w:tr>
        <w:trPr>
          <w:trHeight w:val="207"/>
        </w:trPr>
        <w:tc>
          <w:tcPr>
            <w:tcW w:w="118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Safimet S.p.A</w:t>
            </w:r>
          </w:p>
        </w:tc>
        <w:tc>
          <w:tcPr>
            <w:tcW w:w="25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ITALY</w:t>
            </w:r>
          </w:p>
        </w:tc>
        <w:tc>
          <w:tcPr>
            <w:tcW w:w="1260" w:type="dxa"/>
            <w:vAlign w:val="bottom"/>
            <w:tcBorders>
              <w:bottom w:val="single" w:sz="8" w:color="auto"/>
              <w:right w:val="single" w:sz="8" w:color="auto"/>
            </w:tcBorders>
          </w:tcPr>
          <w:p>
            <w:pPr>
              <w:ind w:left="200"/>
              <w:spacing w:after="0"/>
              <w:rPr>
                <w:sz w:val="20"/>
                <w:szCs w:val="20"/>
                <w:color w:val="auto"/>
              </w:rPr>
            </w:pPr>
            <w:r>
              <w:rPr>
                <w:rFonts w:ascii="Arial" w:cs="Arial" w:eastAsia="Arial" w:hAnsi="Arial"/>
                <w:sz w:val="18"/>
                <w:szCs w:val="18"/>
                <w:color w:val="auto"/>
              </w:rPr>
              <w:t>CID002973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Sai Refinery</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INDIA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CID002853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Samduck Precious Metals</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KOREA, REPUBLIC OF</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CID001555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Samwon Metals Corp.</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KOREA, REPUBLIC OF</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CID001562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SAXONIA Edelmetalle GmbH</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GERMANY</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CID002777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SEMPSA Joyeria Plateria S.A.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SPAIN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CID001585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Shandong Humon Smelting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CID002525</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94"/>
              </w:rPr>
              <w:t>Gold</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1"/>
              </w:rPr>
              <w:t>Shandong Tiancheng Biological Gold Industrial</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CID001619</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3"/>
              </w:rPr>
              <w:t>Co., Ltd.</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94"/>
              </w:rPr>
              <w:t>Gold</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2"/>
              </w:rPr>
              <w:t>Shandong Zhaojin Gold &amp; Silver Refinery Co.,</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CID001622</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3"/>
              </w:rPr>
              <w:t>Ltd.</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Sichuan Tianze Precious Metals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CID001736</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94"/>
              </w:rPr>
              <w:t>Gold</w:t>
            </w: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Singway Technology Co., Ltd.</w:t>
            </w:r>
          </w:p>
        </w:tc>
        <w:tc>
          <w:tcPr>
            <w:tcW w:w="250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6"/>
              </w:rPr>
              <w:t>TAIWAN, PROVINCE OF</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CID002516</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continue"/>
          </w:tcPr>
          <w:p>
            <w:pPr>
              <w:spacing w:after="0"/>
              <w:rPr>
                <w:sz w:val="10"/>
                <w:szCs w:val="10"/>
                <w:color w:val="auto"/>
              </w:rPr>
            </w:pP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tcPr>
          <w:p>
            <w:pPr>
              <w:spacing w:after="0"/>
              <w:rPr>
                <w:sz w:val="8"/>
                <w:szCs w:val="8"/>
                <w:color w:val="auto"/>
              </w:rPr>
            </w:pPr>
          </w:p>
        </w:tc>
        <w:tc>
          <w:tcPr>
            <w:tcW w:w="2500" w:type="dxa"/>
            <w:vAlign w:val="bottom"/>
            <w:tcBorders>
              <w:bottom w:val="single" w:sz="8" w:color="auto"/>
              <w:right w:val="single" w:sz="8" w:color="auto"/>
            </w:tcBorders>
            <w:vMerge w:val="continue"/>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94"/>
              </w:rPr>
              <w:t>Gold</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1"/>
              </w:rPr>
              <w:t>SOE Shyolkovsky Factory of Secondary Precious</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5"/>
              </w:rPr>
              <w:t>RUSSIAN FEDERATION</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CID001756</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0"/>
              </w:rPr>
              <w:t>Metals</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94"/>
              </w:rPr>
              <w:t>Gold</w:t>
            </w: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2"/>
              </w:rPr>
              <w:t>Solar Applied Materials Technology Corp.</w:t>
            </w:r>
          </w:p>
        </w:tc>
        <w:tc>
          <w:tcPr>
            <w:tcW w:w="250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6"/>
              </w:rPr>
              <w:t>TAIWAN, PROVINCE OF</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CID001761</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continue"/>
          </w:tcPr>
          <w:p>
            <w:pPr>
              <w:spacing w:after="0"/>
              <w:rPr>
                <w:sz w:val="10"/>
                <w:szCs w:val="10"/>
                <w:color w:val="auto"/>
              </w:rPr>
            </w:pP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tcPr>
          <w:p>
            <w:pPr>
              <w:spacing w:after="0"/>
              <w:rPr>
                <w:sz w:val="8"/>
                <w:szCs w:val="8"/>
                <w:color w:val="auto"/>
              </w:rPr>
            </w:pPr>
          </w:p>
        </w:tc>
        <w:tc>
          <w:tcPr>
            <w:tcW w:w="2500" w:type="dxa"/>
            <w:vAlign w:val="bottom"/>
            <w:tcBorders>
              <w:bottom w:val="single" w:sz="8" w:color="auto"/>
              <w:right w:val="single" w:sz="8" w:color="auto"/>
            </w:tcBorders>
            <w:vMerge w:val="continue"/>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Sovereign Metals</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INDIA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CID003383</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94"/>
              </w:rPr>
              <w:t>Gold</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89"/>
              </w:rPr>
              <w:t>State Research Institute Center for Physical</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rPr>
              <w:t>LITHUANIA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CID003153</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9"/>
              </w:rPr>
              <w:t>Sciences and Technology</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Sumitomo Metal Mining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CID001798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SungEel HiMetal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KOREA, REPUBLIC OF</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CID002918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T.C.A S.p.A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ITALY</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CID002580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Tanaka Kikinzoku Kogyo K.K.</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CID001875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The Refinery of Shandong Gold Mining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CID001916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Tokuriki Honten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CID001938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Tongling Nonferrous Metals Group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CID001947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Tony Goetz NV</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BELGIUM</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CID002587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TOO Tau-Ken-Altyn</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KAZAKHSTAN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CID002615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Torecom</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KOREA, REPUBLIC OF</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CID001955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Umicore Brasil Ltda.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CID001977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Umicore Precious Metals Thailand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THAILAND</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CID002314</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94"/>
              </w:rPr>
              <w:t>Gold</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1"/>
              </w:rPr>
              <w:t>Umicore S.A. Business Unit Precious Metals</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rPr>
              <w:t>BELGIUM</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CID001980</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6"/>
              </w:rPr>
              <w:t>Refining</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United Precious Metal Refining, Inc.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CID001993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Valcambi S.A.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SWITZERLAND</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CID002003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Western Australian Mint (T/a The Perth Mint)</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AUSTRALIA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CID002030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WIELAND Edelmetalle GmbH</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GERMANY</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CID002778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Yamakin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CID002100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Yokohama Metal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CID002129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Gold</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Yunnan Copper Industry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CID000197</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94"/>
              </w:rPr>
              <w:t>Gold</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2"/>
              </w:rPr>
              <w:t>Zhongyuan Gold Smelter of Zhongjin Gold</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CID002224</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3"/>
              </w:rPr>
              <w:t>Corporation</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Asaka Riken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CID000092</w:t>
            </w:r>
          </w:p>
        </w:tc>
        <w:tc>
          <w:tcPr>
            <w:tcW w:w="0" w:type="dxa"/>
            <w:vAlign w:val="bottom"/>
          </w:tcPr>
          <w:p>
            <w:pPr>
              <w:spacing w:after="0"/>
              <w:rPr>
                <w:sz w:val="1"/>
                <w:szCs w:val="1"/>
                <w:color w:val="auto"/>
              </w:rPr>
            </w:pPr>
          </w:p>
        </w:tc>
      </w:tr>
      <w:tr>
        <w:trPr>
          <w:trHeight w:val="554"/>
        </w:trPr>
        <w:tc>
          <w:tcPr>
            <w:tcW w:w="1180" w:type="dxa"/>
            <w:vAlign w:val="bottom"/>
            <w:tcBorders>
              <w:bottom w:val="single" w:sz="8" w:color="auto"/>
            </w:tcBorders>
          </w:tcPr>
          <w:p>
            <w:pPr>
              <w:spacing w:after="0"/>
              <w:rPr>
                <w:sz w:val="24"/>
                <w:szCs w:val="24"/>
                <w:color w:val="auto"/>
              </w:rPr>
            </w:pPr>
          </w:p>
        </w:tc>
        <w:tc>
          <w:tcPr>
            <w:tcW w:w="364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135" w:right="1440" w:bottom="1440" w:gutter="0" w:footer="0" w:header="0"/>
        </w:sectPr>
      </w:pPr>
    </w:p>
    <w:bookmarkStart w:id="14" w:name="page15"/>
    <w:bookmarkEnd w:id="14"/>
    <w:p>
      <w:pPr>
        <w:spacing w:after="0" w:line="1" w:lineRule="exact"/>
        <w:rPr>
          <w:sz w:val="20"/>
          <w:szCs w:val="20"/>
          <w:color w:val="auto"/>
        </w:rPr>
      </w:pPr>
    </w:p>
    <w:tbl>
      <w:tblPr>
        <w:tblLayout w:type="fixed"/>
        <w:tblInd w:w="230" w:type="dxa"/>
        <w:tblCellMar>
          <w:top w:w="0" w:type="dxa"/>
          <w:left w:w="0" w:type="dxa"/>
          <w:bottom w:w="0" w:type="dxa"/>
          <w:right w:w="0" w:type="dxa"/>
        </w:tblCellMar>
      </w:tblPr>
      <w:tr>
        <w:trPr>
          <w:trHeight w:val="207"/>
        </w:trPr>
        <w:tc>
          <w:tcPr>
            <w:tcW w:w="1180" w:type="dxa"/>
            <w:vAlign w:val="bottom"/>
            <w:tcBorders>
              <w:left w:val="single" w:sz="8" w:color="auto"/>
              <w:bottom w:val="single" w:sz="8" w:color="auto"/>
              <w:right w:val="single" w:sz="8" w:color="auto"/>
            </w:tcBorders>
          </w:tcPr>
          <w:p>
            <w:pPr>
              <w:ind w:left="240"/>
              <w:spacing w:after="0"/>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Changsha South Tantalum Niobium Co., Ltd.</w:t>
            </w:r>
          </w:p>
        </w:tc>
        <w:tc>
          <w:tcPr>
            <w:tcW w:w="25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rPr>
                <w:sz w:val="20"/>
                <w:szCs w:val="20"/>
                <w:color w:val="auto"/>
              </w:rPr>
            </w:pPr>
            <w:r>
              <w:rPr>
                <w:rFonts w:ascii="Arial" w:cs="Arial" w:eastAsia="Arial" w:hAnsi="Arial"/>
                <w:sz w:val="18"/>
                <w:szCs w:val="18"/>
                <w:color w:val="auto"/>
              </w:rPr>
              <w:t>CID000211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CP Metals Inc.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CID003402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D Block Metals, LLC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CID002504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Exotech Inc.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CID000456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F&amp;X Electro-Materials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CID000460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FIR Metals &amp; Resource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CID002505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Global Advanced Metals Aizu</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CID002558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Global Advanced Metals Boyertown</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CID002557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Guangdong Zhiyuan New Material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CID000616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H.C. Starck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THAILAND</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CID002544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H.C. Starck Hermsdorf GmbH</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GERMANY</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CID002547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H.C. Starck Inc.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CID002548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H.C. Starck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CID002549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H.C. Starck Smelting GmbH &amp; Co. KG</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GERMANY</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CID002550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H.C. Starck Tantalum and Niobium GmbH</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GERMANY</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CID002545</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240"/>
              <w:spacing w:after="0"/>
              <w:rPr>
                <w:sz w:val="20"/>
                <w:szCs w:val="20"/>
                <w:color w:val="auto"/>
              </w:rPr>
            </w:pPr>
            <w:r>
              <w:rPr>
                <w:rFonts w:ascii="Arial" w:cs="Arial" w:eastAsia="Arial" w:hAnsi="Arial"/>
                <w:sz w:val="18"/>
                <w:szCs w:val="18"/>
                <w:color w:val="auto"/>
              </w:rPr>
              <w:t>Tantalum</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3"/>
              </w:rPr>
              <w:t>Hengyang King Xing Lifeng New Materials Co.,</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CID002492</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3"/>
              </w:rPr>
              <w:t>Ltd.</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Jiangxi Dinghai Tantalum &amp; Niobium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CID002512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Jiangxi Tuohong New Raw Material</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CID002842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JiuJiang JinXin Nonferrous Metals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CID000914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Jiujiang Tanbre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CID000917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Jiujiang Zhongao Tantalum &amp; Niobium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CID002506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KEMET Blue Metals</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MEXICO</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CID002539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LSM Brasil S.A.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CID001076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Metallurgical Products India Pvt.,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INDIA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CID001163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9"/>
              </w:rPr>
              <w:t>Mineracao Taboca S.A.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CID001175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Mitsui Mining and Smelting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CID001192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Ningxia Orient Tantalum Industry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CID001277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NPM Silmet AS</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6"/>
              </w:rPr>
              <w:t>ESTONIA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CID001200</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240"/>
              <w:spacing w:after="0"/>
              <w:rPr>
                <w:sz w:val="20"/>
                <w:szCs w:val="20"/>
                <w:color w:val="auto"/>
              </w:rPr>
            </w:pPr>
            <w:r>
              <w:rPr>
                <w:rFonts w:ascii="Arial" w:cs="Arial" w:eastAsia="Arial" w:hAnsi="Arial"/>
                <w:sz w:val="18"/>
                <w:szCs w:val="18"/>
                <w:color w:val="auto"/>
              </w:rPr>
              <w:t>Tantalum</w:t>
            </w: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2"/>
              </w:rPr>
              <w:t>PRG Dooel</w:t>
            </w:r>
          </w:p>
        </w:tc>
        <w:tc>
          <w:tcPr>
            <w:tcW w:w="250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8"/>
              </w:rPr>
              <w:t>NORTH MACEDONIA,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CID002847</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continue"/>
          </w:tcPr>
          <w:p>
            <w:pPr>
              <w:spacing w:after="0"/>
              <w:rPr>
                <w:sz w:val="10"/>
                <w:szCs w:val="10"/>
                <w:color w:val="auto"/>
              </w:rPr>
            </w:pP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4"/>
              </w:rPr>
              <w:t>REPUBLIC OF</w:t>
            </w: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tcPr>
          <w:p>
            <w:pPr>
              <w:spacing w:after="0"/>
              <w:rPr>
                <w:sz w:val="8"/>
                <w:szCs w:val="8"/>
                <w:color w:val="auto"/>
              </w:rPr>
            </w:pPr>
          </w:p>
        </w:tc>
        <w:tc>
          <w:tcPr>
            <w:tcW w:w="2500" w:type="dxa"/>
            <w:vAlign w:val="bottom"/>
            <w:tcBorders>
              <w:bottom w:val="single" w:sz="8" w:color="auto"/>
              <w:right w:val="single" w:sz="8" w:color="auto"/>
            </w:tcBorders>
            <w:vMerge w:val="continue"/>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9"/>
              </w:rPr>
              <w:t>QuantumClean</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CID001508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Resind Industria e Comercio Ltda.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CID002707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Solikamsk Magnesium Works OAO</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RUSSIAN FEDERATION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CID001769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Taki Chemical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CID001869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Telex Metals</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CID001891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Ulba Metallurgical Plant JSC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KAZAKHSTAN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CID001969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XinXing HaoRong Electronic Material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CID002508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Tantalum</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Yanling Jincheng Tantalum &amp; Niobium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CID001522</w:t>
            </w:r>
          </w:p>
        </w:tc>
        <w:tc>
          <w:tcPr>
            <w:tcW w:w="0" w:type="dxa"/>
            <w:vAlign w:val="bottom"/>
          </w:tcPr>
          <w:p>
            <w:pPr>
              <w:spacing w:after="0"/>
              <w:rPr>
                <w:sz w:val="1"/>
                <w:szCs w:val="1"/>
                <w:color w:val="auto"/>
              </w:rPr>
            </w:pPr>
          </w:p>
        </w:tc>
      </w:tr>
      <w:tr>
        <w:trPr>
          <w:trHeight w:val="554"/>
        </w:trPr>
        <w:tc>
          <w:tcPr>
            <w:tcW w:w="1180" w:type="dxa"/>
            <w:vAlign w:val="bottom"/>
            <w:tcBorders>
              <w:bottom w:val="single" w:sz="8" w:color="auto"/>
            </w:tcBorders>
          </w:tcPr>
          <w:p>
            <w:pPr>
              <w:spacing w:after="0"/>
              <w:rPr>
                <w:sz w:val="24"/>
                <w:szCs w:val="24"/>
                <w:color w:val="auto"/>
              </w:rPr>
            </w:pPr>
          </w:p>
        </w:tc>
        <w:tc>
          <w:tcPr>
            <w:tcW w:w="364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135" w:right="1440" w:bottom="1440" w:gutter="0" w:footer="0" w:header="0"/>
        </w:sectPr>
      </w:pPr>
    </w:p>
    <w:bookmarkStart w:id="15" w:name="page16"/>
    <w:bookmarkEnd w:id="15"/>
    <w:p>
      <w:pPr>
        <w:spacing w:after="0" w:line="1" w:lineRule="exact"/>
        <w:rPr>
          <w:sz w:val="20"/>
          <w:szCs w:val="20"/>
          <w:color w:val="auto"/>
        </w:rPr>
      </w:pPr>
    </w:p>
    <w:tbl>
      <w:tblPr>
        <w:tblLayout w:type="fixed"/>
        <w:tblInd w:w="230" w:type="dxa"/>
        <w:tblCellMar>
          <w:top w:w="0" w:type="dxa"/>
          <w:left w:w="0" w:type="dxa"/>
          <w:bottom w:w="0" w:type="dxa"/>
          <w:right w:w="0" w:type="dxa"/>
        </w:tblCellMar>
      </w:tblPr>
      <w:tr>
        <w:trPr>
          <w:trHeight w:val="207"/>
        </w:trPr>
        <w:tc>
          <w:tcPr>
            <w:tcW w:w="1180" w:type="dxa"/>
            <w:vAlign w:val="bottom"/>
            <w:tcBorders>
              <w:left w:val="single" w:sz="8" w:color="auto"/>
              <w:bottom w:val="single" w:sz="8" w:color="auto"/>
              <w:right w:val="single" w:sz="8" w:color="auto"/>
            </w:tcBorders>
          </w:tcPr>
          <w:p>
            <w:pPr>
              <w:ind w:left="460"/>
              <w:spacing w:after="0"/>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Alpha</w:t>
            </w:r>
          </w:p>
        </w:tc>
        <w:tc>
          <w:tcPr>
            <w:tcW w:w="25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rPr>
                <w:sz w:val="20"/>
                <w:szCs w:val="20"/>
                <w:color w:val="auto"/>
              </w:rPr>
            </w:pPr>
            <w:r>
              <w:rPr>
                <w:rFonts w:ascii="Arial" w:cs="Arial" w:eastAsia="Arial" w:hAnsi="Arial"/>
                <w:sz w:val="18"/>
                <w:szCs w:val="18"/>
                <w:color w:val="auto"/>
              </w:rPr>
              <w:t>CID000292</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460"/>
              <w:spacing w:after="0"/>
              <w:rPr>
                <w:sz w:val="20"/>
                <w:szCs w:val="20"/>
                <w:color w:val="auto"/>
              </w:rPr>
            </w:pPr>
            <w:r>
              <w:rPr>
                <w:rFonts w:ascii="Arial" w:cs="Arial" w:eastAsia="Arial" w:hAnsi="Arial"/>
                <w:sz w:val="18"/>
                <w:szCs w:val="18"/>
                <w:color w:val="auto"/>
              </w:rPr>
              <w:t>Tin</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2"/>
              </w:rPr>
              <w:t>An Vinh Joint Stock Mineral Processing</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rPr>
              <w:t>VIET NAM</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CID002703</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0"/>
              </w:rPr>
              <w:t>Company</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460"/>
              <w:spacing w:after="0"/>
              <w:rPr>
                <w:sz w:val="20"/>
                <w:szCs w:val="20"/>
                <w:color w:val="auto"/>
              </w:rPr>
            </w:pPr>
            <w:r>
              <w:rPr>
                <w:rFonts w:ascii="Arial" w:cs="Arial" w:eastAsia="Arial" w:hAnsi="Arial"/>
                <w:sz w:val="18"/>
                <w:szCs w:val="18"/>
                <w:color w:val="auto"/>
              </w:rPr>
              <w:t>Tin</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2"/>
              </w:rPr>
              <w:t>Chenzhou Yunxiang Mining and Metallurgy Co.,</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CID000228</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3"/>
              </w:rPr>
              <w:t>Ltd.</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Chifeng Dajingzi Tin Industry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CID003190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China Tin Group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CID001070</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460"/>
              <w:spacing w:after="0"/>
              <w:rPr>
                <w:sz w:val="20"/>
                <w:szCs w:val="20"/>
                <w:color w:val="auto"/>
              </w:rPr>
            </w:pPr>
            <w:r>
              <w:rPr>
                <w:rFonts w:ascii="Arial" w:cs="Arial" w:eastAsia="Arial" w:hAnsi="Arial"/>
                <w:sz w:val="18"/>
                <w:szCs w:val="18"/>
                <w:color w:val="auto"/>
              </w:rPr>
              <w:t>Tin</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2"/>
              </w:rPr>
              <w:t>Dongguan CiEXPO Environmental Engineering</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CID003356</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3"/>
              </w:rPr>
              <w:t>Co., Ltd.</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Dowa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CID000402</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460"/>
              <w:spacing w:after="0"/>
              <w:rPr>
                <w:sz w:val="20"/>
                <w:szCs w:val="20"/>
                <w:color w:val="auto"/>
              </w:rPr>
            </w:pPr>
            <w:r>
              <w:rPr>
                <w:rFonts w:ascii="Arial" w:cs="Arial" w:eastAsia="Arial" w:hAnsi="Arial"/>
                <w:sz w:val="18"/>
                <w:szCs w:val="18"/>
                <w:color w:val="auto"/>
              </w:rPr>
              <w:t>Tin</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2"/>
              </w:rPr>
              <w:t>Electro-Mechanical Facility of the Cao Bang</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rPr>
              <w:t>VIET NAM</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CID002572</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3"/>
              </w:rPr>
              <w:t>Minerals &amp; Metallurgy Joint Stock Company</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460"/>
              <w:spacing w:after="0"/>
              <w:rPr>
                <w:sz w:val="20"/>
                <w:szCs w:val="20"/>
                <w:color w:val="auto"/>
              </w:rPr>
            </w:pPr>
            <w:r>
              <w:rPr>
                <w:rFonts w:ascii="Arial" w:cs="Arial" w:eastAsia="Arial" w:hAnsi="Arial"/>
                <w:sz w:val="18"/>
                <w:szCs w:val="18"/>
                <w:color w:val="auto"/>
              </w:rPr>
              <w:t>Tin</w:t>
            </w: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8"/>
              </w:rPr>
              <w:t>EM Vinto</w:t>
            </w:r>
          </w:p>
        </w:tc>
        <w:tc>
          <w:tcPr>
            <w:tcW w:w="250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rPr>
              <w:t>BOLIVIA (PLURINATIONAL</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CID000438</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continue"/>
          </w:tcPr>
          <w:p>
            <w:pPr>
              <w:spacing w:after="0"/>
              <w:rPr>
                <w:sz w:val="10"/>
                <w:szCs w:val="10"/>
                <w:color w:val="auto"/>
              </w:rPr>
            </w:pP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STATE OF)</w:t>
            </w: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tcPr>
          <w:p>
            <w:pPr>
              <w:spacing w:after="0"/>
              <w:rPr>
                <w:sz w:val="8"/>
                <w:szCs w:val="8"/>
                <w:color w:val="auto"/>
              </w:rPr>
            </w:pPr>
          </w:p>
        </w:tc>
        <w:tc>
          <w:tcPr>
            <w:tcW w:w="2500" w:type="dxa"/>
            <w:vAlign w:val="bottom"/>
            <w:tcBorders>
              <w:bottom w:val="single" w:sz="8" w:color="auto"/>
              <w:right w:val="single" w:sz="8" w:color="auto"/>
            </w:tcBorders>
            <w:vMerge w:val="continue"/>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Estanho de Rondonia S.A.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CID000448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Fenix Metals</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7"/>
              </w:rPr>
              <w:t>POLAND</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CID000468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Gejiu Kai Meng Industry and Trade LLC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CID000942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Gejiu Non-Ferrous Metal Processing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CID000538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Gejiu Yunxin Nonferrous Electrolysis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CID001908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6"/>
              </w:rPr>
              <w:t>Gejiu Zili Mining And Metallurgy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CID000555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Guangdong Hanhe Non-Ferrous Metal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CID003116</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460"/>
              <w:spacing w:after="0"/>
              <w:rPr>
                <w:sz w:val="20"/>
                <w:szCs w:val="20"/>
                <w:color w:val="auto"/>
              </w:rPr>
            </w:pPr>
            <w:r>
              <w:rPr>
                <w:rFonts w:ascii="Arial" w:cs="Arial" w:eastAsia="Arial" w:hAnsi="Arial"/>
                <w:sz w:val="18"/>
                <w:szCs w:val="18"/>
                <w:color w:val="auto"/>
              </w:rPr>
              <w:t>Tin</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1"/>
              </w:rPr>
              <w:t>Guanyang Guida Nonferrous Metal Smelting</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CID002849</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7"/>
              </w:rPr>
              <w:t>Plant</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HuiChang Hill Tin Industry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CID002844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Huichang Jinshunda Tin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CID000760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Jiangxi New Nanshan Technology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CID001231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Ma'anshan Weitai Tin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CID003379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Magnu's Minerais Metais e Ligas Ltda.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CID002468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Malaysia Smelting Corporation (MSC)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MALAYSIA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CID001105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Melt Metais e Ligas S.A.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CID002500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Metallic Resources, Inc.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CID001142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Metallo Belgium N.V.</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BELGIUM</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CID002773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Metallo Spain S.L.U.</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SPAIN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CID002774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9"/>
              </w:rPr>
              <w:t>Mineracao Taboca S.A.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CID001173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6"/>
              </w:rPr>
              <w:t>Minsur</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PERU</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CID001182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Mitsubishi Materials Corporation</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CID001191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Modeltech Sdn Bhd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MALAYSIA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CID002858</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460"/>
              <w:spacing w:after="0"/>
              <w:rPr>
                <w:sz w:val="20"/>
                <w:szCs w:val="20"/>
                <w:color w:val="auto"/>
              </w:rPr>
            </w:pPr>
            <w:r>
              <w:rPr>
                <w:rFonts w:ascii="Arial" w:cs="Arial" w:eastAsia="Arial" w:hAnsi="Arial"/>
                <w:sz w:val="18"/>
                <w:szCs w:val="18"/>
                <w:color w:val="auto"/>
              </w:rPr>
              <w:t>Tin</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1"/>
              </w:rPr>
              <w:t>Nghe Tinh Non-Ferrous Metals Joint Stock</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rPr>
              <w:t>VIET NAM</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CID002573</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0"/>
              </w:rPr>
              <w:t>Company</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O.M. Manufacturing (Thailand)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THAILAND</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CID001314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O.M. Manufacturing Philippines, Inc.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PHILIPPINES</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CID002517</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460"/>
              <w:spacing w:after="0"/>
              <w:rPr>
                <w:sz w:val="20"/>
                <w:szCs w:val="20"/>
                <w:color w:val="auto"/>
              </w:rPr>
            </w:pPr>
            <w:r>
              <w:rPr>
                <w:rFonts w:ascii="Arial" w:cs="Arial" w:eastAsia="Arial" w:hAnsi="Arial"/>
                <w:sz w:val="18"/>
                <w:szCs w:val="18"/>
                <w:color w:val="auto"/>
              </w:rPr>
              <w:t>Tin</w:t>
            </w: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0"/>
              </w:rPr>
              <w:t>Operaciones Metalurgicas S.A.</w:t>
            </w:r>
          </w:p>
        </w:tc>
        <w:tc>
          <w:tcPr>
            <w:tcW w:w="250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rPr>
              <w:t>BOLIVIA (PLURINATIONAL</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CID001337</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continue"/>
          </w:tcPr>
          <w:p>
            <w:pPr>
              <w:spacing w:after="0"/>
              <w:rPr>
                <w:sz w:val="10"/>
                <w:szCs w:val="10"/>
                <w:color w:val="auto"/>
              </w:rPr>
            </w:pP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STATE OF)</w:t>
            </w: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tcPr>
          <w:p>
            <w:pPr>
              <w:spacing w:after="0"/>
              <w:rPr>
                <w:sz w:val="8"/>
                <w:szCs w:val="8"/>
                <w:color w:val="auto"/>
              </w:rPr>
            </w:pPr>
          </w:p>
        </w:tc>
        <w:tc>
          <w:tcPr>
            <w:tcW w:w="2500" w:type="dxa"/>
            <w:vAlign w:val="bottom"/>
            <w:tcBorders>
              <w:bottom w:val="single" w:sz="8" w:color="auto"/>
              <w:right w:val="single" w:sz="8" w:color="auto"/>
            </w:tcBorders>
            <w:vMerge w:val="continue"/>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Pongpipat Company Limited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MYANMAR</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CID003208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460"/>
              <w:spacing w:after="0" w:line="196" w:lineRule="exact"/>
              <w:rPr>
                <w:sz w:val="20"/>
                <w:szCs w:val="20"/>
                <w:color w:val="auto"/>
              </w:rPr>
            </w:pPr>
            <w:r>
              <w:rPr>
                <w:rFonts w:ascii="Arial" w:cs="Arial" w:eastAsia="Arial" w:hAnsi="Arial"/>
                <w:sz w:val="18"/>
                <w:szCs w:val="18"/>
                <w:color w:val="auto"/>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PT Artha Cipta Langgeng</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INDONESIA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CID001399</w:t>
            </w:r>
          </w:p>
        </w:tc>
        <w:tc>
          <w:tcPr>
            <w:tcW w:w="0" w:type="dxa"/>
            <w:vAlign w:val="bottom"/>
          </w:tcPr>
          <w:p>
            <w:pPr>
              <w:spacing w:after="0"/>
              <w:rPr>
                <w:sz w:val="1"/>
                <w:szCs w:val="1"/>
                <w:color w:val="auto"/>
              </w:rPr>
            </w:pPr>
          </w:p>
        </w:tc>
      </w:tr>
      <w:tr>
        <w:trPr>
          <w:trHeight w:val="554"/>
        </w:trPr>
        <w:tc>
          <w:tcPr>
            <w:tcW w:w="1180" w:type="dxa"/>
            <w:vAlign w:val="bottom"/>
            <w:tcBorders>
              <w:bottom w:val="single" w:sz="8" w:color="auto"/>
            </w:tcBorders>
          </w:tcPr>
          <w:p>
            <w:pPr>
              <w:spacing w:after="0"/>
              <w:rPr>
                <w:sz w:val="24"/>
                <w:szCs w:val="24"/>
                <w:color w:val="auto"/>
              </w:rPr>
            </w:pPr>
          </w:p>
        </w:tc>
        <w:tc>
          <w:tcPr>
            <w:tcW w:w="364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135" w:right="1440" w:bottom="1440" w:gutter="0" w:footer="0" w:header="0"/>
        </w:sectPr>
      </w:pPr>
    </w:p>
    <w:bookmarkStart w:id="16" w:name="page17"/>
    <w:bookmarkEnd w:id="16"/>
    <w:p>
      <w:pPr>
        <w:spacing w:after="0" w:line="1" w:lineRule="exact"/>
        <w:rPr>
          <w:sz w:val="20"/>
          <w:szCs w:val="20"/>
          <w:color w:val="auto"/>
        </w:rPr>
      </w:pPr>
    </w:p>
    <w:tbl>
      <w:tblPr>
        <w:tblLayout w:type="fixed"/>
        <w:tblInd w:w="230" w:type="dxa"/>
        <w:tblCellMar>
          <w:top w:w="0" w:type="dxa"/>
          <w:left w:w="0" w:type="dxa"/>
          <w:bottom w:w="0" w:type="dxa"/>
          <w:right w:w="0" w:type="dxa"/>
        </w:tblCellMar>
      </w:tblPr>
      <w:tr>
        <w:trPr>
          <w:trHeight w:val="207"/>
        </w:trPr>
        <w:tc>
          <w:tcPr>
            <w:tcW w:w="118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PT ATD Makmur Mandiri Jaya</w:t>
            </w:r>
          </w:p>
        </w:tc>
        <w:tc>
          <w:tcPr>
            <w:tcW w:w="25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8"/>
              </w:rPr>
              <w:t>INDONESIA</w:t>
            </w:r>
          </w:p>
        </w:tc>
        <w:tc>
          <w:tcPr>
            <w:tcW w:w="1260" w:type="dxa"/>
            <w:vAlign w:val="bottom"/>
            <w:tcBorders>
              <w:bottom w:val="single" w:sz="8" w:color="auto"/>
              <w:right w:val="single" w:sz="8" w:color="auto"/>
            </w:tcBorders>
          </w:tcPr>
          <w:p>
            <w:pPr>
              <w:ind w:left="200"/>
              <w:spacing w:after="0"/>
              <w:rPr>
                <w:sz w:val="20"/>
                <w:szCs w:val="20"/>
                <w:color w:val="auto"/>
              </w:rPr>
            </w:pPr>
            <w:r>
              <w:rPr>
                <w:rFonts w:ascii="Arial" w:cs="Arial" w:eastAsia="Arial" w:hAnsi="Arial"/>
                <w:sz w:val="18"/>
                <w:szCs w:val="18"/>
                <w:color w:val="auto"/>
              </w:rPr>
              <w:t>CID002503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PT Menara Cipta Mulia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INDONESIA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CID002835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PT Mitra Stania Prima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INDONESIA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CID001453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PT Refined Bangka Tin</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INDONESIA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CID001460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PT Timah Tbk Kundur</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INDONESIA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CID001477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PT Timah Tbk Mentok</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8"/>
              </w:rPr>
              <w:t>INDONESIA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CID001482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Resind Industria e Comercio Ltda.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CID002706</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95"/>
              </w:rPr>
              <w:t>Tin</w:t>
            </w: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3"/>
              </w:rPr>
              <w:t>Rui Da Hung</w:t>
            </w:r>
          </w:p>
        </w:tc>
        <w:tc>
          <w:tcPr>
            <w:tcW w:w="250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6"/>
              </w:rPr>
              <w:t>TAIWAN, PROVINCE OF</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CID001539</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continue"/>
          </w:tcPr>
          <w:p>
            <w:pPr>
              <w:spacing w:after="0"/>
              <w:rPr>
                <w:sz w:val="10"/>
                <w:szCs w:val="10"/>
                <w:color w:val="auto"/>
              </w:rPr>
            </w:pP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tcPr>
          <w:p>
            <w:pPr>
              <w:spacing w:after="0"/>
              <w:rPr>
                <w:sz w:val="8"/>
                <w:szCs w:val="8"/>
                <w:color w:val="auto"/>
              </w:rPr>
            </w:pPr>
          </w:p>
        </w:tc>
        <w:tc>
          <w:tcPr>
            <w:tcW w:w="2500" w:type="dxa"/>
            <w:vAlign w:val="bottom"/>
            <w:tcBorders>
              <w:bottom w:val="single" w:sz="8" w:color="auto"/>
              <w:right w:val="single" w:sz="8" w:color="auto"/>
            </w:tcBorders>
            <w:vMerge w:val="continue"/>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Soft Metais Ltda.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CID001758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Super Ligas</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CID002756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Thai Nguyen Mining and Metallurgy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VIET NAM</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CID002834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Thaisarco</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THAILAND</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CID001898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Tin Technology &amp; Refining</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CID003325</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95"/>
              </w:rPr>
              <w:t>Tin</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0"/>
              </w:rPr>
              <w:t>Tuyen Quang Non-Ferrous Metals Joint Stock</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rPr>
              <w:t>VIET NAM</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CID002574</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0"/>
              </w:rPr>
              <w:t>Company</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White Solder Metalurgia e Mineracao Ltda.</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CID002036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Yunnan Chengfeng Non-ferrous Metals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CID002158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Yunnan Tin Company Limited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CID002180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Tin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Yunnan Yunfan Non-ferrous Metals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CID003397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A.L.M.T. Corp.</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CID000004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ACL Metais Eireli</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BRAZIL</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CID002833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Asia Tungsten Products Vietnam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VIET NAM</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CID002502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Chenzhou Diamond Tungsten Products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CID002513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Chongyi Zhangyuan Tungsten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CID000258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CNMC (Guangxi) PGMA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CID000281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Fujian Jinxin Tungsten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CID000499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Ganzhou Haichuang Tungsten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CID002645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Ganzhou Huaxing Tungsten Products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CID000875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Ganzhou Jiangwu Ferrotungsten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CID002315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Ganzhou Seadragon W &amp; Mo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CID002494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Global Tungsten &amp; Powders Corp.</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CID000568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Guangdong Xianglu Tungsten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CID000218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4"/>
              </w:rPr>
              <w:t>H.C. Starck Smelting GmbH &amp; Co. KG</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GERMANY</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CID002542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H.C. Starck Tungsten GmbH</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GERMANY</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CID002541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Hunan Chenzhou Mining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CID000766</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color w:val="auto"/>
                <w:w w:val="87"/>
              </w:rPr>
              <w:t>Tungsten</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0"/>
              </w:rPr>
              <w:t>Hunan Chuangda Vanadium Tungsten Co., Ltd.</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CID002579</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rPr>
              <w:t>Wuji</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Hunan Chunchang Nonferrous Metals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CID000769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Hunan Litian Tungsten Industry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CID003182</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Hydrometallurg, JSC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RUSSIAN FEDERATION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CID002649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Japan New Metals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JAPAN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CID000825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Jiangwu H.C. Starck Tungsten Products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CID002551</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87"/>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Jiangxi Gan Bei Tungsten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CID002321</w:t>
            </w:r>
          </w:p>
        </w:tc>
        <w:tc>
          <w:tcPr>
            <w:tcW w:w="0" w:type="dxa"/>
            <w:vAlign w:val="bottom"/>
          </w:tcPr>
          <w:p>
            <w:pPr>
              <w:spacing w:after="0"/>
              <w:rPr>
                <w:sz w:val="1"/>
                <w:szCs w:val="1"/>
                <w:color w:val="auto"/>
              </w:rPr>
            </w:pPr>
          </w:p>
        </w:tc>
      </w:tr>
      <w:tr>
        <w:trPr>
          <w:trHeight w:val="554"/>
        </w:trPr>
        <w:tc>
          <w:tcPr>
            <w:tcW w:w="1180" w:type="dxa"/>
            <w:vAlign w:val="bottom"/>
            <w:tcBorders>
              <w:bottom w:val="single" w:sz="8" w:color="auto"/>
            </w:tcBorders>
          </w:tcPr>
          <w:p>
            <w:pPr>
              <w:spacing w:after="0"/>
              <w:rPr>
                <w:sz w:val="24"/>
                <w:szCs w:val="24"/>
                <w:color w:val="auto"/>
              </w:rPr>
            </w:pPr>
          </w:p>
        </w:tc>
        <w:tc>
          <w:tcPr>
            <w:tcW w:w="364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135" w:right="1440" w:bottom="1440" w:gutter="0" w:footer="0" w:header="0"/>
        </w:sectPr>
      </w:pPr>
    </w:p>
    <w:bookmarkStart w:id="17" w:name="page18"/>
    <w:bookmarkEnd w:id="17"/>
    <w:p>
      <w:pPr>
        <w:spacing w:after="0" w:line="1" w:lineRule="exact"/>
        <w:rPr>
          <w:sz w:val="20"/>
          <w:szCs w:val="20"/>
          <w:color w:val="auto"/>
        </w:rPr>
      </w:pPr>
    </w:p>
    <w:tbl>
      <w:tblPr>
        <w:tblLayout w:type="fixed"/>
        <w:tblInd w:w="230" w:type="dxa"/>
        <w:tblCellMar>
          <w:top w:w="0" w:type="dxa"/>
          <w:left w:w="0" w:type="dxa"/>
          <w:bottom w:w="0" w:type="dxa"/>
          <w:right w:w="0" w:type="dxa"/>
        </w:tblCellMar>
      </w:tblPr>
      <w:tr>
        <w:trPr>
          <w:trHeight w:val="207"/>
        </w:trPr>
        <w:tc>
          <w:tcPr>
            <w:tcW w:w="1180" w:type="dxa"/>
            <w:vAlign w:val="bottom"/>
            <w:tcBorders>
              <w:left w:val="single" w:sz="8" w:color="auto"/>
              <w:right w:val="single" w:sz="8" w:color="auto"/>
            </w:tcBorders>
          </w:tcPr>
          <w:p>
            <w:pPr>
              <w:spacing w:after="0"/>
              <w:rPr>
                <w:sz w:val="17"/>
                <w:szCs w:val="17"/>
                <w:color w:val="auto"/>
              </w:rPr>
            </w:pPr>
          </w:p>
        </w:tc>
        <w:tc>
          <w:tcPr>
            <w:tcW w:w="36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Jiangxi Minmetals Gao'an Non-ferrous Metals</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CID002313</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restart"/>
          </w:tcPr>
          <w:p>
            <w:pPr>
              <w:ind w:left="240"/>
              <w:spacing w:after="0"/>
              <w:rPr>
                <w:sz w:val="20"/>
                <w:szCs w:val="20"/>
                <w:color w:val="auto"/>
              </w:rPr>
            </w:pPr>
            <w:r>
              <w:rPr>
                <w:rFonts w:ascii="Arial" w:cs="Arial" w:eastAsia="Arial" w:hAnsi="Arial"/>
                <w:sz w:val="18"/>
                <w:szCs w:val="18"/>
                <w:color w:val="auto"/>
              </w:rPr>
              <w:t>Tungsten</w:t>
            </w: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3"/>
              </w:rPr>
              <w:t>Co., Ltd.</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1180" w:type="dxa"/>
            <w:vAlign w:val="bottom"/>
            <w:tcBorders>
              <w:left w:val="single" w:sz="8" w:color="auto"/>
              <w:right w:val="single" w:sz="8" w:color="auto"/>
            </w:tcBorders>
            <w:vMerge w:val="continue"/>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1180" w:type="dxa"/>
            <w:vAlign w:val="bottom"/>
            <w:tcBorders>
              <w:left w:val="single" w:sz="8" w:color="auto"/>
              <w:right w:val="single" w:sz="8" w:color="auto"/>
            </w:tcBorders>
            <w:vMerge w:val="continue"/>
          </w:tcPr>
          <w:p>
            <w:pPr>
              <w:spacing w:after="0"/>
              <w:rPr>
                <w:sz w:val="5"/>
                <w:szCs w:val="5"/>
                <w:color w:val="auto"/>
              </w:rPr>
            </w:pPr>
          </w:p>
        </w:tc>
        <w:tc>
          <w:tcPr>
            <w:tcW w:w="3640" w:type="dxa"/>
            <w:vAlign w:val="bottom"/>
            <w:tcBorders>
              <w:right w:val="single" w:sz="8" w:color="auto"/>
            </w:tcBorders>
            <w:vMerge w:val="restart"/>
          </w:tcPr>
          <w:p>
            <w:pPr>
              <w:jc w:val="center"/>
              <w:spacing w:after="0" w:line="169" w:lineRule="exact"/>
              <w:rPr>
                <w:sz w:val="20"/>
                <w:szCs w:val="20"/>
                <w:color w:val="auto"/>
              </w:rPr>
            </w:pPr>
            <w:r>
              <w:rPr>
                <w:rFonts w:ascii="Arial" w:cs="Arial" w:eastAsia="Arial" w:hAnsi="Arial"/>
                <w:sz w:val="18"/>
                <w:szCs w:val="18"/>
                <w:color w:val="auto"/>
                <w:w w:val="93"/>
              </w:rPr>
              <w:t>Jiangxi Tonggu Non-ferrous Metallurgical &amp;</w:t>
            </w:r>
          </w:p>
        </w:tc>
        <w:tc>
          <w:tcPr>
            <w:tcW w:w="2500" w:type="dxa"/>
            <w:vAlign w:val="bottom"/>
            <w:tcBorders>
              <w:right w:val="single" w:sz="8" w:color="auto"/>
            </w:tcBorders>
          </w:tcPr>
          <w:p>
            <w:pPr>
              <w:spacing w:after="0"/>
              <w:rPr>
                <w:sz w:val="5"/>
                <w:szCs w:val="5"/>
                <w:color w:val="auto"/>
              </w:rPr>
            </w:pPr>
          </w:p>
        </w:tc>
        <w:tc>
          <w:tcPr>
            <w:tcW w:w="12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08"/>
        </w:trPr>
        <w:tc>
          <w:tcPr>
            <w:tcW w:w="1180" w:type="dxa"/>
            <w:vAlign w:val="bottom"/>
            <w:tcBorders>
              <w:left w:val="single" w:sz="8" w:color="auto"/>
              <w:right w:val="single" w:sz="8" w:color="auto"/>
            </w:tcBorders>
            <w:vMerge w:val="restart"/>
          </w:tcPr>
          <w:p>
            <w:pPr>
              <w:ind w:left="240"/>
              <w:spacing w:after="0"/>
              <w:rPr>
                <w:sz w:val="20"/>
                <w:szCs w:val="20"/>
                <w:color w:val="auto"/>
              </w:rPr>
            </w:pPr>
            <w:r>
              <w:rPr>
                <w:rFonts w:ascii="Arial" w:cs="Arial" w:eastAsia="Arial" w:hAnsi="Arial"/>
                <w:sz w:val="18"/>
                <w:szCs w:val="18"/>
                <w:color w:val="auto"/>
              </w:rPr>
              <w:t>Tungsten</w:t>
            </w:r>
          </w:p>
        </w:tc>
        <w:tc>
          <w:tcPr>
            <w:tcW w:w="3640" w:type="dxa"/>
            <w:vAlign w:val="bottom"/>
            <w:tcBorders>
              <w:right w:val="single" w:sz="8" w:color="auto"/>
            </w:tcBorders>
            <w:vMerge w:val="continue"/>
          </w:tcPr>
          <w:p>
            <w:pPr>
              <w:spacing w:after="0"/>
              <w:rPr>
                <w:sz w:val="9"/>
                <w:szCs w:val="9"/>
                <w:color w:val="auto"/>
              </w:rPr>
            </w:pP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CID002318</w:t>
            </w:r>
          </w:p>
        </w:tc>
        <w:tc>
          <w:tcPr>
            <w:tcW w:w="0" w:type="dxa"/>
            <w:vAlign w:val="bottom"/>
          </w:tcPr>
          <w:p>
            <w:pPr>
              <w:spacing w:after="0"/>
              <w:rPr>
                <w:sz w:val="1"/>
                <w:szCs w:val="1"/>
                <w:color w:val="auto"/>
              </w:rPr>
            </w:pPr>
          </w:p>
        </w:tc>
      </w:tr>
      <w:tr>
        <w:trPr>
          <w:trHeight w:val="135"/>
        </w:trPr>
        <w:tc>
          <w:tcPr>
            <w:tcW w:w="1180" w:type="dxa"/>
            <w:vAlign w:val="bottom"/>
            <w:tcBorders>
              <w:left w:val="single" w:sz="8" w:color="auto"/>
              <w:right w:val="single" w:sz="8" w:color="auto"/>
            </w:tcBorders>
            <w:vMerge w:val="continue"/>
          </w:tcPr>
          <w:p>
            <w:pPr>
              <w:spacing w:after="0"/>
              <w:rPr>
                <w:sz w:val="11"/>
                <w:szCs w:val="11"/>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Chemical Co., Ltd.</w:t>
            </w:r>
          </w:p>
        </w:tc>
        <w:tc>
          <w:tcPr>
            <w:tcW w:w="2500" w:type="dxa"/>
            <w:vAlign w:val="bottom"/>
            <w:tcBorders>
              <w:right w:val="single" w:sz="8" w:color="auto"/>
            </w:tcBorders>
            <w:vMerge w:val="continue"/>
          </w:tcPr>
          <w:p>
            <w:pPr>
              <w:spacing w:after="0"/>
              <w:rPr>
                <w:sz w:val="11"/>
                <w:szCs w:val="11"/>
                <w:color w:val="auto"/>
              </w:rPr>
            </w:pPr>
          </w:p>
        </w:tc>
        <w:tc>
          <w:tcPr>
            <w:tcW w:w="12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Jiangxi Xianglu Tungsten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CID002647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Jiangxi Xinsheng Tungsten Industry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CID002317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Jiangxi Yaosheng Tungsten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CID002316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Kennametal Fallon</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CID000966</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Kennametal Huntsville</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CID000105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KGETS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KOREA, REPUBLIC OF</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CID003388</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Malipo Haiyu Tungsten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CID002319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3"/>
              </w:rPr>
              <w:t>Masan Tungsten Chemical LLC (MTC)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VIET NAM</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CID002543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7"/>
              </w:rPr>
              <w:t>Moliren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RUSSIAN FEDERATION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CID002845</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Niagara Refining LLC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UNITED STATES OF AMERICA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CID002589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Philippine Chuangxin Industrial Co., Inc.</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PHILIPPINES</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CID002827</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Tejing (Vietnam) Tungsten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VIET NAM</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CID001889</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Unecha Refractory metals plant</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RUSSIAN FEDERATION</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CID002724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Wolfram Bergbau und Hutten AG</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AUSTRIA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CID002044</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Woltech Korea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KOREA, REPUBLIC OF</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CID002843</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2"/>
              </w:rPr>
              <w:t>Xiamen Tungsten (H.C.)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CID002320</w:t>
            </w:r>
          </w:p>
        </w:tc>
        <w:tc>
          <w:tcPr>
            <w:tcW w:w="0" w:type="dxa"/>
            <w:vAlign w:val="bottom"/>
          </w:tcPr>
          <w:p>
            <w:pPr>
              <w:spacing w:after="0"/>
              <w:rPr>
                <w:sz w:val="1"/>
                <w:szCs w:val="1"/>
                <w:color w:val="auto"/>
              </w:rPr>
            </w:pPr>
          </w:p>
        </w:tc>
      </w:tr>
      <w:tr>
        <w:trPr>
          <w:trHeight w:val="196"/>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1"/>
              </w:rPr>
              <w:t>Xiamen Tungsten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CID002082</w:t>
            </w:r>
          </w:p>
        </w:tc>
        <w:tc>
          <w:tcPr>
            <w:tcW w:w="0" w:type="dxa"/>
            <w:vAlign w:val="bottom"/>
          </w:tcPr>
          <w:p>
            <w:pPr>
              <w:spacing w:after="0"/>
              <w:rPr>
                <w:sz w:val="1"/>
                <w:szCs w:val="1"/>
                <w:color w:val="auto"/>
              </w:rPr>
            </w:pPr>
          </w:p>
        </w:tc>
      </w:tr>
      <w:tr>
        <w:trPr>
          <w:trHeight w:val="182"/>
        </w:trPr>
        <w:tc>
          <w:tcPr>
            <w:tcW w:w="1180" w:type="dxa"/>
            <w:vAlign w:val="bottom"/>
            <w:tcBorders>
              <w:left w:val="single" w:sz="8" w:color="auto"/>
              <w:right w:val="single" w:sz="8" w:color="auto"/>
            </w:tcBorders>
            <w:vMerge w:val="restart"/>
          </w:tcPr>
          <w:p>
            <w:pPr>
              <w:ind w:left="240"/>
              <w:spacing w:after="0"/>
              <w:rPr>
                <w:sz w:val="20"/>
                <w:szCs w:val="20"/>
                <w:color w:val="auto"/>
              </w:rPr>
            </w:pPr>
            <w:r>
              <w:rPr>
                <w:rFonts w:ascii="Arial" w:cs="Arial" w:eastAsia="Arial" w:hAnsi="Arial"/>
                <w:sz w:val="18"/>
                <w:szCs w:val="18"/>
                <w:color w:val="auto"/>
              </w:rPr>
              <w:t>Tungsten</w:t>
            </w:r>
          </w:p>
        </w:tc>
        <w:tc>
          <w:tcPr>
            <w:tcW w:w="36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8"/>
                <w:szCs w:val="18"/>
                <w:color w:val="auto"/>
                <w:w w:val="94"/>
              </w:rPr>
              <w:t>Xinfeng Huarui Tungsten &amp; Molybdenum New</w:t>
            </w:r>
          </w:p>
        </w:tc>
        <w:tc>
          <w:tcPr>
            <w:tcW w:w="2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CHINA</w:t>
            </w:r>
          </w:p>
        </w:tc>
        <w:tc>
          <w:tcPr>
            <w:tcW w:w="1260" w:type="dxa"/>
            <w:vAlign w:val="bottom"/>
            <w:tcBorders>
              <w:right w:val="single" w:sz="8" w:color="auto"/>
            </w:tcBorders>
            <w:vMerge w:val="restart"/>
          </w:tcPr>
          <w:p>
            <w:pPr>
              <w:ind w:left="200"/>
              <w:spacing w:after="0"/>
              <w:rPr>
                <w:sz w:val="20"/>
                <w:szCs w:val="20"/>
                <w:color w:val="auto"/>
              </w:rPr>
            </w:pPr>
            <w:r>
              <w:rPr>
                <w:rFonts w:ascii="Arial" w:cs="Arial" w:eastAsia="Arial" w:hAnsi="Arial"/>
                <w:sz w:val="18"/>
                <w:szCs w:val="18"/>
                <w:color w:val="auto"/>
              </w:rPr>
              <w:t>CID002830</w:t>
            </w:r>
          </w:p>
        </w:tc>
        <w:tc>
          <w:tcPr>
            <w:tcW w:w="0" w:type="dxa"/>
            <w:vAlign w:val="bottom"/>
          </w:tcPr>
          <w:p>
            <w:pPr>
              <w:spacing w:after="0"/>
              <w:rPr>
                <w:sz w:val="1"/>
                <w:szCs w:val="1"/>
                <w:color w:val="auto"/>
              </w:rPr>
            </w:pPr>
          </w:p>
        </w:tc>
      </w:tr>
      <w:tr>
        <w:trPr>
          <w:trHeight w:val="122"/>
        </w:trPr>
        <w:tc>
          <w:tcPr>
            <w:tcW w:w="1180" w:type="dxa"/>
            <w:vAlign w:val="bottom"/>
            <w:tcBorders>
              <w:left w:val="single" w:sz="8" w:color="auto"/>
              <w:right w:val="single" w:sz="8" w:color="auto"/>
            </w:tcBorders>
            <w:vMerge w:val="continue"/>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3"/>
              </w:rPr>
              <w:t>Material Co., Ltd.</w:t>
            </w:r>
          </w:p>
        </w:tc>
        <w:tc>
          <w:tcPr>
            <w:tcW w:w="250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1180" w:type="dxa"/>
            <w:vAlign w:val="bottom"/>
            <w:tcBorders>
              <w:left w:val="single" w:sz="8" w:color="auto"/>
              <w:bottom w:val="single" w:sz="8" w:color="auto"/>
              <w:right w:val="single" w:sz="8" w:color="auto"/>
            </w:tcBorders>
          </w:tcPr>
          <w:p>
            <w:pPr>
              <w:spacing w:after="0"/>
              <w:rPr>
                <w:sz w:val="8"/>
                <w:szCs w:val="8"/>
                <w:color w:val="auto"/>
              </w:rPr>
            </w:pPr>
          </w:p>
        </w:tc>
        <w:tc>
          <w:tcPr>
            <w:tcW w:w="3640" w:type="dxa"/>
            <w:vAlign w:val="bottom"/>
            <w:tcBorders>
              <w:bottom w:val="single" w:sz="8" w:color="auto"/>
              <w:right w:val="single" w:sz="8" w:color="auto"/>
            </w:tcBorders>
            <w:vMerge w:val="continue"/>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3"/>
        </w:trPr>
        <w:tc>
          <w:tcPr>
            <w:tcW w:w="1180" w:type="dxa"/>
            <w:vAlign w:val="bottom"/>
            <w:tcBorders>
              <w:left w:val="single" w:sz="8" w:color="auto"/>
              <w:bottom w:val="single" w:sz="8" w:color="auto"/>
              <w:right w:val="single" w:sz="8" w:color="auto"/>
            </w:tcBorders>
          </w:tcPr>
          <w:p>
            <w:pPr>
              <w:ind w:left="240"/>
              <w:spacing w:after="0" w:line="196" w:lineRule="exact"/>
              <w:rPr>
                <w:sz w:val="20"/>
                <w:szCs w:val="20"/>
                <w:color w:val="auto"/>
              </w:rPr>
            </w:pPr>
            <w:r>
              <w:rPr>
                <w:rFonts w:ascii="Arial" w:cs="Arial" w:eastAsia="Arial" w:hAnsi="Arial"/>
                <w:sz w:val="18"/>
                <w:szCs w:val="18"/>
                <w:color w:val="auto"/>
              </w:rPr>
              <w:t>Tungsten</w:t>
            </w:r>
          </w:p>
        </w:tc>
        <w:tc>
          <w:tcPr>
            <w:tcW w:w="36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0"/>
              </w:rPr>
              <w:t>Xinhai Rendan Shaoguan Tungsten Co., Ltd.</w:t>
            </w:r>
          </w:p>
        </w:tc>
        <w:tc>
          <w:tcPr>
            <w:tcW w:w="250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CHINA</w:t>
            </w:r>
          </w:p>
        </w:tc>
        <w:tc>
          <w:tcPr>
            <w:tcW w:w="1260" w:type="dxa"/>
            <w:vAlign w:val="bottom"/>
            <w:tcBorders>
              <w:bottom w:val="single" w:sz="8" w:color="auto"/>
              <w:right w:val="single" w:sz="8" w:color="auto"/>
            </w:tcBorders>
          </w:tcPr>
          <w:p>
            <w:pPr>
              <w:ind w:left="200"/>
              <w:spacing w:after="0" w:line="196" w:lineRule="exact"/>
              <w:rPr>
                <w:sz w:val="20"/>
                <w:szCs w:val="20"/>
                <w:color w:val="auto"/>
              </w:rPr>
            </w:pPr>
            <w:r>
              <w:rPr>
                <w:rFonts w:ascii="Arial" w:cs="Arial" w:eastAsia="Arial" w:hAnsi="Arial"/>
                <w:sz w:val="18"/>
                <w:szCs w:val="18"/>
                <w:color w:val="auto"/>
              </w:rPr>
              <w:t>CID002095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-2905760</wp:posOffset>
            </wp:positionV>
            <wp:extent cx="74549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45490" cy="8255"/>
                    </a:xfrm>
                    <a:prstGeom prst="rect">
                      <a:avLst/>
                    </a:prstGeom>
                    <a:noFill/>
                  </pic:spPr>
                </pic:pic>
              </a:graphicData>
            </a:graphic>
          </wp:anchor>
        </w:drawing>
      </w:r>
    </w:p>
    <w:p>
      <w:pPr>
        <w:spacing w:after="0" w:line="13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Country of Origin:</w:t>
      </w:r>
    </w:p>
    <w:p>
      <w:pPr>
        <w:spacing w:after="0" w:line="135" w:lineRule="exact"/>
        <w:rPr>
          <w:sz w:val="20"/>
          <w:szCs w:val="20"/>
          <w:color w:val="auto"/>
        </w:rPr>
      </w:pPr>
    </w:p>
    <w:p>
      <w:pPr>
        <w:jc w:val="both"/>
        <w:ind w:left="200" w:right="219"/>
        <w:spacing w:after="0" w:line="203" w:lineRule="auto"/>
        <w:rPr>
          <w:sz w:val="20"/>
          <w:szCs w:val="20"/>
          <w:color w:val="auto"/>
        </w:rPr>
      </w:pPr>
      <w:r>
        <w:rPr>
          <w:rFonts w:ascii="Arial" w:cs="Arial" w:eastAsia="Arial" w:hAnsi="Arial"/>
          <w:sz w:val="18"/>
          <w:szCs w:val="18"/>
          <w:color w:val="auto"/>
        </w:rPr>
        <w:t>This list of potential countries of origin is populated based on information provided through the CMRT data collection process, direct smelter outreach by our service provider, and RMI’s responsible minerals assurance process. It is important to note that this list is based, in part, on company-level responses, and therefore, it is not certain which of these countries of origin can be linked to our products. In addition, it is likely that more countries are listed below than are directly linked to our products.</w:t>
      </w:r>
    </w:p>
    <w:p>
      <w:pPr>
        <w:spacing w:after="0" w:line="14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Country List:</w:t>
      </w:r>
    </w:p>
    <w:p>
      <w:pPr>
        <w:spacing w:after="0" w:line="173" w:lineRule="exact"/>
        <w:rPr>
          <w:sz w:val="20"/>
          <w:szCs w:val="20"/>
          <w:color w:val="auto"/>
        </w:rPr>
      </w:pPr>
    </w:p>
    <w:p>
      <w:pPr>
        <w:ind w:left="2280"/>
        <w:spacing w:after="0"/>
        <w:rPr>
          <w:sz w:val="20"/>
          <w:szCs w:val="20"/>
          <w:color w:val="auto"/>
        </w:rPr>
      </w:pPr>
      <w:r>
        <w:rPr>
          <w:rFonts w:ascii="Arial" w:cs="Arial" w:eastAsia="Arial" w:hAnsi="Arial"/>
          <w:sz w:val="18"/>
          <w:szCs w:val="18"/>
          <w:b w:val="1"/>
          <w:bCs w:val="1"/>
          <w:color w:val="FFFFFF"/>
        </w:rPr>
        <w:t>Country List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485140</wp:posOffset>
            </wp:positionH>
            <wp:positionV relativeFrom="paragraph">
              <wp:posOffset>-103505</wp:posOffset>
            </wp:positionV>
            <wp:extent cx="2580005" cy="1111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580005" cy="111125"/>
                    </a:xfrm>
                    <a:prstGeom prst="rect">
                      <a:avLst/>
                    </a:prstGeom>
                    <a:noFill/>
                  </pic:spPr>
                </pic:pic>
              </a:graphicData>
            </a:graphic>
          </wp:anchor>
        </w:drawing>
      </w:r>
    </w:p>
    <w:p>
      <w:pPr>
        <w:ind w:left="880"/>
        <w:spacing w:after="0" w:line="203" w:lineRule="auto"/>
        <w:rPr>
          <w:sz w:val="20"/>
          <w:szCs w:val="20"/>
          <w:color w:val="auto"/>
        </w:rPr>
      </w:pPr>
      <w:r>
        <w:rPr>
          <w:rFonts w:ascii="Arial" w:cs="Arial" w:eastAsia="Arial" w:hAnsi="Arial"/>
          <w:sz w:val="18"/>
          <w:szCs w:val="18"/>
          <w:color w:val="auto"/>
        </w:rPr>
        <w:t>Afghanistan</w:t>
      </w:r>
    </w:p>
    <w:p>
      <w:pPr>
        <w:ind w:left="880"/>
        <w:spacing w:after="0" w:line="203" w:lineRule="auto"/>
        <w:rPr>
          <w:sz w:val="20"/>
          <w:szCs w:val="20"/>
          <w:color w:val="auto"/>
        </w:rPr>
      </w:pPr>
      <w:r>
        <w:rPr>
          <w:rFonts w:ascii="Arial" w:cs="Arial" w:eastAsia="Arial" w:hAnsi="Arial"/>
          <w:sz w:val="18"/>
          <w:szCs w:val="18"/>
          <w:color w:val="auto"/>
        </w:rPr>
        <w:t>Albania</w:t>
      </w:r>
    </w:p>
    <w:p>
      <w:pPr>
        <w:ind w:left="880"/>
        <w:spacing w:after="0" w:line="204" w:lineRule="auto"/>
        <w:rPr>
          <w:sz w:val="20"/>
          <w:szCs w:val="20"/>
          <w:color w:val="auto"/>
        </w:rPr>
      </w:pPr>
      <w:r>
        <w:rPr>
          <w:rFonts w:ascii="Arial" w:cs="Arial" w:eastAsia="Arial" w:hAnsi="Arial"/>
          <w:sz w:val="18"/>
          <w:szCs w:val="18"/>
          <w:color w:val="auto"/>
        </w:rPr>
        <w:t>Angola</w:t>
      </w:r>
    </w:p>
    <w:p>
      <w:pPr>
        <w:ind w:left="880"/>
        <w:spacing w:after="0" w:line="203" w:lineRule="auto"/>
        <w:rPr>
          <w:sz w:val="20"/>
          <w:szCs w:val="20"/>
          <w:color w:val="auto"/>
        </w:rPr>
      </w:pPr>
      <w:r>
        <w:rPr>
          <w:rFonts w:ascii="Arial" w:cs="Arial" w:eastAsia="Arial" w:hAnsi="Arial"/>
          <w:sz w:val="18"/>
          <w:szCs w:val="18"/>
          <w:color w:val="auto"/>
        </w:rPr>
        <w:t>Argentina</w:t>
      </w:r>
    </w:p>
    <w:p>
      <w:pPr>
        <w:ind w:left="880"/>
        <w:spacing w:after="0" w:line="204" w:lineRule="auto"/>
        <w:rPr>
          <w:sz w:val="20"/>
          <w:szCs w:val="20"/>
          <w:color w:val="auto"/>
        </w:rPr>
      </w:pPr>
      <w:r>
        <w:rPr>
          <w:rFonts w:ascii="Arial" w:cs="Arial" w:eastAsia="Arial" w:hAnsi="Arial"/>
          <w:sz w:val="18"/>
          <w:szCs w:val="18"/>
          <w:color w:val="auto"/>
        </w:rPr>
        <w:t>Armenia</w:t>
      </w:r>
    </w:p>
    <w:p>
      <w:pPr>
        <w:ind w:left="880"/>
        <w:spacing w:after="0" w:line="203" w:lineRule="auto"/>
        <w:rPr>
          <w:sz w:val="20"/>
          <w:szCs w:val="20"/>
          <w:color w:val="auto"/>
        </w:rPr>
      </w:pPr>
      <w:r>
        <w:rPr>
          <w:rFonts w:ascii="Arial" w:cs="Arial" w:eastAsia="Arial" w:hAnsi="Arial"/>
          <w:sz w:val="18"/>
          <w:szCs w:val="18"/>
          <w:color w:val="auto"/>
        </w:rPr>
        <w:t>Australia</w:t>
      </w:r>
    </w:p>
    <w:p>
      <w:pPr>
        <w:ind w:left="880"/>
        <w:spacing w:after="0" w:line="204" w:lineRule="auto"/>
        <w:rPr>
          <w:sz w:val="20"/>
          <w:szCs w:val="20"/>
          <w:color w:val="auto"/>
        </w:rPr>
      </w:pPr>
      <w:r>
        <w:rPr>
          <w:rFonts w:ascii="Arial" w:cs="Arial" w:eastAsia="Arial" w:hAnsi="Arial"/>
          <w:sz w:val="18"/>
          <w:szCs w:val="18"/>
          <w:color w:val="auto"/>
        </w:rPr>
        <w:t>Austria</w:t>
      </w:r>
    </w:p>
    <w:p>
      <w:pPr>
        <w:ind w:left="880"/>
        <w:spacing w:after="0" w:line="203" w:lineRule="auto"/>
        <w:rPr>
          <w:sz w:val="20"/>
          <w:szCs w:val="20"/>
          <w:color w:val="auto"/>
        </w:rPr>
      </w:pPr>
      <w:r>
        <w:rPr>
          <w:rFonts w:ascii="Arial" w:cs="Arial" w:eastAsia="Arial" w:hAnsi="Arial"/>
          <w:sz w:val="18"/>
          <w:szCs w:val="18"/>
          <w:color w:val="auto"/>
        </w:rPr>
        <w:t>Belarus</w:t>
      </w:r>
    </w:p>
    <w:p>
      <w:pPr>
        <w:ind w:left="880"/>
        <w:spacing w:after="0" w:line="204" w:lineRule="auto"/>
        <w:rPr>
          <w:sz w:val="20"/>
          <w:szCs w:val="20"/>
          <w:color w:val="auto"/>
        </w:rPr>
      </w:pPr>
      <w:r>
        <w:rPr>
          <w:rFonts w:ascii="Arial" w:cs="Arial" w:eastAsia="Arial" w:hAnsi="Arial"/>
          <w:sz w:val="18"/>
          <w:szCs w:val="18"/>
          <w:color w:val="auto"/>
        </w:rPr>
        <w:t>Belgium</w:t>
      </w:r>
    </w:p>
    <w:p>
      <w:pPr>
        <w:ind w:left="880"/>
        <w:spacing w:after="0" w:line="203" w:lineRule="auto"/>
        <w:rPr>
          <w:sz w:val="20"/>
          <w:szCs w:val="20"/>
          <w:color w:val="auto"/>
        </w:rPr>
      </w:pPr>
      <w:r>
        <w:rPr>
          <w:rFonts w:ascii="Arial" w:cs="Arial" w:eastAsia="Arial" w:hAnsi="Arial"/>
          <w:sz w:val="18"/>
          <w:szCs w:val="18"/>
          <w:color w:val="auto"/>
        </w:rPr>
        <w:t>Bermuda</w:t>
      </w:r>
    </w:p>
    <w:p>
      <w:pPr>
        <w:ind w:left="880"/>
        <w:spacing w:after="0" w:line="204" w:lineRule="auto"/>
        <w:rPr>
          <w:sz w:val="20"/>
          <w:szCs w:val="20"/>
          <w:color w:val="auto"/>
        </w:rPr>
      </w:pPr>
      <w:r>
        <w:rPr>
          <w:rFonts w:ascii="Arial" w:cs="Arial" w:eastAsia="Arial" w:hAnsi="Arial"/>
          <w:sz w:val="18"/>
          <w:szCs w:val="18"/>
          <w:color w:val="auto"/>
        </w:rPr>
        <w:t>Bolivia</w:t>
      </w:r>
    </w:p>
    <w:p>
      <w:pPr>
        <w:ind w:left="880"/>
        <w:spacing w:after="0"/>
        <w:rPr>
          <w:sz w:val="20"/>
          <w:szCs w:val="20"/>
          <w:color w:val="auto"/>
        </w:rPr>
      </w:pPr>
      <w:r>
        <w:rPr>
          <w:rFonts w:ascii="Arial" w:cs="Arial" w:eastAsia="Arial" w:hAnsi="Arial"/>
          <w:sz w:val="18"/>
          <w:szCs w:val="18"/>
          <w:color w:val="auto"/>
        </w:rPr>
        <w:t>Brazil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330200</wp:posOffset>
            </wp:positionV>
            <wp:extent cx="545211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452110" cy="17145"/>
                    </a:xfrm>
                    <a:prstGeom prst="rect">
                      <a:avLst/>
                    </a:prstGeom>
                    <a:noFill/>
                  </pic:spPr>
                </pic:pic>
              </a:graphicData>
            </a:graphic>
          </wp:anchor>
        </w:drawing>
      </w:r>
    </w:p>
    <w:p>
      <w:pPr>
        <w:sectPr>
          <w:pgSz w:w="11900" w:h="16838" w:orient="portrait"/>
          <w:cols w:equalWidth="0" w:num="1">
            <w:col w:w="9019"/>
          </w:cols>
          <w:pgMar w:left="1440" w:top="121" w:right="1440" w:bottom="1440" w:gutter="0" w:footer="0" w:header="0"/>
        </w:sectPr>
      </w:pPr>
    </w:p>
    <w:bookmarkStart w:id="18" w:name="page19"/>
    <w:bookmarkEnd w:id="18"/>
    <w:p>
      <w:pPr>
        <w:ind w:left="880"/>
        <w:spacing w:after="0"/>
        <w:rPr>
          <w:sz w:val="20"/>
          <w:szCs w:val="20"/>
          <w:color w:val="auto"/>
        </w:rPr>
      </w:pPr>
      <w:r>
        <w:rPr>
          <w:rFonts w:ascii="Arial" w:cs="Arial" w:eastAsia="Arial" w:hAnsi="Arial"/>
          <w:sz w:val="18"/>
          <w:szCs w:val="18"/>
          <w:color w:val="auto"/>
        </w:rPr>
        <w:t>Bulgaria</w:t>
      </w:r>
    </w:p>
    <w:p>
      <w:pPr>
        <w:ind w:left="880"/>
        <w:spacing w:after="0" w:line="203" w:lineRule="auto"/>
        <w:rPr>
          <w:sz w:val="20"/>
          <w:szCs w:val="20"/>
          <w:color w:val="auto"/>
        </w:rPr>
      </w:pPr>
      <w:r>
        <w:rPr>
          <w:rFonts w:ascii="Arial" w:cs="Arial" w:eastAsia="Arial" w:hAnsi="Arial"/>
          <w:sz w:val="18"/>
          <w:szCs w:val="18"/>
          <w:color w:val="auto"/>
        </w:rPr>
        <w:t>Burundi</w:t>
      </w:r>
    </w:p>
    <w:p>
      <w:pPr>
        <w:ind w:left="880"/>
        <w:spacing w:after="0" w:line="203" w:lineRule="auto"/>
        <w:rPr>
          <w:sz w:val="20"/>
          <w:szCs w:val="20"/>
          <w:color w:val="auto"/>
        </w:rPr>
      </w:pPr>
      <w:r>
        <w:rPr>
          <w:rFonts w:ascii="Arial" w:cs="Arial" w:eastAsia="Arial" w:hAnsi="Arial"/>
          <w:sz w:val="18"/>
          <w:szCs w:val="18"/>
          <w:color w:val="auto"/>
        </w:rPr>
        <w:t>Cambodia</w:t>
      </w:r>
    </w:p>
    <w:p>
      <w:pPr>
        <w:ind w:left="880"/>
        <w:spacing w:after="0" w:line="204" w:lineRule="auto"/>
        <w:rPr>
          <w:sz w:val="20"/>
          <w:szCs w:val="20"/>
          <w:color w:val="auto"/>
        </w:rPr>
      </w:pPr>
      <w:r>
        <w:rPr>
          <w:rFonts w:ascii="Arial" w:cs="Arial" w:eastAsia="Arial" w:hAnsi="Arial"/>
          <w:sz w:val="18"/>
          <w:szCs w:val="18"/>
          <w:color w:val="auto"/>
        </w:rPr>
        <w:t>Canada</w:t>
      </w:r>
    </w:p>
    <w:p>
      <w:pPr>
        <w:ind w:left="880"/>
        <w:spacing w:after="0" w:line="203" w:lineRule="auto"/>
        <w:rPr>
          <w:sz w:val="20"/>
          <w:szCs w:val="20"/>
          <w:color w:val="auto"/>
        </w:rPr>
      </w:pPr>
      <w:r>
        <w:rPr>
          <w:rFonts w:ascii="Arial" w:cs="Arial" w:eastAsia="Arial" w:hAnsi="Arial"/>
          <w:sz w:val="18"/>
          <w:szCs w:val="18"/>
          <w:color w:val="auto"/>
        </w:rPr>
        <w:t>Central African Republic</w:t>
      </w:r>
    </w:p>
    <w:p>
      <w:pPr>
        <w:ind w:left="880"/>
        <w:spacing w:after="0" w:line="204" w:lineRule="auto"/>
        <w:rPr>
          <w:sz w:val="20"/>
          <w:szCs w:val="20"/>
          <w:color w:val="auto"/>
        </w:rPr>
      </w:pPr>
      <w:r>
        <w:rPr>
          <w:rFonts w:ascii="Arial" w:cs="Arial" w:eastAsia="Arial" w:hAnsi="Arial"/>
          <w:sz w:val="18"/>
          <w:szCs w:val="18"/>
          <w:color w:val="auto"/>
        </w:rPr>
        <w:t>Chile</w:t>
      </w:r>
    </w:p>
    <w:p>
      <w:pPr>
        <w:ind w:left="880"/>
        <w:spacing w:after="0" w:line="203" w:lineRule="auto"/>
        <w:rPr>
          <w:sz w:val="20"/>
          <w:szCs w:val="20"/>
          <w:color w:val="auto"/>
        </w:rPr>
      </w:pPr>
      <w:r>
        <w:rPr>
          <w:rFonts w:ascii="Arial" w:cs="Arial" w:eastAsia="Arial" w:hAnsi="Arial"/>
          <w:sz w:val="18"/>
          <w:szCs w:val="18"/>
          <w:color w:val="auto"/>
        </w:rPr>
        <w:t>China</w:t>
      </w:r>
    </w:p>
    <w:p>
      <w:pPr>
        <w:ind w:left="880"/>
        <w:spacing w:after="0" w:line="204" w:lineRule="auto"/>
        <w:rPr>
          <w:sz w:val="20"/>
          <w:szCs w:val="20"/>
          <w:color w:val="auto"/>
        </w:rPr>
      </w:pPr>
      <w:r>
        <w:rPr>
          <w:rFonts w:ascii="Arial" w:cs="Arial" w:eastAsia="Arial" w:hAnsi="Arial"/>
          <w:sz w:val="18"/>
          <w:szCs w:val="18"/>
          <w:color w:val="auto"/>
        </w:rPr>
        <w:t>Colombia</w:t>
      </w:r>
    </w:p>
    <w:p>
      <w:pPr>
        <w:ind w:left="880"/>
        <w:spacing w:after="0" w:line="203" w:lineRule="auto"/>
        <w:rPr>
          <w:sz w:val="20"/>
          <w:szCs w:val="20"/>
          <w:color w:val="auto"/>
        </w:rPr>
      </w:pPr>
      <w:r>
        <w:rPr>
          <w:rFonts w:ascii="Arial" w:cs="Arial" w:eastAsia="Arial" w:hAnsi="Arial"/>
          <w:sz w:val="18"/>
          <w:szCs w:val="18"/>
          <w:color w:val="auto"/>
        </w:rPr>
        <w:t>Czech Republic</w:t>
      </w:r>
    </w:p>
    <w:p>
      <w:pPr>
        <w:ind w:left="880"/>
        <w:spacing w:after="0" w:line="204" w:lineRule="auto"/>
        <w:rPr>
          <w:sz w:val="20"/>
          <w:szCs w:val="20"/>
          <w:color w:val="auto"/>
        </w:rPr>
      </w:pPr>
      <w:r>
        <w:rPr>
          <w:rFonts w:ascii="Arial" w:cs="Arial" w:eastAsia="Arial" w:hAnsi="Arial"/>
          <w:sz w:val="18"/>
          <w:szCs w:val="18"/>
          <w:color w:val="auto"/>
        </w:rPr>
        <w:t>Djibouti</w:t>
      </w:r>
    </w:p>
    <w:p>
      <w:pPr>
        <w:ind w:left="880"/>
        <w:spacing w:after="0" w:line="203" w:lineRule="auto"/>
        <w:rPr>
          <w:sz w:val="20"/>
          <w:szCs w:val="20"/>
          <w:color w:val="auto"/>
        </w:rPr>
      </w:pPr>
      <w:r>
        <w:rPr>
          <w:rFonts w:ascii="Arial" w:cs="Arial" w:eastAsia="Arial" w:hAnsi="Arial"/>
          <w:sz w:val="18"/>
          <w:szCs w:val="18"/>
          <w:color w:val="auto"/>
        </w:rPr>
        <w:t>Dominican Republic</w:t>
      </w:r>
    </w:p>
    <w:p>
      <w:pPr>
        <w:ind w:left="880"/>
        <w:spacing w:after="0" w:line="229" w:lineRule="auto"/>
        <w:rPr>
          <w:sz w:val="20"/>
          <w:szCs w:val="20"/>
          <w:color w:val="auto"/>
        </w:rPr>
      </w:pPr>
      <w:r>
        <w:rPr>
          <w:rFonts w:ascii="Arial" w:cs="Arial" w:eastAsia="Arial" w:hAnsi="Arial"/>
          <w:sz w:val="16"/>
          <w:szCs w:val="16"/>
          <w:color w:val="auto"/>
        </w:rPr>
        <w:t>DRC or an adjoining country (Covered Countries)</w:t>
      </w:r>
    </w:p>
    <w:p>
      <w:pPr>
        <w:ind w:left="880"/>
        <w:spacing w:after="0" w:line="204" w:lineRule="auto"/>
        <w:rPr>
          <w:sz w:val="20"/>
          <w:szCs w:val="20"/>
          <w:color w:val="auto"/>
        </w:rPr>
      </w:pPr>
      <w:r>
        <w:rPr>
          <w:rFonts w:ascii="Arial" w:cs="Arial" w:eastAsia="Arial" w:hAnsi="Arial"/>
          <w:sz w:val="18"/>
          <w:szCs w:val="18"/>
          <w:color w:val="auto"/>
        </w:rPr>
        <w:t>Ecuador</w:t>
      </w:r>
    </w:p>
    <w:p>
      <w:pPr>
        <w:ind w:left="880"/>
        <w:spacing w:after="0" w:line="203" w:lineRule="auto"/>
        <w:rPr>
          <w:sz w:val="20"/>
          <w:szCs w:val="20"/>
          <w:color w:val="auto"/>
        </w:rPr>
      </w:pPr>
      <w:r>
        <w:rPr>
          <w:rFonts w:ascii="Arial" w:cs="Arial" w:eastAsia="Arial" w:hAnsi="Arial"/>
          <w:sz w:val="18"/>
          <w:szCs w:val="18"/>
          <w:color w:val="auto"/>
        </w:rPr>
        <w:t>Egypt</w:t>
      </w:r>
    </w:p>
    <w:p>
      <w:pPr>
        <w:ind w:left="880"/>
        <w:spacing w:after="0" w:line="204" w:lineRule="auto"/>
        <w:rPr>
          <w:sz w:val="20"/>
          <w:szCs w:val="20"/>
          <w:color w:val="auto"/>
        </w:rPr>
      </w:pPr>
      <w:r>
        <w:rPr>
          <w:rFonts w:ascii="Arial" w:cs="Arial" w:eastAsia="Arial" w:hAnsi="Arial"/>
          <w:sz w:val="18"/>
          <w:szCs w:val="18"/>
          <w:color w:val="auto"/>
        </w:rPr>
        <w:t>England</w:t>
      </w:r>
    </w:p>
    <w:p>
      <w:pPr>
        <w:ind w:left="880"/>
        <w:spacing w:after="0" w:line="203" w:lineRule="auto"/>
        <w:rPr>
          <w:sz w:val="20"/>
          <w:szCs w:val="20"/>
          <w:color w:val="auto"/>
        </w:rPr>
      </w:pPr>
      <w:r>
        <w:rPr>
          <w:rFonts w:ascii="Arial" w:cs="Arial" w:eastAsia="Arial" w:hAnsi="Arial"/>
          <w:sz w:val="18"/>
          <w:szCs w:val="18"/>
          <w:color w:val="auto"/>
        </w:rPr>
        <w:t>Estonia</w:t>
      </w:r>
    </w:p>
    <w:p>
      <w:pPr>
        <w:ind w:left="880"/>
        <w:spacing w:after="0" w:line="204" w:lineRule="auto"/>
        <w:rPr>
          <w:sz w:val="20"/>
          <w:szCs w:val="20"/>
          <w:color w:val="auto"/>
        </w:rPr>
      </w:pPr>
      <w:r>
        <w:rPr>
          <w:rFonts w:ascii="Arial" w:cs="Arial" w:eastAsia="Arial" w:hAnsi="Arial"/>
          <w:sz w:val="18"/>
          <w:szCs w:val="18"/>
          <w:color w:val="auto"/>
        </w:rPr>
        <w:t>Ethiopia</w:t>
      </w:r>
    </w:p>
    <w:p>
      <w:pPr>
        <w:ind w:left="880"/>
        <w:spacing w:after="0" w:line="203" w:lineRule="auto"/>
        <w:rPr>
          <w:sz w:val="20"/>
          <w:szCs w:val="20"/>
          <w:color w:val="auto"/>
        </w:rPr>
      </w:pPr>
      <w:r>
        <w:rPr>
          <w:rFonts w:ascii="Arial" w:cs="Arial" w:eastAsia="Arial" w:hAnsi="Arial"/>
          <w:sz w:val="18"/>
          <w:szCs w:val="18"/>
          <w:color w:val="auto"/>
        </w:rPr>
        <w:t>Finland</w:t>
      </w:r>
    </w:p>
    <w:p>
      <w:pPr>
        <w:ind w:left="880"/>
        <w:spacing w:after="0" w:line="204" w:lineRule="auto"/>
        <w:rPr>
          <w:sz w:val="20"/>
          <w:szCs w:val="20"/>
          <w:color w:val="auto"/>
        </w:rPr>
      </w:pPr>
      <w:r>
        <w:rPr>
          <w:rFonts w:ascii="Arial" w:cs="Arial" w:eastAsia="Arial" w:hAnsi="Arial"/>
          <w:sz w:val="18"/>
          <w:szCs w:val="18"/>
          <w:color w:val="auto"/>
        </w:rPr>
        <w:t>France</w:t>
      </w:r>
    </w:p>
    <w:p>
      <w:pPr>
        <w:ind w:left="880"/>
        <w:spacing w:after="0" w:line="203" w:lineRule="auto"/>
        <w:rPr>
          <w:sz w:val="20"/>
          <w:szCs w:val="20"/>
          <w:color w:val="auto"/>
        </w:rPr>
      </w:pPr>
      <w:r>
        <w:rPr>
          <w:rFonts w:ascii="Arial" w:cs="Arial" w:eastAsia="Arial" w:hAnsi="Arial"/>
          <w:sz w:val="18"/>
          <w:szCs w:val="18"/>
          <w:color w:val="auto"/>
        </w:rPr>
        <w:t>Germany</w:t>
      </w:r>
    </w:p>
    <w:p>
      <w:pPr>
        <w:ind w:left="880"/>
        <w:spacing w:after="0" w:line="204" w:lineRule="auto"/>
        <w:rPr>
          <w:sz w:val="20"/>
          <w:szCs w:val="20"/>
          <w:color w:val="auto"/>
        </w:rPr>
      </w:pPr>
      <w:r>
        <w:rPr>
          <w:rFonts w:ascii="Arial" w:cs="Arial" w:eastAsia="Arial" w:hAnsi="Arial"/>
          <w:sz w:val="18"/>
          <w:szCs w:val="18"/>
          <w:color w:val="auto"/>
        </w:rPr>
        <w:t>Ghana</w:t>
      </w:r>
    </w:p>
    <w:p>
      <w:pPr>
        <w:ind w:left="880"/>
        <w:spacing w:after="0" w:line="203" w:lineRule="auto"/>
        <w:rPr>
          <w:sz w:val="20"/>
          <w:szCs w:val="20"/>
          <w:color w:val="auto"/>
        </w:rPr>
      </w:pPr>
      <w:r>
        <w:rPr>
          <w:rFonts w:ascii="Arial" w:cs="Arial" w:eastAsia="Arial" w:hAnsi="Arial"/>
          <w:sz w:val="18"/>
          <w:szCs w:val="18"/>
          <w:color w:val="auto"/>
        </w:rPr>
        <w:t>Guinea</w:t>
      </w:r>
    </w:p>
    <w:p>
      <w:pPr>
        <w:ind w:left="880"/>
        <w:spacing w:after="0" w:line="204" w:lineRule="auto"/>
        <w:rPr>
          <w:sz w:val="20"/>
          <w:szCs w:val="20"/>
          <w:color w:val="auto"/>
        </w:rPr>
      </w:pPr>
      <w:r>
        <w:rPr>
          <w:rFonts w:ascii="Arial" w:cs="Arial" w:eastAsia="Arial" w:hAnsi="Arial"/>
          <w:sz w:val="18"/>
          <w:szCs w:val="18"/>
          <w:color w:val="auto"/>
        </w:rPr>
        <w:t>Guyana</w:t>
      </w:r>
    </w:p>
    <w:p>
      <w:pPr>
        <w:ind w:left="880"/>
        <w:spacing w:after="0" w:line="203" w:lineRule="auto"/>
        <w:rPr>
          <w:sz w:val="20"/>
          <w:szCs w:val="20"/>
          <w:color w:val="auto"/>
        </w:rPr>
      </w:pPr>
      <w:r>
        <w:rPr>
          <w:rFonts w:ascii="Arial" w:cs="Arial" w:eastAsia="Arial" w:hAnsi="Arial"/>
          <w:sz w:val="18"/>
          <w:szCs w:val="18"/>
          <w:color w:val="auto"/>
        </w:rPr>
        <w:t>Hungary</w:t>
      </w:r>
    </w:p>
    <w:p>
      <w:pPr>
        <w:ind w:left="880"/>
        <w:spacing w:after="0" w:line="204" w:lineRule="auto"/>
        <w:rPr>
          <w:sz w:val="20"/>
          <w:szCs w:val="20"/>
          <w:color w:val="auto"/>
        </w:rPr>
      </w:pPr>
      <w:r>
        <w:rPr>
          <w:rFonts w:ascii="Arial" w:cs="Arial" w:eastAsia="Arial" w:hAnsi="Arial"/>
          <w:sz w:val="18"/>
          <w:szCs w:val="18"/>
          <w:color w:val="auto"/>
        </w:rPr>
        <w:t>India</w:t>
      </w:r>
    </w:p>
    <w:p>
      <w:pPr>
        <w:ind w:left="880"/>
        <w:spacing w:after="0" w:line="203" w:lineRule="auto"/>
        <w:rPr>
          <w:sz w:val="20"/>
          <w:szCs w:val="20"/>
          <w:color w:val="auto"/>
        </w:rPr>
      </w:pPr>
      <w:r>
        <w:rPr>
          <w:rFonts w:ascii="Arial" w:cs="Arial" w:eastAsia="Arial" w:hAnsi="Arial"/>
          <w:sz w:val="18"/>
          <w:szCs w:val="18"/>
          <w:color w:val="auto"/>
        </w:rPr>
        <w:t>Indonesia</w:t>
      </w:r>
    </w:p>
    <w:p>
      <w:pPr>
        <w:ind w:left="880"/>
        <w:spacing w:after="0" w:line="204" w:lineRule="auto"/>
        <w:rPr>
          <w:sz w:val="20"/>
          <w:szCs w:val="20"/>
          <w:color w:val="auto"/>
        </w:rPr>
      </w:pPr>
      <w:r>
        <w:rPr>
          <w:rFonts w:ascii="Arial" w:cs="Arial" w:eastAsia="Arial" w:hAnsi="Arial"/>
          <w:sz w:val="18"/>
          <w:szCs w:val="18"/>
          <w:color w:val="auto"/>
        </w:rPr>
        <w:t>Ireland</w:t>
      </w:r>
    </w:p>
    <w:p>
      <w:pPr>
        <w:ind w:left="880"/>
        <w:spacing w:after="0" w:line="203" w:lineRule="auto"/>
        <w:rPr>
          <w:sz w:val="20"/>
          <w:szCs w:val="20"/>
          <w:color w:val="auto"/>
        </w:rPr>
      </w:pPr>
      <w:r>
        <w:rPr>
          <w:rFonts w:ascii="Arial" w:cs="Arial" w:eastAsia="Arial" w:hAnsi="Arial"/>
          <w:sz w:val="18"/>
          <w:szCs w:val="18"/>
          <w:color w:val="auto"/>
        </w:rPr>
        <w:t>Israel</w:t>
      </w:r>
    </w:p>
    <w:p>
      <w:pPr>
        <w:ind w:left="880"/>
        <w:spacing w:after="0" w:line="204" w:lineRule="auto"/>
        <w:rPr>
          <w:sz w:val="20"/>
          <w:szCs w:val="20"/>
          <w:color w:val="auto"/>
        </w:rPr>
      </w:pPr>
      <w:r>
        <w:rPr>
          <w:rFonts w:ascii="Arial" w:cs="Arial" w:eastAsia="Arial" w:hAnsi="Arial"/>
          <w:sz w:val="18"/>
          <w:szCs w:val="18"/>
          <w:color w:val="auto"/>
        </w:rPr>
        <w:t>Italy</w:t>
      </w:r>
    </w:p>
    <w:p>
      <w:pPr>
        <w:ind w:left="880"/>
        <w:spacing w:after="0" w:line="203" w:lineRule="auto"/>
        <w:rPr>
          <w:sz w:val="20"/>
          <w:szCs w:val="20"/>
          <w:color w:val="auto"/>
        </w:rPr>
      </w:pPr>
      <w:r>
        <w:rPr>
          <w:rFonts w:ascii="Arial" w:cs="Arial" w:eastAsia="Arial" w:hAnsi="Arial"/>
          <w:sz w:val="18"/>
          <w:szCs w:val="18"/>
          <w:color w:val="auto"/>
        </w:rPr>
        <w:t>Ivory Coast</w:t>
      </w:r>
    </w:p>
    <w:p>
      <w:pPr>
        <w:ind w:left="880"/>
        <w:spacing w:after="0" w:line="204" w:lineRule="auto"/>
        <w:rPr>
          <w:sz w:val="20"/>
          <w:szCs w:val="20"/>
          <w:color w:val="auto"/>
        </w:rPr>
      </w:pPr>
      <w:r>
        <w:rPr>
          <w:rFonts w:ascii="Arial" w:cs="Arial" w:eastAsia="Arial" w:hAnsi="Arial"/>
          <w:sz w:val="18"/>
          <w:szCs w:val="18"/>
          <w:color w:val="auto"/>
        </w:rPr>
        <w:t>Japan</w:t>
      </w:r>
    </w:p>
    <w:p>
      <w:pPr>
        <w:ind w:left="880"/>
        <w:spacing w:after="0" w:line="203" w:lineRule="auto"/>
        <w:rPr>
          <w:sz w:val="20"/>
          <w:szCs w:val="20"/>
          <w:color w:val="auto"/>
        </w:rPr>
      </w:pPr>
      <w:r>
        <w:rPr>
          <w:rFonts w:ascii="Arial" w:cs="Arial" w:eastAsia="Arial" w:hAnsi="Arial"/>
          <w:sz w:val="18"/>
          <w:szCs w:val="18"/>
          <w:color w:val="auto"/>
        </w:rPr>
        <w:t>Kazakhstan</w:t>
      </w:r>
    </w:p>
    <w:p>
      <w:pPr>
        <w:ind w:left="880"/>
        <w:spacing w:after="0" w:line="204" w:lineRule="auto"/>
        <w:rPr>
          <w:sz w:val="20"/>
          <w:szCs w:val="20"/>
          <w:color w:val="auto"/>
        </w:rPr>
      </w:pPr>
      <w:r>
        <w:rPr>
          <w:rFonts w:ascii="Arial" w:cs="Arial" w:eastAsia="Arial" w:hAnsi="Arial"/>
          <w:sz w:val="18"/>
          <w:szCs w:val="18"/>
          <w:color w:val="auto"/>
        </w:rPr>
        <w:t>Kenya</w:t>
      </w:r>
    </w:p>
    <w:p>
      <w:pPr>
        <w:ind w:left="880"/>
        <w:spacing w:after="0" w:line="203" w:lineRule="auto"/>
        <w:rPr>
          <w:sz w:val="20"/>
          <w:szCs w:val="20"/>
          <w:color w:val="auto"/>
        </w:rPr>
      </w:pPr>
      <w:r>
        <w:rPr>
          <w:rFonts w:ascii="Arial" w:cs="Arial" w:eastAsia="Arial" w:hAnsi="Arial"/>
          <w:sz w:val="18"/>
          <w:szCs w:val="18"/>
          <w:color w:val="auto"/>
        </w:rPr>
        <w:t>Kyrgyzstan</w:t>
      </w:r>
    </w:p>
    <w:p>
      <w:pPr>
        <w:ind w:left="880"/>
        <w:spacing w:after="0" w:line="204" w:lineRule="auto"/>
        <w:rPr>
          <w:sz w:val="20"/>
          <w:szCs w:val="20"/>
          <w:color w:val="auto"/>
        </w:rPr>
      </w:pPr>
      <w:r>
        <w:rPr>
          <w:rFonts w:ascii="Arial" w:cs="Arial" w:eastAsia="Arial" w:hAnsi="Arial"/>
          <w:sz w:val="18"/>
          <w:szCs w:val="18"/>
          <w:color w:val="auto"/>
        </w:rPr>
        <w:t>Laos</w:t>
      </w:r>
    </w:p>
    <w:p>
      <w:pPr>
        <w:ind w:left="880"/>
        <w:spacing w:after="0" w:line="203" w:lineRule="auto"/>
        <w:rPr>
          <w:sz w:val="20"/>
          <w:szCs w:val="20"/>
          <w:color w:val="auto"/>
        </w:rPr>
      </w:pPr>
      <w:r>
        <w:rPr>
          <w:rFonts w:ascii="Arial" w:cs="Arial" w:eastAsia="Arial" w:hAnsi="Arial"/>
          <w:sz w:val="18"/>
          <w:szCs w:val="18"/>
          <w:color w:val="auto"/>
        </w:rPr>
        <w:t>Liberia</w:t>
      </w:r>
    </w:p>
    <w:p>
      <w:pPr>
        <w:ind w:left="880"/>
        <w:spacing w:after="0" w:line="204" w:lineRule="auto"/>
        <w:rPr>
          <w:sz w:val="20"/>
          <w:szCs w:val="20"/>
          <w:color w:val="auto"/>
        </w:rPr>
      </w:pPr>
      <w:r>
        <w:rPr>
          <w:rFonts w:ascii="Arial" w:cs="Arial" w:eastAsia="Arial" w:hAnsi="Arial"/>
          <w:sz w:val="18"/>
          <w:szCs w:val="18"/>
          <w:color w:val="auto"/>
        </w:rPr>
        <w:t>Lithuania</w:t>
      </w:r>
    </w:p>
    <w:p>
      <w:pPr>
        <w:ind w:left="880"/>
        <w:spacing w:after="0" w:line="203" w:lineRule="auto"/>
        <w:rPr>
          <w:sz w:val="20"/>
          <w:szCs w:val="20"/>
          <w:color w:val="auto"/>
        </w:rPr>
      </w:pPr>
      <w:r>
        <w:rPr>
          <w:rFonts w:ascii="Arial" w:cs="Arial" w:eastAsia="Arial" w:hAnsi="Arial"/>
          <w:sz w:val="18"/>
          <w:szCs w:val="18"/>
          <w:color w:val="auto"/>
        </w:rPr>
        <w:t>Luxembourg</w:t>
      </w:r>
    </w:p>
    <w:p>
      <w:pPr>
        <w:ind w:left="880"/>
        <w:spacing w:after="0" w:line="204" w:lineRule="auto"/>
        <w:rPr>
          <w:sz w:val="20"/>
          <w:szCs w:val="20"/>
          <w:color w:val="auto"/>
        </w:rPr>
      </w:pPr>
      <w:r>
        <w:rPr>
          <w:rFonts w:ascii="Arial" w:cs="Arial" w:eastAsia="Arial" w:hAnsi="Arial"/>
          <w:sz w:val="18"/>
          <w:szCs w:val="18"/>
          <w:color w:val="auto"/>
        </w:rPr>
        <w:t>Madagascar</w:t>
      </w:r>
    </w:p>
    <w:p>
      <w:pPr>
        <w:ind w:left="880"/>
        <w:spacing w:after="0" w:line="203" w:lineRule="auto"/>
        <w:rPr>
          <w:sz w:val="20"/>
          <w:szCs w:val="20"/>
          <w:color w:val="auto"/>
        </w:rPr>
      </w:pPr>
      <w:r>
        <w:rPr>
          <w:rFonts w:ascii="Arial" w:cs="Arial" w:eastAsia="Arial" w:hAnsi="Arial"/>
          <w:sz w:val="18"/>
          <w:szCs w:val="18"/>
          <w:color w:val="auto"/>
        </w:rPr>
        <w:t>Malaysia</w:t>
      </w:r>
    </w:p>
    <w:p>
      <w:pPr>
        <w:ind w:left="880"/>
        <w:spacing w:after="0" w:line="204" w:lineRule="auto"/>
        <w:rPr>
          <w:sz w:val="20"/>
          <w:szCs w:val="20"/>
          <w:color w:val="auto"/>
        </w:rPr>
      </w:pPr>
      <w:r>
        <w:rPr>
          <w:rFonts w:ascii="Arial" w:cs="Arial" w:eastAsia="Arial" w:hAnsi="Arial"/>
          <w:sz w:val="18"/>
          <w:szCs w:val="18"/>
          <w:color w:val="auto"/>
        </w:rPr>
        <w:t>Mali</w:t>
      </w:r>
    </w:p>
    <w:p>
      <w:pPr>
        <w:ind w:left="880"/>
        <w:spacing w:after="0" w:line="203" w:lineRule="auto"/>
        <w:rPr>
          <w:sz w:val="20"/>
          <w:szCs w:val="20"/>
          <w:color w:val="auto"/>
        </w:rPr>
      </w:pPr>
      <w:r>
        <w:rPr>
          <w:rFonts w:ascii="Arial" w:cs="Arial" w:eastAsia="Arial" w:hAnsi="Arial"/>
          <w:sz w:val="18"/>
          <w:szCs w:val="18"/>
          <w:color w:val="auto"/>
        </w:rPr>
        <w:t>Mauritania</w:t>
      </w:r>
    </w:p>
    <w:p>
      <w:pPr>
        <w:ind w:left="880"/>
        <w:spacing w:after="0" w:line="204" w:lineRule="auto"/>
        <w:rPr>
          <w:sz w:val="20"/>
          <w:szCs w:val="20"/>
          <w:color w:val="auto"/>
        </w:rPr>
      </w:pPr>
      <w:r>
        <w:rPr>
          <w:rFonts w:ascii="Arial" w:cs="Arial" w:eastAsia="Arial" w:hAnsi="Arial"/>
          <w:sz w:val="18"/>
          <w:szCs w:val="18"/>
          <w:color w:val="auto"/>
        </w:rPr>
        <w:t>Mexico</w:t>
      </w:r>
    </w:p>
    <w:p>
      <w:pPr>
        <w:ind w:left="880"/>
        <w:spacing w:after="0" w:line="203" w:lineRule="auto"/>
        <w:rPr>
          <w:sz w:val="20"/>
          <w:szCs w:val="20"/>
          <w:color w:val="auto"/>
        </w:rPr>
      </w:pPr>
      <w:r>
        <w:rPr>
          <w:rFonts w:ascii="Arial" w:cs="Arial" w:eastAsia="Arial" w:hAnsi="Arial"/>
          <w:sz w:val="18"/>
          <w:szCs w:val="18"/>
          <w:color w:val="auto"/>
        </w:rPr>
        <w:t>Mongolia</w:t>
      </w:r>
    </w:p>
    <w:p>
      <w:pPr>
        <w:ind w:left="880"/>
        <w:spacing w:after="0" w:line="204" w:lineRule="auto"/>
        <w:rPr>
          <w:sz w:val="20"/>
          <w:szCs w:val="20"/>
          <w:color w:val="auto"/>
        </w:rPr>
      </w:pPr>
      <w:r>
        <w:rPr>
          <w:rFonts w:ascii="Arial" w:cs="Arial" w:eastAsia="Arial" w:hAnsi="Arial"/>
          <w:sz w:val="18"/>
          <w:szCs w:val="18"/>
          <w:color w:val="auto"/>
        </w:rPr>
        <w:t>Morocco</w:t>
      </w:r>
    </w:p>
    <w:p>
      <w:pPr>
        <w:ind w:left="880"/>
        <w:spacing w:after="0" w:line="203" w:lineRule="auto"/>
        <w:rPr>
          <w:sz w:val="20"/>
          <w:szCs w:val="20"/>
          <w:color w:val="auto"/>
        </w:rPr>
      </w:pPr>
      <w:r>
        <w:rPr>
          <w:rFonts w:ascii="Arial" w:cs="Arial" w:eastAsia="Arial" w:hAnsi="Arial"/>
          <w:sz w:val="18"/>
          <w:szCs w:val="18"/>
          <w:color w:val="auto"/>
        </w:rPr>
        <w:t>Mozambique</w:t>
      </w:r>
    </w:p>
    <w:p>
      <w:pPr>
        <w:ind w:left="880"/>
        <w:spacing w:after="0" w:line="204" w:lineRule="auto"/>
        <w:rPr>
          <w:sz w:val="20"/>
          <w:szCs w:val="20"/>
          <w:color w:val="auto"/>
        </w:rPr>
      </w:pPr>
      <w:r>
        <w:rPr>
          <w:rFonts w:ascii="Arial" w:cs="Arial" w:eastAsia="Arial" w:hAnsi="Arial"/>
          <w:sz w:val="18"/>
          <w:szCs w:val="18"/>
          <w:color w:val="auto"/>
        </w:rPr>
        <w:t>Myanmar</w:t>
      </w:r>
    </w:p>
    <w:p>
      <w:pPr>
        <w:ind w:left="880"/>
        <w:spacing w:after="0" w:line="203" w:lineRule="auto"/>
        <w:rPr>
          <w:sz w:val="20"/>
          <w:szCs w:val="20"/>
          <w:color w:val="auto"/>
        </w:rPr>
      </w:pPr>
      <w:r>
        <w:rPr>
          <w:rFonts w:ascii="Arial" w:cs="Arial" w:eastAsia="Arial" w:hAnsi="Arial"/>
          <w:sz w:val="18"/>
          <w:szCs w:val="18"/>
          <w:color w:val="auto"/>
        </w:rPr>
        <w:t>Namibia</w:t>
      </w:r>
    </w:p>
    <w:p>
      <w:pPr>
        <w:ind w:left="880"/>
        <w:spacing w:after="0" w:line="204" w:lineRule="auto"/>
        <w:rPr>
          <w:sz w:val="20"/>
          <w:szCs w:val="20"/>
          <w:color w:val="auto"/>
        </w:rPr>
      </w:pPr>
      <w:r>
        <w:rPr>
          <w:rFonts w:ascii="Arial" w:cs="Arial" w:eastAsia="Arial" w:hAnsi="Arial"/>
          <w:sz w:val="18"/>
          <w:szCs w:val="18"/>
          <w:color w:val="auto"/>
        </w:rPr>
        <w:t>Netherlands</w:t>
      </w:r>
    </w:p>
    <w:p>
      <w:pPr>
        <w:ind w:left="880"/>
        <w:spacing w:after="0" w:line="203" w:lineRule="auto"/>
        <w:rPr>
          <w:sz w:val="20"/>
          <w:szCs w:val="20"/>
          <w:color w:val="auto"/>
        </w:rPr>
      </w:pPr>
      <w:r>
        <w:rPr>
          <w:rFonts w:ascii="Arial" w:cs="Arial" w:eastAsia="Arial" w:hAnsi="Arial"/>
          <w:sz w:val="18"/>
          <w:szCs w:val="18"/>
          <w:color w:val="auto"/>
        </w:rPr>
        <w:t>New Zealand</w:t>
      </w:r>
    </w:p>
    <w:p>
      <w:pPr>
        <w:ind w:left="880"/>
        <w:spacing w:after="0" w:line="204" w:lineRule="auto"/>
        <w:rPr>
          <w:sz w:val="20"/>
          <w:szCs w:val="20"/>
          <w:color w:val="auto"/>
        </w:rPr>
      </w:pPr>
      <w:r>
        <w:rPr>
          <w:rFonts w:ascii="Arial" w:cs="Arial" w:eastAsia="Arial" w:hAnsi="Arial"/>
          <w:sz w:val="18"/>
          <w:szCs w:val="18"/>
          <w:color w:val="auto"/>
        </w:rPr>
        <w:t>Niger</w:t>
      </w:r>
    </w:p>
    <w:p>
      <w:pPr>
        <w:ind w:left="880"/>
        <w:spacing w:after="0" w:line="203" w:lineRule="auto"/>
        <w:rPr>
          <w:sz w:val="20"/>
          <w:szCs w:val="20"/>
          <w:color w:val="auto"/>
        </w:rPr>
      </w:pPr>
      <w:r>
        <w:rPr>
          <w:rFonts w:ascii="Arial" w:cs="Arial" w:eastAsia="Arial" w:hAnsi="Arial"/>
          <w:sz w:val="18"/>
          <w:szCs w:val="18"/>
          <w:color w:val="auto"/>
        </w:rPr>
        <w:t>Nigeria</w:t>
      </w:r>
    </w:p>
    <w:p>
      <w:pPr>
        <w:ind w:left="880"/>
        <w:spacing w:after="0" w:line="204" w:lineRule="auto"/>
        <w:rPr>
          <w:sz w:val="20"/>
          <w:szCs w:val="20"/>
          <w:color w:val="auto"/>
        </w:rPr>
      </w:pPr>
      <w:r>
        <w:rPr>
          <w:rFonts w:ascii="Arial" w:cs="Arial" w:eastAsia="Arial" w:hAnsi="Arial"/>
          <w:sz w:val="18"/>
          <w:szCs w:val="18"/>
          <w:color w:val="auto"/>
        </w:rPr>
        <w:t>Papua New Guinea</w:t>
      </w:r>
    </w:p>
    <w:p>
      <w:pPr>
        <w:ind w:left="880"/>
        <w:spacing w:after="0" w:line="203" w:lineRule="auto"/>
        <w:rPr>
          <w:sz w:val="20"/>
          <w:szCs w:val="20"/>
          <w:color w:val="auto"/>
        </w:rPr>
      </w:pPr>
      <w:r>
        <w:rPr>
          <w:rFonts w:ascii="Arial" w:cs="Arial" w:eastAsia="Arial" w:hAnsi="Arial"/>
          <w:sz w:val="18"/>
          <w:szCs w:val="18"/>
          <w:color w:val="auto"/>
        </w:rPr>
        <w:t>Peru</w:t>
      </w:r>
    </w:p>
    <w:p>
      <w:pPr>
        <w:ind w:left="880"/>
        <w:spacing w:after="0" w:line="204" w:lineRule="auto"/>
        <w:rPr>
          <w:sz w:val="20"/>
          <w:szCs w:val="20"/>
          <w:color w:val="auto"/>
        </w:rPr>
      </w:pPr>
      <w:r>
        <w:rPr>
          <w:rFonts w:ascii="Arial" w:cs="Arial" w:eastAsia="Arial" w:hAnsi="Arial"/>
          <w:sz w:val="18"/>
          <w:szCs w:val="18"/>
          <w:color w:val="auto"/>
        </w:rPr>
        <w:t>Philippines</w:t>
      </w:r>
    </w:p>
    <w:p>
      <w:pPr>
        <w:ind w:left="880"/>
        <w:spacing w:after="0"/>
        <w:rPr>
          <w:sz w:val="20"/>
          <w:szCs w:val="20"/>
          <w:color w:val="auto"/>
        </w:rPr>
      </w:pPr>
      <w:r>
        <w:rPr>
          <w:rFonts w:ascii="Arial" w:cs="Arial" w:eastAsia="Arial" w:hAnsi="Arial"/>
          <w:sz w:val="18"/>
          <w:szCs w:val="18"/>
          <w:color w:val="auto"/>
        </w:rPr>
        <w:t>Poland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330200</wp:posOffset>
            </wp:positionV>
            <wp:extent cx="5452110" cy="25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452110" cy="25400"/>
                    </a:xfrm>
                    <a:prstGeom prst="rect">
                      <a:avLst/>
                    </a:prstGeom>
                    <a:noFill/>
                  </pic:spPr>
                </pic:pic>
              </a:graphicData>
            </a:graphic>
          </wp:anchor>
        </w:drawing>
      </w:r>
    </w:p>
    <w:p>
      <w:pPr>
        <w:sectPr>
          <w:pgSz w:w="11900" w:h="16838" w:orient="portrait"/>
          <w:cols w:equalWidth="0" w:num="1">
            <w:col w:w="9019"/>
          </w:cols>
          <w:pgMar w:left="1440" w:top="96" w:right="1440" w:bottom="1440" w:gutter="0" w:footer="0" w:header="0"/>
        </w:sectPr>
      </w:pPr>
    </w:p>
    <w:bookmarkStart w:id="19" w:name="page20"/>
    <w:bookmarkEnd w:id="19"/>
    <w:p>
      <w:pPr>
        <w:ind w:left="880"/>
        <w:spacing w:after="0"/>
        <w:rPr>
          <w:sz w:val="20"/>
          <w:szCs w:val="20"/>
          <w:color w:val="auto"/>
        </w:rPr>
      </w:pPr>
      <w:r>
        <w:rPr>
          <w:rFonts w:ascii="Arial" w:cs="Arial" w:eastAsia="Arial" w:hAnsi="Arial"/>
          <w:sz w:val="18"/>
          <w:szCs w:val="18"/>
          <w:color w:val="auto"/>
        </w:rPr>
        <w:t>Portugal</w:t>
      </w:r>
    </w:p>
    <w:p>
      <w:pPr>
        <w:ind w:left="880"/>
        <w:spacing w:after="0" w:line="203" w:lineRule="auto"/>
        <w:rPr>
          <w:sz w:val="20"/>
          <w:szCs w:val="20"/>
          <w:color w:val="auto"/>
        </w:rPr>
      </w:pPr>
      <w:r>
        <w:rPr>
          <w:rFonts w:ascii="Arial" w:cs="Arial" w:eastAsia="Arial" w:hAnsi="Arial"/>
          <w:sz w:val="18"/>
          <w:szCs w:val="18"/>
          <w:color w:val="auto"/>
        </w:rPr>
        <w:t>Republic</w:t>
      </w:r>
    </w:p>
    <w:p>
      <w:pPr>
        <w:ind w:left="880"/>
        <w:spacing w:after="0" w:line="203" w:lineRule="auto"/>
        <w:rPr>
          <w:sz w:val="20"/>
          <w:szCs w:val="20"/>
          <w:color w:val="auto"/>
        </w:rPr>
      </w:pPr>
      <w:r>
        <w:rPr>
          <w:rFonts w:ascii="Arial" w:cs="Arial" w:eastAsia="Arial" w:hAnsi="Arial"/>
          <w:sz w:val="18"/>
          <w:szCs w:val="18"/>
          <w:color w:val="auto"/>
        </w:rPr>
        <w:t>Republic Of Korea</w:t>
      </w:r>
    </w:p>
    <w:p>
      <w:pPr>
        <w:ind w:left="880"/>
        <w:spacing w:after="0" w:line="204" w:lineRule="auto"/>
        <w:rPr>
          <w:sz w:val="20"/>
          <w:szCs w:val="20"/>
          <w:color w:val="auto"/>
        </w:rPr>
      </w:pPr>
      <w:r>
        <w:rPr>
          <w:rFonts w:ascii="Arial" w:cs="Arial" w:eastAsia="Arial" w:hAnsi="Arial"/>
          <w:sz w:val="18"/>
          <w:szCs w:val="18"/>
          <w:color w:val="auto"/>
        </w:rPr>
        <w:t>Russia</w:t>
      </w:r>
    </w:p>
    <w:p>
      <w:pPr>
        <w:ind w:left="880"/>
        <w:spacing w:after="0" w:line="203" w:lineRule="auto"/>
        <w:rPr>
          <w:sz w:val="20"/>
          <w:szCs w:val="20"/>
          <w:color w:val="auto"/>
        </w:rPr>
      </w:pPr>
      <w:r>
        <w:rPr>
          <w:rFonts w:ascii="Arial" w:cs="Arial" w:eastAsia="Arial" w:hAnsi="Arial"/>
          <w:sz w:val="18"/>
          <w:szCs w:val="18"/>
          <w:color w:val="auto"/>
        </w:rPr>
        <w:t>Rwanda</w:t>
      </w:r>
    </w:p>
    <w:p>
      <w:pPr>
        <w:ind w:left="880"/>
        <w:spacing w:after="0" w:line="204" w:lineRule="auto"/>
        <w:rPr>
          <w:sz w:val="20"/>
          <w:szCs w:val="20"/>
          <w:color w:val="auto"/>
        </w:rPr>
      </w:pPr>
      <w:r>
        <w:rPr>
          <w:rFonts w:ascii="Arial" w:cs="Arial" w:eastAsia="Arial" w:hAnsi="Arial"/>
          <w:sz w:val="18"/>
          <w:szCs w:val="18"/>
          <w:color w:val="auto"/>
        </w:rPr>
        <w:t>Saudi Arabia</w:t>
      </w:r>
    </w:p>
    <w:p>
      <w:pPr>
        <w:ind w:left="880"/>
        <w:spacing w:after="0" w:line="203" w:lineRule="auto"/>
        <w:rPr>
          <w:sz w:val="20"/>
          <w:szCs w:val="20"/>
          <w:color w:val="auto"/>
        </w:rPr>
      </w:pPr>
      <w:r>
        <w:rPr>
          <w:rFonts w:ascii="Arial" w:cs="Arial" w:eastAsia="Arial" w:hAnsi="Arial"/>
          <w:sz w:val="18"/>
          <w:szCs w:val="18"/>
          <w:color w:val="auto"/>
        </w:rPr>
        <w:t>Sierra Leone</w:t>
      </w:r>
    </w:p>
    <w:p>
      <w:pPr>
        <w:ind w:left="880"/>
        <w:spacing w:after="0" w:line="204" w:lineRule="auto"/>
        <w:rPr>
          <w:sz w:val="20"/>
          <w:szCs w:val="20"/>
          <w:color w:val="auto"/>
        </w:rPr>
      </w:pPr>
      <w:r>
        <w:rPr>
          <w:rFonts w:ascii="Arial" w:cs="Arial" w:eastAsia="Arial" w:hAnsi="Arial"/>
          <w:sz w:val="18"/>
          <w:szCs w:val="18"/>
          <w:color w:val="auto"/>
        </w:rPr>
        <w:t>Singapore</w:t>
      </w:r>
    </w:p>
    <w:p>
      <w:pPr>
        <w:ind w:left="880"/>
        <w:spacing w:after="0" w:line="203" w:lineRule="auto"/>
        <w:rPr>
          <w:sz w:val="20"/>
          <w:szCs w:val="20"/>
          <w:color w:val="auto"/>
        </w:rPr>
      </w:pPr>
      <w:r>
        <w:rPr>
          <w:rFonts w:ascii="Arial" w:cs="Arial" w:eastAsia="Arial" w:hAnsi="Arial"/>
          <w:sz w:val="18"/>
          <w:szCs w:val="18"/>
          <w:color w:val="auto"/>
        </w:rPr>
        <w:t>Slovakia</w:t>
      </w:r>
    </w:p>
    <w:p>
      <w:pPr>
        <w:ind w:left="880"/>
        <w:spacing w:after="0" w:line="204" w:lineRule="auto"/>
        <w:rPr>
          <w:sz w:val="20"/>
          <w:szCs w:val="20"/>
          <w:color w:val="auto"/>
        </w:rPr>
      </w:pPr>
      <w:r>
        <w:rPr>
          <w:rFonts w:ascii="Arial" w:cs="Arial" w:eastAsia="Arial" w:hAnsi="Arial"/>
          <w:sz w:val="18"/>
          <w:szCs w:val="18"/>
          <w:color w:val="auto"/>
        </w:rPr>
        <w:t>Slovenia</w:t>
      </w:r>
    </w:p>
    <w:p>
      <w:pPr>
        <w:ind w:left="880"/>
        <w:spacing w:after="0" w:line="203" w:lineRule="auto"/>
        <w:rPr>
          <w:sz w:val="20"/>
          <w:szCs w:val="20"/>
          <w:color w:val="auto"/>
        </w:rPr>
      </w:pPr>
      <w:r>
        <w:rPr>
          <w:rFonts w:ascii="Arial" w:cs="Arial" w:eastAsia="Arial" w:hAnsi="Arial"/>
          <w:sz w:val="18"/>
          <w:szCs w:val="18"/>
          <w:color w:val="auto"/>
        </w:rPr>
        <w:t>South Africa</w:t>
      </w:r>
    </w:p>
    <w:p>
      <w:pPr>
        <w:ind w:left="880"/>
        <w:spacing w:after="0" w:line="204" w:lineRule="auto"/>
        <w:rPr>
          <w:sz w:val="20"/>
          <w:szCs w:val="20"/>
          <w:color w:val="auto"/>
        </w:rPr>
      </w:pPr>
      <w:r>
        <w:rPr>
          <w:rFonts w:ascii="Arial" w:cs="Arial" w:eastAsia="Arial" w:hAnsi="Arial"/>
          <w:sz w:val="18"/>
          <w:szCs w:val="18"/>
          <w:color w:val="auto"/>
        </w:rPr>
        <w:t>Spain</w:t>
      </w:r>
    </w:p>
    <w:p>
      <w:pPr>
        <w:ind w:left="880"/>
        <w:spacing w:after="0" w:line="203" w:lineRule="auto"/>
        <w:rPr>
          <w:sz w:val="20"/>
          <w:szCs w:val="20"/>
          <w:color w:val="auto"/>
        </w:rPr>
      </w:pPr>
      <w:r>
        <w:rPr>
          <w:rFonts w:ascii="Arial" w:cs="Arial" w:eastAsia="Arial" w:hAnsi="Arial"/>
          <w:sz w:val="18"/>
          <w:szCs w:val="18"/>
          <w:color w:val="auto"/>
        </w:rPr>
        <w:t>Suri</w:t>
      </w:r>
    </w:p>
    <w:p>
      <w:pPr>
        <w:ind w:left="880"/>
        <w:spacing w:after="0" w:line="204" w:lineRule="auto"/>
        <w:rPr>
          <w:sz w:val="20"/>
          <w:szCs w:val="20"/>
          <w:color w:val="auto"/>
        </w:rPr>
      </w:pPr>
      <w:r>
        <w:rPr>
          <w:rFonts w:ascii="Arial" w:cs="Arial" w:eastAsia="Arial" w:hAnsi="Arial"/>
          <w:sz w:val="18"/>
          <w:szCs w:val="18"/>
          <w:color w:val="auto"/>
        </w:rPr>
        <w:t>Suriname</w:t>
      </w:r>
    </w:p>
    <w:p>
      <w:pPr>
        <w:ind w:left="880"/>
        <w:spacing w:after="0" w:line="203" w:lineRule="auto"/>
        <w:rPr>
          <w:sz w:val="20"/>
          <w:szCs w:val="20"/>
          <w:color w:val="auto"/>
        </w:rPr>
      </w:pPr>
      <w:r>
        <w:rPr>
          <w:rFonts w:ascii="Arial" w:cs="Arial" w:eastAsia="Arial" w:hAnsi="Arial"/>
          <w:sz w:val="18"/>
          <w:szCs w:val="18"/>
          <w:color w:val="auto"/>
        </w:rPr>
        <w:t>Sweden</w:t>
      </w:r>
    </w:p>
    <w:p>
      <w:pPr>
        <w:ind w:left="880"/>
        <w:spacing w:after="0" w:line="204" w:lineRule="auto"/>
        <w:rPr>
          <w:sz w:val="20"/>
          <w:szCs w:val="20"/>
          <w:color w:val="auto"/>
        </w:rPr>
      </w:pPr>
      <w:r>
        <w:rPr>
          <w:rFonts w:ascii="Arial" w:cs="Arial" w:eastAsia="Arial" w:hAnsi="Arial"/>
          <w:sz w:val="18"/>
          <w:szCs w:val="18"/>
          <w:color w:val="auto"/>
        </w:rPr>
        <w:t>Switzerland</w:t>
      </w:r>
    </w:p>
    <w:p>
      <w:pPr>
        <w:ind w:left="880"/>
        <w:spacing w:after="0" w:line="203" w:lineRule="auto"/>
        <w:rPr>
          <w:sz w:val="20"/>
          <w:szCs w:val="20"/>
          <w:color w:val="auto"/>
        </w:rPr>
      </w:pPr>
      <w:r>
        <w:rPr>
          <w:rFonts w:ascii="Arial" w:cs="Arial" w:eastAsia="Arial" w:hAnsi="Arial"/>
          <w:sz w:val="18"/>
          <w:szCs w:val="18"/>
          <w:color w:val="auto"/>
        </w:rPr>
        <w:t>Tanzania</w:t>
      </w:r>
    </w:p>
    <w:p>
      <w:pPr>
        <w:ind w:left="880"/>
        <w:spacing w:after="0" w:line="204" w:lineRule="auto"/>
        <w:rPr>
          <w:sz w:val="20"/>
          <w:szCs w:val="20"/>
          <w:color w:val="auto"/>
        </w:rPr>
      </w:pPr>
      <w:r>
        <w:rPr>
          <w:rFonts w:ascii="Arial" w:cs="Arial" w:eastAsia="Arial" w:hAnsi="Arial"/>
          <w:sz w:val="18"/>
          <w:szCs w:val="18"/>
          <w:color w:val="auto"/>
        </w:rPr>
        <w:t>Thailand</w:t>
      </w:r>
    </w:p>
    <w:p>
      <w:pPr>
        <w:ind w:left="880"/>
        <w:spacing w:after="0" w:line="203" w:lineRule="auto"/>
        <w:rPr>
          <w:sz w:val="20"/>
          <w:szCs w:val="20"/>
          <w:color w:val="auto"/>
        </w:rPr>
      </w:pPr>
      <w:r>
        <w:rPr>
          <w:rFonts w:ascii="Arial" w:cs="Arial" w:eastAsia="Arial" w:hAnsi="Arial"/>
          <w:sz w:val="18"/>
          <w:szCs w:val="18"/>
          <w:color w:val="auto"/>
        </w:rPr>
        <w:t>Turkey</w:t>
      </w:r>
    </w:p>
    <w:p>
      <w:pPr>
        <w:ind w:left="880"/>
        <w:spacing w:after="0" w:line="204" w:lineRule="auto"/>
        <w:rPr>
          <w:sz w:val="20"/>
          <w:szCs w:val="20"/>
          <w:color w:val="auto"/>
        </w:rPr>
      </w:pPr>
      <w:r>
        <w:rPr>
          <w:rFonts w:ascii="Arial" w:cs="Arial" w:eastAsia="Arial" w:hAnsi="Arial"/>
          <w:sz w:val="18"/>
          <w:szCs w:val="18"/>
          <w:color w:val="auto"/>
        </w:rPr>
        <w:t>Uganda</w:t>
      </w:r>
    </w:p>
    <w:p>
      <w:pPr>
        <w:ind w:left="880"/>
        <w:spacing w:after="0" w:line="229" w:lineRule="auto"/>
        <w:rPr>
          <w:sz w:val="20"/>
          <w:szCs w:val="20"/>
          <w:color w:val="auto"/>
        </w:rPr>
      </w:pPr>
      <w:r>
        <w:rPr>
          <w:rFonts w:ascii="Arial" w:cs="Arial" w:eastAsia="Arial" w:hAnsi="Arial"/>
          <w:sz w:val="16"/>
          <w:szCs w:val="16"/>
          <w:color w:val="auto"/>
        </w:rPr>
        <w:t>United Arab Emirates</w:t>
      </w:r>
    </w:p>
    <w:p>
      <w:pPr>
        <w:ind w:left="880"/>
        <w:spacing w:after="0" w:line="203" w:lineRule="auto"/>
        <w:rPr>
          <w:sz w:val="20"/>
          <w:szCs w:val="20"/>
          <w:color w:val="auto"/>
        </w:rPr>
      </w:pPr>
      <w:r>
        <w:rPr>
          <w:rFonts w:ascii="Arial" w:cs="Arial" w:eastAsia="Arial" w:hAnsi="Arial"/>
          <w:sz w:val="18"/>
          <w:szCs w:val="18"/>
          <w:color w:val="auto"/>
        </w:rPr>
        <w:t>United Kingdom</w:t>
      </w:r>
    </w:p>
    <w:p>
      <w:pPr>
        <w:ind w:left="880"/>
        <w:spacing w:after="0" w:line="204" w:lineRule="auto"/>
        <w:rPr>
          <w:sz w:val="20"/>
          <w:szCs w:val="20"/>
          <w:color w:val="auto"/>
        </w:rPr>
      </w:pPr>
      <w:r>
        <w:rPr>
          <w:rFonts w:ascii="Arial" w:cs="Arial" w:eastAsia="Arial" w:hAnsi="Arial"/>
          <w:sz w:val="18"/>
          <w:szCs w:val="18"/>
          <w:color w:val="auto"/>
        </w:rPr>
        <w:t>USA</w:t>
      </w:r>
    </w:p>
    <w:p>
      <w:pPr>
        <w:ind w:left="880"/>
        <w:spacing w:after="0" w:line="203" w:lineRule="auto"/>
        <w:rPr>
          <w:sz w:val="20"/>
          <w:szCs w:val="20"/>
          <w:color w:val="auto"/>
        </w:rPr>
      </w:pPr>
      <w:r>
        <w:rPr>
          <w:rFonts w:ascii="Arial" w:cs="Arial" w:eastAsia="Arial" w:hAnsi="Arial"/>
          <w:sz w:val="18"/>
          <w:szCs w:val="18"/>
          <w:color w:val="auto"/>
        </w:rPr>
        <w:t>Uzbekistan</w:t>
      </w:r>
    </w:p>
    <w:p>
      <w:pPr>
        <w:ind w:left="880"/>
        <w:spacing w:after="0" w:line="204" w:lineRule="auto"/>
        <w:rPr>
          <w:sz w:val="20"/>
          <w:szCs w:val="20"/>
          <w:color w:val="auto"/>
        </w:rPr>
      </w:pPr>
      <w:r>
        <w:rPr>
          <w:rFonts w:ascii="Arial" w:cs="Arial" w:eastAsia="Arial" w:hAnsi="Arial"/>
          <w:sz w:val="18"/>
          <w:szCs w:val="18"/>
          <w:color w:val="auto"/>
        </w:rPr>
        <w:t>Viet Nam</w:t>
      </w:r>
    </w:p>
    <w:p>
      <w:pPr>
        <w:ind w:left="880"/>
        <w:spacing w:after="0" w:line="203" w:lineRule="auto"/>
        <w:rPr>
          <w:sz w:val="20"/>
          <w:szCs w:val="20"/>
          <w:color w:val="auto"/>
        </w:rPr>
      </w:pPr>
      <w:r>
        <w:rPr>
          <w:rFonts w:ascii="Arial" w:cs="Arial" w:eastAsia="Arial" w:hAnsi="Arial"/>
          <w:sz w:val="18"/>
          <w:szCs w:val="18"/>
          <w:color w:val="auto"/>
        </w:rPr>
        <w:t>Zambia</w:t>
      </w:r>
    </w:p>
    <w:p>
      <w:pPr>
        <w:spacing w:after="0" w:line="1" w:lineRule="exact"/>
        <w:rPr>
          <w:sz w:val="20"/>
          <w:szCs w:val="20"/>
          <w:color w:val="auto"/>
        </w:rPr>
      </w:pPr>
    </w:p>
    <w:p>
      <w:pPr>
        <w:ind w:left="880"/>
        <w:spacing w:after="0"/>
        <w:rPr>
          <w:sz w:val="20"/>
          <w:szCs w:val="20"/>
          <w:color w:val="auto"/>
        </w:rPr>
      </w:pPr>
      <w:r>
        <w:rPr>
          <w:rFonts w:ascii="Arial" w:cs="Arial" w:eastAsia="Arial" w:hAnsi="Arial"/>
          <w:sz w:val="18"/>
          <w:szCs w:val="18"/>
          <w:color w:val="auto"/>
        </w:rPr>
        <w:t>Zimbabwe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690245</wp:posOffset>
            </wp:positionV>
            <wp:extent cx="5452110"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452110" cy="25400"/>
                    </a:xfrm>
                    <a:prstGeom prst="rect">
                      <a:avLst/>
                    </a:prstGeom>
                    <a:noFill/>
                  </pic:spPr>
                </pic:pic>
              </a:graphicData>
            </a:graphic>
          </wp:anchor>
        </w:drawing>
      </w:r>
    </w:p>
    <w:sectPr>
      <w:pgSz w:w="11900" w:h="16838" w:orient="portrait"/>
      <w:cols w:equalWidth="0" w:num="1">
        <w:col w:w="9019"/>
      </w:cols>
      <w:pgMar w:left="1440" w:top="9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upperLetter"/>
      <w:start w:val="24"/>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2020-06-01T13:02:28Z</dcterms:created>
  <dcterms:modified xsi:type="dcterms:W3CDTF">2020-06-01T13:02:28Z</dcterms:modified>
</cp:coreProperties>
</file>