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February 9,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4"/>
              </w:rPr>
              <w:t>Michigan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0-22684</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38-1465835</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1"/>
              </w:rPr>
              <w:t>2801 East Beltline, NE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2"/>
              </w:rPr>
              <w:t>Grand Rapids, Michigan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49525</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1663700</wp:posOffset>
            </wp:positionH>
            <wp:positionV relativeFrom="paragraph">
              <wp:posOffset>8890</wp:posOffset>
            </wp:positionV>
            <wp:extent cx="284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left="380" w:right="159"/>
        <w:spacing w:after="0" w:line="277" w:lineRule="auto"/>
        <w:rPr>
          <w:sz w:val="20"/>
          <w:szCs w:val="20"/>
          <w:color w:val="auto"/>
        </w:rPr>
      </w:pPr>
      <w:r>
        <w:rPr>
          <w:rFonts w:ascii="Arial" w:cs="Arial" w:eastAsia="Arial" w:hAnsi="Arial"/>
          <w:sz w:val="18"/>
          <w:szCs w:val="18"/>
          <w:color w:val="auto"/>
        </w:rPr>
        <w:t>On February 9, 2011, the Registrant issued a press release announcing its financial results for the quarter ended December 25, 2010. A copy of the Registrant’s press release is attached as Exhibit 99(a) to this Current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Pro Forma Financial Information, and Exhibits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February 9, 2011.</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04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UNIVERSAL FOREST PRODUCTS, INC.</w:t>
            </w:r>
          </w:p>
        </w:tc>
        <w:tc>
          <w:tcPr>
            <w:tcW w:w="27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c>
          <w:tcPr>
            <w:tcW w:w="2780" w:type="dxa"/>
            <w:vAlign w:val="bottom"/>
          </w:tcPr>
          <w:p>
            <w:pPr>
              <w:spacing w:after="0"/>
              <w:rPr>
                <w:sz w:val="20"/>
                <w:szCs w:val="20"/>
                <w:color w:val="auto"/>
              </w:rPr>
            </w:pPr>
          </w:p>
        </w:tc>
      </w:tr>
      <w:tr>
        <w:trPr>
          <w:trHeight w:val="432"/>
        </w:trPr>
        <w:tc>
          <w:tcPr>
            <w:tcW w:w="3480" w:type="dxa"/>
            <w:vAlign w:val="bottom"/>
          </w:tcPr>
          <w:p>
            <w:pPr>
              <w:ind w:left="340"/>
              <w:spacing w:after="0"/>
              <w:rPr>
                <w:sz w:val="20"/>
                <w:szCs w:val="20"/>
                <w:color w:val="auto"/>
              </w:rPr>
            </w:pPr>
            <w:r>
              <w:rPr>
                <w:rFonts w:ascii="Arial" w:cs="Arial" w:eastAsia="Arial" w:hAnsi="Arial"/>
                <w:sz w:val="18"/>
                <w:szCs w:val="18"/>
                <w:color w:val="auto"/>
              </w:rPr>
              <w:t>Dated: February 9, 2011</w:t>
            </w: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By: /s/ Michael R. Cole</w:t>
            </w:r>
          </w:p>
        </w:tc>
        <w:tc>
          <w:tcPr>
            <w:tcW w:w="27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c>
          <w:tcPr>
            <w:tcW w:w="278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2780" w:type="dxa"/>
            <w:vAlign w:val="bottom"/>
          </w:tcPr>
          <w:p>
            <w:pPr>
              <w:spacing w:after="0"/>
              <w:rPr>
                <w:sz w:val="20"/>
                <w:szCs w:val="20"/>
                <w:color w:val="auto"/>
              </w:rPr>
            </w:pPr>
          </w:p>
        </w:tc>
      </w:tr>
      <w:tr>
        <w:trPr>
          <w:trHeight w:val="783"/>
        </w:trPr>
        <w:tc>
          <w:tcPr>
            <w:tcW w:w="3480" w:type="dxa"/>
            <w:vAlign w:val="bottom"/>
          </w:tcPr>
          <w:p>
            <w:pPr>
              <w:spacing w:after="0"/>
              <w:rPr>
                <w:sz w:val="24"/>
                <w:szCs w:val="24"/>
                <w:color w:val="auto"/>
              </w:rPr>
            </w:pPr>
          </w:p>
        </w:tc>
        <w:tc>
          <w:tcPr>
            <w:tcW w:w="5160" w:type="dxa"/>
            <w:vAlign w:val="bottom"/>
            <w:gridSpan w:val="2"/>
          </w:tcPr>
          <w:p>
            <w:pPr>
              <w:jc w:val="right"/>
              <w:ind w:right="3310"/>
              <w:spacing w:after="0"/>
              <w:rPr>
                <w:sz w:val="20"/>
                <w:szCs w:val="20"/>
                <w:color w:val="auto"/>
              </w:rPr>
            </w:pPr>
            <w:r>
              <w:rPr>
                <w:rFonts w:ascii="Arial" w:cs="Arial" w:eastAsia="Arial" w:hAnsi="Arial"/>
                <w:sz w:val="18"/>
                <w:szCs w:val="18"/>
                <w:color w:val="auto"/>
              </w:rPr>
              <w:t>3</w:t>
            </w:r>
          </w:p>
        </w:tc>
        <w:tc>
          <w:tcPr>
            <w:tcW w:w="2780" w:type="dxa"/>
            <w:vAlign w:val="bottom"/>
          </w:tcPr>
          <w:p>
            <w:pPr>
              <w:spacing w:after="0"/>
              <w:rPr>
                <w:sz w:val="24"/>
                <w:szCs w:val="24"/>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2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Exhibit Number</w:t>
            </w:r>
          </w:p>
        </w:tc>
        <w:tc>
          <w:tcPr>
            <w:tcW w:w="260" w:type="dxa"/>
            <w:vAlign w:val="bottom"/>
          </w:tcPr>
          <w:p>
            <w:pPr>
              <w:spacing w:after="0"/>
              <w:rPr>
                <w:sz w:val="24"/>
                <w:szCs w:val="24"/>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Document</w:t>
            </w:r>
          </w:p>
        </w:tc>
        <w:tc>
          <w:tcPr>
            <w:tcW w:w="1400" w:type="dxa"/>
            <w:vAlign w:val="bottom"/>
            <w:tcBorders>
              <w:top w:val="single" w:sz="8" w:color="auto"/>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426"/>
        </w:trPr>
        <w:tc>
          <w:tcPr>
            <w:tcW w:w="1240" w:type="dxa"/>
            <w:vAlign w:val="bottom"/>
          </w:tcPr>
          <w:p>
            <w:pPr>
              <w:ind w:left="520"/>
              <w:spacing w:after="0"/>
              <w:rPr>
                <w:sz w:val="20"/>
                <w:szCs w:val="20"/>
                <w:color w:val="auto"/>
              </w:rPr>
            </w:pPr>
            <w:r>
              <w:rPr>
                <w:rFonts w:ascii="Arial" w:cs="Arial" w:eastAsia="Arial" w:hAnsi="Arial"/>
                <w:sz w:val="18"/>
                <w:szCs w:val="18"/>
                <w:color w:val="auto"/>
              </w:rPr>
              <w:t>99(a)</w:t>
            </w:r>
          </w:p>
        </w:tc>
        <w:tc>
          <w:tcPr>
            <w:tcW w:w="26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Press Release dated February 9, 2011.</w:t>
            </w:r>
          </w:p>
        </w:tc>
      </w:tr>
      <w:tr>
        <w:trPr>
          <w:trHeight w:val="783"/>
        </w:trPr>
        <w:tc>
          <w:tcPr>
            <w:tcW w:w="1240" w:type="dxa"/>
            <w:vAlign w:val="bottom"/>
          </w:tcPr>
          <w:p>
            <w:pPr>
              <w:spacing w:after="0"/>
              <w:rPr>
                <w:sz w:val="24"/>
                <w:szCs w:val="24"/>
                <w:color w:val="auto"/>
              </w:rPr>
            </w:pPr>
          </w:p>
        </w:tc>
        <w:tc>
          <w:tcPr>
            <w:tcW w:w="4320" w:type="dxa"/>
            <w:vAlign w:val="bottom"/>
            <w:gridSpan w:val="3"/>
          </w:tcPr>
          <w:p>
            <w:pPr>
              <w:jc w:val="right"/>
              <w:ind w:right="660"/>
              <w:spacing w:after="0"/>
              <w:rPr>
                <w:sz w:val="20"/>
                <w:szCs w:val="20"/>
                <w:color w:val="auto"/>
              </w:rPr>
            </w:pPr>
            <w:r>
              <w:rPr>
                <w:rFonts w:ascii="Arial" w:cs="Arial" w:eastAsia="Arial" w:hAnsi="Arial"/>
                <w:sz w:val="18"/>
                <w:szCs w:val="18"/>
                <w:color w:val="auto"/>
              </w:rPr>
              <w:t>4</w:t>
            </w:r>
          </w:p>
        </w:tc>
        <w:tc>
          <w:tcPr>
            <w:tcW w:w="4160" w:type="dxa"/>
            <w:vAlign w:val="bottom"/>
          </w:tcPr>
          <w:p>
            <w:pPr>
              <w:spacing w:after="0"/>
              <w:rPr>
                <w:sz w:val="24"/>
                <w:szCs w:val="24"/>
                <w:color w:val="auto"/>
              </w:rPr>
            </w:pPr>
          </w:p>
        </w:tc>
      </w:tr>
    </w:tbl>
    <w:p>
      <w:pPr>
        <w:sectPr>
          <w:pgSz w:w="11900" w:h="16838" w:orient="portrait"/>
          <w:cols w:equalWidth="0" w:num="1">
            <w:col w:w="9879"/>
          </w:cols>
          <w:pgMar w:left="580" w:top="1324" w:right="1440" w:bottom="1440" w:gutter="0" w:footer="0" w:header="0"/>
        </w:sectPr>
      </w:pPr>
    </w:p>
    <w:bookmarkStart w:id="4" w:name="page5"/>
    <w:bookmarkEnd w:id="4"/>
    <w:p>
      <w:pPr>
        <w:ind w:left="8640"/>
        <w:spacing w:after="0"/>
        <w:rPr>
          <w:sz w:val="20"/>
          <w:szCs w:val="20"/>
          <w:color w:val="auto"/>
        </w:rPr>
      </w:pPr>
      <w:r>
        <w:rPr>
          <w:rFonts w:ascii="Arial" w:cs="Arial" w:eastAsia="Arial" w:hAnsi="Arial"/>
          <w:sz w:val="18"/>
          <w:szCs w:val="18"/>
          <w:b w:val="1"/>
          <w:bCs w:val="1"/>
          <w:color w:val="auto"/>
        </w:rPr>
        <w:t>Exhibit 99(a)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4" w:lineRule="auto"/>
        <w:rPr>
          <w:sz w:val="20"/>
          <w:szCs w:val="20"/>
          <w:color w:val="auto"/>
        </w:rPr>
      </w:pPr>
      <w:r>
        <w:rPr>
          <w:rFonts w:ascii="Arial" w:cs="Arial" w:eastAsia="Arial" w:hAnsi="Arial"/>
          <w:sz w:val="18"/>
          <w:szCs w:val="18"/>
          <w:color w:val="auto"/>
        </w:rPr>
        <w:t>Lynn Afendoulis</w:t>
      </w:r>
    </w:p>
    <w:p>
      <w:pPr>
        <w:spacing w:after="0" w:line="235"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February 9, 2011</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UFPI reports annual net sales of $1.9 billion for 2010, up 13 percent over 2009</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Fourth-quarter sales up 12 percent over 2009</w:t>
      </w:r>
    </w:p>
    <w:p>
      <w:pPr>
        <w:jc w:val="center"/>
        <w:ind w:right="159"/>
        <w:spacing w:after="0"/>
        <w:rPr>
          <w:sz w:val="20"/>
          <w:szCs w:val="20"/>
          <w:color w:val="auto"/>
        </w:rPr>
      </w:pPr>
      <w:r>
        <w:rPr>
          <w:rFonts w:ascii="Arial" w:cs="Arial" w:eastAsia="Arial" w:hAnsi="Arial"/>
          <w:sz w:val="18"/>
          <w:szCs w:val="18"/>
          <w:i w:val="1"/>
          <w:iCs w:val="1"/>
          <w:color w:val="auto"/>
        </w:rPr>
        <w:t>—Posts sales growth in all markets and double-digit increases in two; maintains strong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 Wed., Feb. 9, 2011 — Universal Forest Products, Inc. (Nasdaq: UFPI) today announced 2010</w:t>
      </w:r>
    </w:p>
    <w:p>
      <w:pPr>
        <w:spacing w:after="0" w:line="234" w:lineRule="auto"/>
        <w:rPr>
          <w:sz w:val="20"/>
          <w:szCs w:val="20"/>
          <w:color w:val="auto"/>
        </w:rPr>
      </w:pPr>
      <w:r>
        <w:rPr>
          <w:rFonts w:ascii="Arial" w:cs="Arial" w:eastAsia="Arial" w:hAnsi="Arial"/>
          <w:sz w:val="18"/>
          <w:szCs w:val="18"/>
          <w:color w:val="auto"/>
        </w:rPr>
        <w:t>results that include annual net sales of $1.9 billion, up 13 percent over 2009 annual net sales of $1.7 billion. Fourth-</w:t>
      </w:r>
    </w:p>
    <w:p>
      <w:pPr>
        <w:spacing w:after="0" w:line="235" w:lineRule="auto"/>
        <w:rPr>
          <w:sz w:val="20"/>
          <w:szCs w:val="20"/>
          <w:color w:val="auto"/>
        </w:rPr>
      </w:pPr>
      <w:r>
        <w:rPr>
          <w:rFonts w:ascii="Arial" w:cs="Arial" w:eastAsia="Arial" w:hAnsi="Arial"/>
          <w:sz w:val="18"/>
          <w:szCs w:val="18"/>
          <w:color w:val="auto"/>
        </w:rPr>
        <w:t>quarter 2010 sales of $378.7 million were up 12 percent over the same period of 2009. In 2010, the Company saw sales</w:t>
      </w:r>
    </w:p>
    <w:p>
      <w:pPr>
        <w:spacing w:after="0" w:line="235" w:lineRule="auto"/>
        <w:rPr>
          <w:sz w:val="20"/>
          <w:szCs w:val="20"/>
          <w:color w:val="auto"/>
        </w:rPr>
      </w:pPr>
      <w:r>
        <w:rPr>
          <w:rFonts w:ascii="Arial" w:cs="Arial" w:eastAsia="Arial" w:hAnsi="Arial"/>
          <w:sz w:val="18"/>
          <w:szCs w:val="18"/>
          <w:color w:val="auto"/>
        </w:rPr>
        <w:t>growth in each of its markets in the fourth quarter and for the year. Annual net earnings for 2010 were $17.4 million, or</w:t>
      </w:r>
    </w:p>
    <w:p>
      <w:pPr>
        <w:spacing w:after="0" w:line="235" w:lineRule="auto"/>
        <w:rPr>
          <w:sz w:val="20"/>
          <w:szCs w:val="20"/>
          <w:color w:val="auto"/>
        </w:rPr>
      </w:pPr>
      <w:r>
        <w:rPr>
          <w:rFonts w:ascii="Arial" w:cs="Arial" w:eastAsia="Arial" w:hAnsi="Arial"/>
          <w:sz w:val="18"/>
          <w:szCs w:val="18"/>
          <w:color w:val="auto"/>
        </w:rPr>
        <w:t>$0.89 per diluted share, compared to annual net earnings of $24.3 million, or $1.25 per diluted share, for 2009. Earnings</w:t>
      </w:r>
    </w:p>
    <w:p>
      <w:pPr>
        <w:spacing w:after="0" w:line="235" w:lineRule="auto"/>
        <w:rPr>
          <w:sz w:val="20"/>
          <w:szCs w:val="20"/>
          <w:color w:val="auto"/>
        </w:rPr>
      </w:pPr>
      <w:r>
        <w:rPr>
          <w:rFonts w:ascii="Arial" w:cs="Arial" w:eastAsia="Arial" w:hAnsi="Arial"/>
          <w:sz w:val="18"/>
          <w:szCs w:val="18"/>
          <w:color w:val="auto"/>
        </w:rPr>
        <w:t>for the fourth quarter of 2010 were $124,000 or $0.01 per diluted share, compared with a 2009 fourth-quarter loss of</w:t>
      </w:r>
    </w:p>
    <w:p>
      <w:pPr>
        <w:spacing w:after="0" w:line="235" w:lineRule="auto"/>
        <w:rPr>
          <w:sz w:val="20"/>
          <w:szCs w:val="20"/>
          <w:color w:val="auto"/>
        </w:rPr>
      </w:pPr>
      <w:r>
        <w:rPr>
          <w:rFonts w:ascii="Arial" w:cs="Arial" w:eastAsia="Arial" w:hAnsi="Arial"/>
          <w:sz w:val="18"/>
          <w:szCs w:val="18"/>
          <w:color w:val="auto"/>
        </w:rPr>
        <w:t>$663,000 or ($0.03) per diluted share. Fourth-quarter 2010 results include a non-cash tax benefit of $2.4 million, or $0.13</w:t>
      </w:r>
    </w:p>
    <w:p>
      <w:pPr>
        <w:spacing w:after="0"/>
        <w:rPr>
          <w:sz w:val="20"/>
          <w:szCs w:val="20"/>
          <w:color w:val="auto"/>
        </w:rPr>
      </w:pPr>
      <w:r>
        <w:rPr>
          <w:rFonts w:ascii="Arial" w:cs="Arial" w:eastAsia="Arial" w:hAnsi="Arial"/>
          <w:sz w:val="18"/>
          <w:szCs w:val="18"/>
          <w:color w:val="auto"/>
        </w:rPr>
        <w:t>per diluted share, associated with removing a valuation allowance against a deferred tax asset.</w:t>
      </w:r>
    </w:p>
    <w:p>
      <w:pPr>
        <w:spacing w:after="0" w:line="185" w:lineRule="exact"/>
        <w:rPr>
          <w:sz w:val="20"/>
          <w:szCs w:val="20"/>
          <w:color w:val="auto"/>
        </w:rPr>
      </w:pPr>
    </w:p>
    <w:p>
      <w:pPr>
        <w:ind w:right="219"/>
        <w:spacing w:after="0" w:line="237" w:lineRule="auto"/>
        <w:rPr>
          <w:sz w:val="20"/>
          <w:szCs w:val="20"/>
          <w:color w:val="auto"/>
        </w:rPr>
      </w:pPr>
      <w:r>
        <w:rPr>
          <w:rFonts w:ascii="Arial" w:cs="Arial" w:eastAsia="Arial" w:hAnsi="Arial"/>
          <w:sz w:val="18"/>
          <w:szCs w:val="18"/>
          <w:color w:val="auto"/>
        </w:rPr>
        <w:t>“We said our focus in 2010 would be on growing our top line, and that’s exactly what we did,” said CEO Michael B. Glenn. “I’m proud of our people, and of our ability to maintain profitability and the best balance sheet in the industry. In 2011, our challenges will be to find and capitalize on new opportunities for growth, to do what it takes to be the preferred supplier to our markets and to continually enhance our efficiency. We have the best people, the right strategies and a strong organization in place, and we’re confident in our opportunities to achieve sustainable growth and success in today’s economy.”</w:t>
      </w:r>
    </w:p>
    <w:p>
      <w:pPr>
        <w:spacing w:after="0" w:line="165" w:lineRule="exact"/>
        <w:rPr>
          <w:sz w:val="20"/>
          <w:szCs w:val="20"/>
          <w:color w:val="auto"/>
        </w:rPr>
      </w:pPr>
    </w:p>
    <w:p>
      <w:pPr>
        <w:jc w:val="both"/>
        <w:ind w:right="419"/>
        <w:spacing w:after="0"/>
        <w:rPr>
          <w:sz w:val="20"/>
          <w:szCs w:val="20"/>
          <w:color w:val="auto"/>
        </w:rPr>
      </w:pPr>
      <w:r>
        <w:rPr>
          <w:rFonts w:ascii="Arial" w:cs="Arial" w:eastAsia="Arial" w:hAnsi="Arial"/>
          <w:sz w:val="18"/>
          <w:szCs w:val="18"/>
          <w:color w:val="auto"/>
        </w:rPr>
        <w:t>Glenn noted that the Company ended the year with $43.4 million in cash and $ 55.3 million in debt, putting it in a strong position to employ strategies to enhance its growth and return to shareholders, such as acquisitions, stock repurchases and dividend payments.</w:t>
      </w:r>
    </w:p>
    <w:p>
      <w:pPr>
        <w:spacing w:after="0" w:line="140"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635635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185" w:lineRule="exact"/>
        <w:rPr>
          <w:sz w:val="20"/>
          <w:szCs w:val="20"/>
          <w:color w:val="auto"/>
        </w:rPr>
      </w:pPr>
    </w:p>
    <w:p>
      <w:pPr>
        <w:ind w:right="199"/>
        <w:spacing w:after="0"/>
        <w:rPr>
          <w:sz w:val="20"/>
          <w:szCs w:val="20"/>
          <w:color w:val="auto"/>
        </w:rPr>
      </w:pPr>
      <w:r>
        <w:rPr>
          <w:rFonts w:ascii="Arial" w:cs="Arial" w:eastAsia="Arial" w:hAnsi="Arial"/>
          <w:sz w:val="18"/>
          <w:szCs w:val="18"/>
          <w:color w:val="auto"/>
        </w:rPr>
        <w:t>The Company estimates that higher lumber prices had the effect of increasing selling prices by approximately 4 percent in the quarter over the same period of 2009. By market, the Company posted the following fourth-quarter and annual gross sales results for 2010:</w:t>
      </w:r>
    </w:p>
    <w:p>
      <w:pPr>
        <w:spacing w:after="0" w:line="140" w:lineRule="exact"/>
        <w:rPr>
          <w:sz w:val="20"/>
          <w:szCs w:val="20"/>
          <w:color w:val="auto"/>
        </w:rPr>
      </w:pPr>
    </w:p>
    <w:p>
      <w:pPr>
        <w:ind w:right="199"/>
        <w:spacing w:after="0" w:line="242" w:lineRule="auto"/>
        <w:rPr>
          <w:sz w:val="20"/>
          <w:szCs w:val="20"/>
          <w:color w:val="auto"/>
        </w:rPr>
      </w:pPr>
      <w:r>
        <w:rPr>
          <w:rFonts w:ascii="Arial" w:cs="Arial" w:eastAsia="Arial" w:hAnsi="Arial"/>
          <w:sz w:val="18"/>
          <w:szCs w:val="18"/>
          <w:b w:val="1"/>
          <w:bCs w:val="1"/>
          <w:color w:val="auto"/>
        </w:rPr>
        <w:t xml:space="preserve">Do-It-Yourself/retail: $136.1 million for the fourth quarter, an increase of 4.5 percent over the same period of 2009. Annual gross sales of $814.2 million in 2010 reflect an increase of 1.4 percent over 2009. </w:t>
      </w:r>
      <w:r>
        <w:rPr>
          <w:rFonts w:ascii="Arial" w:cs="Arial" w:eastAsia="Arial" w:hAnsi="Arial"/>
          <w:sz w:val="18"/>
          <w:szCs w:val="18"/>
          <w:color w:val="auto"/>
        </w:rPr>
        <w:t>Sales continued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by weak economic conditions and high unemployment. With experts calling for modest growth in the coming quarters, the Company seeks to create steady, sustainable growth in its DIY business and is focused on innovation and on new market opportunities. The Company is particularly enthused about new products it is developing, which it believes have long-term potential for improved DIY sales.</w:t>
      </w:r>
    </w:p>
    <w:p>
      <w:pPr>
        <w:spacing w:after="0" w:line="139" w:lineRule="exact"/>
        <w:rPr>
          <w:sz w:val="20"/>
          <w:szCs w:val="20"/>
          <w:color w:val="auto"/>
        </w:rPr>
      </w:pPr>
    </w:p>
    <w:p>
      <w:pPr>
        <w:ind w:right="199"/>
        <w:spacing w:after="0"/>
        <w:rPr>
          <w:sz w:val="20"/>
          <w:szCs w:val="20"/>
          <w:color w:val="auto"/>
        </w:rPr>
      </w:pPr>
      <w:r>
        <w:rPr>
          <w:rFonts w:ascii="Arial" w:cs="Arial" w:eastAsia="Arial" w:hAnsi="Arial"/>
          <w:sz w:val="18"/>
          <w:szCs w:val="18"/>
          <w:b w:val="1"/>
          <w:bCs w:val="1"/>
          <w:color w:val="auto"/>
        </w:rPr>
        <w:t xml:space="preserve">Industrial packaging/components: $ 132.0 million for the fourth quarter, an increase of 20.9 percent over the fourth quarter of 2009. For the year, gross sales in this market of $ 595.4 million reflect an increase of 24.5 percent over 2009. </w:t>
      </w:r>
      <w:r>
        <w:rPr>
          <w:rFonts w:ascii="Arial" w:cs="Arial" w:eastAsia="Arial" w:hAnsi="Arial"/>
          <w:sz w:val="18"/>
          <w:szCs w:val="18"/>
          <w:color w:val="auto"/>
        </w:rPr>
        <w:t>Universal’s industrial business saw healthy growth in 2010, outpacing the 5.9 percent increase in U.S.</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for the year. Unit sales to this market grew 18 percent for the quarter and 17 percent for the year over the same periods of 2009. The Company grew its business with existing customers and also increased its market share, adding 245 new industrial customers in 2010. The industrial market continues to be fragmented, with few national players; therefore, the Company sees it as a large opportunity and continues to devote resources and energy to growing this business, which now is its second largest.</w:t>
      </w:r>
    </w:p>
    <w:p>
      <w:pPr>
        <w:spacing w:after="0" w:line="154" w:lineRule="exact"/>
        <w:rPr>
          <w:sz w:val="20"/>
          <w:szCs w:val="20"/>
          <w:color w:val="auto"/>
        </w:rPr>
      </w:pPr>
    </w:p>
    <w:p>
      <w:pPr>
        <w:ind w:right="279"/>
        <w:spacing w:after="0" w:line="243" w:lineRule="auto"/>
        <w:rPr>
          <w:sz w:val="20"/>
          <w:szCs w:val="20"/>
          <w:color w:val="auto"/>
        </w:rPr>
      </w:pPr>
      <w:r>
        <w:rPr>
          <w:rFonts w:ascii="Arial" w:cs="Arial" w:eastAsia="Arial" w:hAnsi="Arial"/>
          <w:sz w:val="18"/>
          <w:szCs w:val="18"/>
          <w:b w:val="1"/>
          <w:bCs w:val="1"/>
          <w:color w:val="auto"/>
        </w:rPr>
        <w:t xml:space="preserve">Site-built construction: Fourth-quarter sales of $66.3 million, an increase of 15.9 percent over the same period of 2009. For the year, sales of $269.5 million were up 9.1 percent over 2009. </w:t>
      </w:r>
      <w:r>
        <w:rPr>
          <w:rFonts w:ascii="Arial" w:cs="Arial" w:eastAsia="Arial" w:hAnsi="Arial"/>
          <w:sz w:val="18"/>
          <w:szCs w:val="18"/>
          <w:color w:val="auto"/>
        </w:rPr>
        <w:t>Actual total housing starts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November 2010 were flat; single-family starts decreased 10 percent while multifamily starts increased</w:t>
      </w:r>
    </w:p>
    <w:p>
      <w:pPr>
        <w:spacing w:after="0" w:line="1" w:lineRule="exact"/>
        <w:rPr>
          <w:sz w:val="20"/>
          <w:szCs w:val="20"/>
          <w:color w:val="auto"/>
        </w:rPr>
      </w:pPr>
    </w:p>
    <w:p>
      <w:pPr>
        <w:ind w:right="219"/>
        <w:spacing w:after="0" w:line="237" w:lineRule="auto"/>
        <w:rPr>
          <w:sz w:val="20"/>
          <w:szCs w:val="20"/>
          <w:color w:val="auto"/>
        </w:rPr>
      </w:pPr>
      <w:r>
        <w:rPr>
          <w:rFonts w:ascii="Arial" w:cs="Arial" w:eastAsia="Arial" w:hAnsi="Arial"/>
          <w:sz w:val="18"/>
          <w:szCs w:val="18"/>
          <w:color w:val="auto"/>
        </w:rPr>
        <w:t>61 percent compared to the same period of 2009. For the year-to-date, actual housing starts were down 2.6 percent year-to-date through November 2010 from the same period of 2009. The Company’s results reflect its focus on diversifying its business in this market by concentrating on commercial, government and turnkey projects; on remaining a preferred supplier to customers; and on adding new customers. Universal remains committed to site-built construction and has restructured its two divisions in the Eastern United States, bringing all site-built operations under one management team to enhance efficiencies, efforts and communication, and to facilitate growth.</w:t>
      </w:r>
    </w:p>
    <w:p>
      <w:pPr>
        <w:spacing w:after="0" w:line="143"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635635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163" w:lineRule="exact"/>
        <w:rPr>
          <w:sz w:val="20"/>
          <w:szCs w:val="20"/>
          <w:color w:val="auto"/>
        </w:rPr>
      </w:pPr>
    </w:p>
    <w:p>
      <w:pPr>
        <w:ind w:right="179"/>
        <w:spacing w:after="0" w:line="239" w:lineRule="auto"/>
        <w:rPr>
          <w:sz w:val="20"/>
          <w:szCs w:val="20"/>
          <w:color w:val="auto"/>
        </w:rPr>
      </w:pPr>
      <w:r>
        <w:rPr>
          <w:rFonts w:ascii="Arial" w:cs="Arial" w:eastAsia="Arial" w:hAnsi="Arial"/>
          <w:sz w:val="18"/>
          <w:szCs w:val="18"/>
          <w:b w:val="1"/>
          <w:bCs w:val="1"/>
          <w:color w:val="auto"/>
        </w:rPr>
        <w:t xml:space="preserve">Manufactured housing: $49.6 million in sales for the fourth quarter, an increase of 1.6 percent over the fourth quarter of 2009. For the year, sales increased 32.2 percent over 2009, to $ 243.0 million. </w:t>
      </w:r>
      <w:r>
        <w:rPr>
          <w:rFonts w:ascii="Arial" w:cs="Arial" w:eastAsia="Arial" w:hAnsi="Arial"/>
          <w:sz w:val="18"/>
          <w:szCs w:val="18"/>
          <w:color w:val="auto"/>
        </w:rPr>
        <w:t>Unit sales to the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were down 4 percent for the quarter and up 15 percent for the year, compared to the same periods of 2009. This outpaced the industry, which saw HUD-Code shipments for the three months ended in November 2010 down more than 9 percent from 2009, according to the most recent data available. November 2010 year-to-date shipments of HUD-Code homes increased 2.3 percent over 2009; year-to-date shipments of modular homes as of the third quarter of 2010 (the most recent data available) were up 12 percent. The Company’s results reflect continued consolidation in the market, in which Universal holds a commanding share, and the positive impact of the Company’s strategies to do more with existing customers and to expand its distribution business.</w:t>
      </w:r>
    </w:p>
    <w:p>
      <w:pPr>
        <w:spacing w:after="0" w:line="166" w:lineRule="exact"/>
        <w:rPr>
          <w:sz w:val="20"/>
          <w:szCs w:val="20"/>
          <w:color w:val="auto"/>
        </w:rPr>
      </w:pPr>
    </w:p>
    <w:p>
      <w:pPr>
        <w:ind w:right="459"/>
        <w:spacing w:after="0" w:line="239" w:lineRule="auto"/>
        <w:rPr>
          <w:sz w:val="20"/>
          <w:szCs w:val="20"/>
          <w:color w:val="auto"/>
        </w:rPr>
      </w:pPr>
      <w:r>
        <w:rPr>
          <w:rFonts w:ascii="Arial" w:cs="Arial" w:eastAsia="Arial" w:hAnsi="Arial"/>
          <w:sz w:val="18"/>
          <w:szCs w:val="18"/>
          <w:color w:val="auto"/>
        </w:rPr>
        <w:t>“Universal is a sales company that has grown revenue year after year. The recent era of rightsizing and declining sales has been tough on our people and culture, and we’re now happy to be focused instead on new products, new opportunities and growth,” Glenn said. “We’re energized by our 2010 sales increases and we’re moving forward with a focus on, and confidence in, growing sales and profitability in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7" w:lineRule="exact"/>
        <w:rPr>
          <w:sz w:val="20"/>
          <w:szCs w:val="20"/>
          <w:color w:val="auto"/>
        </w:rPr>
      </w:pPr>
    </w:p>
    <w:p>
      <w:pPr>
        <w:ind w:right="279"/>
        <w:spacing w:after="0"/>
        <w:rPr>
          <w:sz w:val="20"/>
          <w:szCs w:val="20"/>
          <w:color w:val="auto"/>
        </w:rPr>
      </w:pPr>
      <w:r>
        <w:rPr>
          <w:rFonts w:ascii="Arial" w:cs="Arial" w:eastAsia="Arial" w:hAnsi="Arial"/>
          <w:sz w:val="18"/>
          <w:szCs w:val="18"/>
          <w:color w:val="auto"/>
        </w:rPr>
        <w:t>The Company believes continued challenging economic conditions and uncertainties in the housing market limit its ability to provide meaningful guidance for ranges of likely financial performance; therefore, the Company will not resume the practice of providing guidance in the foreseeable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93" w:lineRule="exact"/>
        <w:rPr>
          <w:sz w:val="20"/>
          <w:szCs w:val="20"/>
          <w:color w:val="auto"/>
        </w:rPr>
      </w:pPr>
    </w:p>
    <w:p>
      <w:pPr>
        <w:ind w:right="179"/>
        <w:spacing w:after="0" w:line="237" w:lineRule="auto"/>
        <w:rPr>
          <w:sz w:val="20"/>
          <w:szCs w:val="20"/>
          <w:color w:val="auto"/>
        </w:rPr>
      </w:pPr>
      <w:r>
        <w:rPr>
          <w:rFonts w:ascii="Arial" w:cs="Arial" w:eastAsia="Arial" w:hAnsi="Arial"/>
          <w:sz w:val="18"/>
          <w:szCs w:val="18"/>
          <w:color w:val="auto"/>
        </w:rPr>
        <w:t xml:space="preserve">Universal Forest Products will conduct a conference call to discuss information included in this news release and related matters at 8:30 a.m. ET on Thurs., Feb. 10, 2011. The call will be hosted by CEO Michael B. Glenn and CFO Michael Cole, and will be available for analysts and institutional investors domestically at 800-237-9752 or internationally at 617-847-8706. Use conference pass code number 57136129. The conference call will be available simultaneously and in its entirety to all interested investors and news media through a webcast at </w:t>
      </w:r>
      <w:r>
        <w:rPr>
          <w:rFonts w:ascii="Arial" w:cs="Arial" w:eastAsia="Arial" w:hAnsi="Arial"/>
          <w:sz w:val="18"/>
          <w:szCs w:val="18"/>
          <w:u w:val="single" w:color="auto"/>
          <w:color w:val="auto"/>
        </w:rPr>
        <w:t>http://www.ufpi.com</w:t>
      </w:r>
      <w:r>
        <w:rPr>
          <w:rFonts w:ascii="Arial" w:cs="Arial" w:eastAsia="Arial" w:hAnsi="Arial"/>
          <w:sz w:val="18"/>
          <w:szCs w:val="18"/>
          <w:color w:val="auto"/>
        </w:rPr>
        <w:t>. A replay of the call will be available through March 11, 2011, domestically at 888-286-8010 or internationally at 617-801-6888. Use replay pass code number 36508858.</w:t>
      </w:r>
    </w:p>
    <w:p>
      <w:pPr>
        <w:spacing w:after="0" w:line="154"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627380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93" w:lineRule="exact"/>
        <w:rPr>
          <w:sz w:val="20"/>
          <w:szCs w:val="20"/>
          <w:color w:val="auto"/>
        </w:rPr>
      </w:pPr>
    </w:p>
    <w:p>
      <w:pPr>
        <w:ind w:right="219"/>
        <w:spacing w:after="0" w:line="252" w:lineRule="auto"/>
        <w:rPr>
          <w:sz w:val="20"/>
          <w:szCs w:val="20"/>
          <w:color w:val="auto"/>
        </w:rPr>
      </w:pPr>
      <w:r>
        <w:rPr>
          <w:rFonts w:ascii="Arial" w:cs="Arial" w:eastAsia="Arial" w:hAnsi="Arial"/>
          <w:sz w:val="17"/>
          <w:szCs w:val="17"/>
          <w:color w:val="auto"/>
        </w:rPr>
        <w:t>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the site-built construction market, and specialty wood packaging and components for various industries.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Universal’s subsidiaries also provide framing services for the site-built market and forming products for concrete construction. Founded in 1955, Universal Forest Products is headquartered in Grand Rapids, Mich., with operations throughout North America. For more about Universal Forest Products, go to www.ufpi.com.</w:t>
      </w:r>
    </w:p>
    <w:p>
      <w:pPr>
        <w:spacing w:after="0" w:line="134" w:lineRule="exact"/>
        <w:rPr>
          <w:sz w:val="20"/>
          <w:szCs w:val="20"/>
          <w:color w:val="auto"/>
        </w:rPr>
      </w:pPr>
    </w:p>
    <w:p>
      <w:pPr>
        <w:ind w:right="159"/>
        <w:spacing w:after="0" w:line="238" w:lineRule="auto"/>
        <w:rPr>
          <w:sz w:val="20"/>
          <w:szCs w:val="20"/>
          <w:color w:val="auto"/>
        </w:rPr>
      </w:pPr>
      <w:r>
        <w:rPr>
          <w:rFonts w:ascii="Arial" w:cs="Arial" w:eastAsia="Arial" w:hAnsi="Arial"/>
          <w:sz w:val="18"/>
          <w:szCs w:val="18"/>
          <w:i w:val="1"/>
          <w:iCs w:val="1"/>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617220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5</w:t>
      </w:r>
    </w:p>
    <w:p>
      <w:pPr>
        <w:spacing w:after="0" w:line="16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1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THREE AND TWELVE MONTHS ENDED</w:t>
      </w:r>
    </w:p>
    <w:p>
      <w:pPr>
        <w:jc w:val="center"/>
        <w:ind w:right="1040"/>
        <w:spacing w:after="0"/>
        <w:rPr>
          <w:sz w:val="20"/>
          <w:szCs w:val="20"/>
          <w:color w:val="auto"/>
        </w:rPr>
      </w:pPr>
      <w:r>
        <w:rPr>
          <w:rFonts w:ascii="Arial" w:cs="Arial" w:eastAsia="Arial" w:hAnsi="Arial"/>
          <w:sz w:val="18"/>
          <w:szCs w:val="18"/>
          <w:b w:val="1"/>
          <w:bCs w:val="1"/>
          <w:color w:val="auto"/>
        </w:rPr>
        <w:t>DECEMBER 2010/2009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Quarter Period</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Year to Date</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3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378,685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$ 338,565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1,890,851</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w w:val="97"/>
              </w:rPr>
              <w:t>$ 1,673,000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COST OF GOODS SOLD</w:t>
            </w: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332,664</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87.8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293,470</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86.7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1,660,896</w:t>
            </w: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87.8</w:t>
            </w: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1,429,336</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85.4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46,021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45,095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229,955</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243,664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SELLING, GENERAL AND ADMINISTRATIVE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300" w:type="dxa"/>
            <w:vAlign w:val="bottom"/>
            <w:gridSpan w:val="3"/>
          </w:tcPr>
          <w:p>
            <w:pPr>
              <w:ind w:left="20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47,802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44,629</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197,617</w:t>
            </w:r>
          </w:p>
        </w:tc>
        <w:tc>
          <w:tcPr>
            <w:tcW w:w="1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200,939</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12.0</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 (GAIN) ON DISPOSITION OF</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ASSETS AND OTHER IMPAIRMENT AND</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EXIT CHARGES</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1,154</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2,049</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(LOSS) FROM OPERATIONS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40" w:type="dxa"/>
            <w:vAlign w:val="bottom"/>
          </w:tcPr>
          <w:p>
            <w:pPr>
              <w:spacing w:after="0"/>
              <w:rPr>
                <w:sz w:val="24"/>
                <w:szCs w:val="24"/>
                <w:color w:val="auto"/>
              </w:rPr>
            </w:pPr>
          </w:p>
        </w:tc>
        <w:tc>
          <w:tcPr>
            <w:tcW w:w="3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(2,309)</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(688)</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30,289</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42,817</w:t>
            </w:r>
          </w:p>
        </w:tc>
        <w:tc>
          <w:tcPr>
            <w:tcW w:w="56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INTEREST, NET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872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1,075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3,248</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4,220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(LOSS) BEFORE INCOME TAXES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40" w:type="dxa"/>
            <w:vAlign w:val="bottom"/>
          </w:tcPr>
          <w:p>
            <w:pPr>
              <w:spacing w:after="0"/>
              <w:rPr>
                <w:sz w:val="24"/>
                <w:szCs w:val="24"/>
                <w:color w:val="auto"/>
              </w:rPr>
            </w:pPr>
          </w:p>
        </w:tc>
        <w:tc>
          <w:tcPr>
            <w:tcW w:w="3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(3,181)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(1,763)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27,041</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38,597</w:t>
            </w: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INCOME TAXES (BENEFIT)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(3,636)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13,852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EARNINGS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40" w:type="dxa"/>
            <w:vAlign w:val="bottom"/>
          </w:tcPr>
          <w:p>
            <w:pPr>
              <w:spacing w:after="0"/>
              <w:rPr>
                <w:sz w:val="24"/>
                <w:szCs w:val="24"/>
                <w:color w:val="auto"/>
              </w:rPr>
            </w:pPr>
          </w:p>
        </w:tc>
        <w:tc>
          <w:tcPr>
            <w:tcW w:w="3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455</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(807)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19,841</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24,745</w:t>
            </w: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LESS NET (EARNINGS) LOSS ATTRIBUTABLE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TO NONCONTROLLING INTEREST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NET EARNINGS (LOSS) ATTRIBUTABLE TO</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300" w:type="dxa"/>
            <w:vAlign w:val="bottom"/>
            <w:gridSpan w:val="3"/>
          </w:tcPr>
          <w:p>
            <w:pPr>
              <w:ind w:left="200"/>
              <w:spacing w:after="0"/>
              <w:rPr>
                <w:sz w:val="20"/>
                <w:szCs w:val="20"/>
                <w:color w:val="auto"/>
              </w:rPr>
            </w:pPr>
            <w:r>
              <w:rPr>
                <w:rFonts w:ascii="Arial" w:cs="Arial" w:eastAsia="Arial" w:hAnsi="Arial"/>
                <w:sz w:val="14"/>
                <w:szCs w:val="14"/>
                <w:b w:val="1"/>
                <w:bCs w:val="1"/>
                <w:color w:val="auto"/>
              </w:rPr>
              <w:t>CONTROLLING 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(663)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17,411</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0.9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24,272</w:t>
            </w: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EARNINGS (LOSS)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0.01</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(0.03)</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0.91</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3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EARNINGS (LOSS) PER SHARE — DILUTED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0.01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(0.03)</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0.89</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1.25</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WEIGHTED AVERAGE SHARES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OUTSTANDING FOR BASIC EARNINGS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(LOSS)</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19,210</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19,292</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19,232</w:t>
            </w: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19,256</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WEIGHTED AVERAGE SHARES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tcPr>
          <w:p>
            <w:pPr>
              <w:ind w:left="200"/>
              <w:spacing w:after="0"/>
              <w:rPr>
                <w:sz w:val="20"/>
                <w:szCs w:val="20"/>
                <w:color w:val="auto"/>
              </w:rPr>
            </w:pPr>
            <w:r>
              <w:rPr>
                <w:rFonts w:ascii="Arial" w:cs="Arial" w:eastAsia="Arial" w:hAnsi="Arial"/>
                <w:sz w:val="14"/>
                <w:szCs w:val="14"/>
                <w:b w:val="1"/>
                <w:bCs w:val="1"/>
                <w:color w:val="auto"/>
              </w:rPr>
              <w:t>OUTSTANDING FOR DILUTED EARNINGS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3300" w:type="dxa"/>
            <w:vAlign w:val="bottom"/>
            <w:gridSpan w:val="3"/>
          </w:tcPr>
          <w:p>
            <w:pPr>
              <w:ind w:left="20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19,443</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19,292</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19,476</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19,468</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SUPPLEMENTAL SALES DATA</w:t>
            </w:r>
          </w:p>
        </w:tc>
        <w:tc>
          <w:tcPr>
            <w:tcW w:w="1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Market Classification</w:t>
            </w:r>
          </w:p>
        </w:tc>
        <w:tc>
          <w:tcPr>
            <w:tcW w:w="8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Quarter Period</w:t>
            </w: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Year to Date</w:t>
            </w: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220" w:type="dxa"/>
            <w:vAlign w:val="bottom"/>
            <w:tcBorders>
              <w:bottom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3"/>
                <w:szCs w:val="13"/>
                <w:color w:val="auto"/>
              </w:rPr>
            </w:pPr>
          </w:p>
        </w:tc>
        <w:tc>
          <w:tcPr>
            <w:tcW w:w="5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3"/>
                <w:szCs w:val="13"/>
                <w:color w:val="auto"/>
              </w:rPr>
            </w:pPr>
          </w:p>
        </w:tc>
        <w:tc>
          <w:tcPr>
            <w:tcW w:w="5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30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Do-It-Yourself/Retail</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w w:val="98"/>
              </w:rPr>
              <w:t>136,112</w:t>
            </w:r>
          </w:p>
        </w:tc>
        <w:tc>
          <w:tcPr>
            <w:tcW w:w="1520" w:type="dxa"/>
            <w:vAlign w:val="bottom"/>
            <w:gridSpan w:val="6"/>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36% $ 130,206</w:t>
            </w:r>
          </w:p>
        </w:tc>
        <w:tc>
          <w:tcPr>
            <w:tcW w:w="7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37%</w:t>
            </w:r>
          </w:p>
        </w:tc>
        <w:tc>
          <w:tcPr>
            <w:tcW w:w="1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814,207</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803,269</w:t>
            </w:r>
          </w:p>
        </w:tc>
        <w:tc>
          <w:tcPr>
            <w:tcW w:w="70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47%</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Site-Built Construction</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66,305</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57,196</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269,532</w:t>
            </w: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247,144</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Industrial</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132,036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109,187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595,354</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478,137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Manufactured Housing</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49,641</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48,858</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243,049</w:t>
            </w: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183,815</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Gross Sales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384,094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345,447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1,922,142</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1,712,365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Sales Allowances</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(5,409)</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(6,882)</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(31,291)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(39,365)</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378,685</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$ 338,565</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1,890,851</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w w:val="97"/>
              </w:rPr>
              <w:t>$ 1,673,000</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7"/>
        </w:trPr>
        <w:tc>
          <w:tcPr>
            <w:tcW w:w="3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6</w:t>
      </w:r>
    </w:p>
    <w:p>
      <w:pPr>
        <w:jc w:val="center"/>
        <w:ind w:right="1040"/>
        <w:spacing w:after="0" w:line="234" w:lineRule="auto"/>
        <w:rPr>
          <w:sz w:val="20"/>
          <w:szCs w:val="20"/>
          <w:color w:val="auto"/>
        </w:rPr>
      </w:pPr>
      <w:r>
        <w:rPr>
          <w:rFonts w:ascii="Arial" w:cs="Arial" w:eastAsia="Arial" w:hAnsi="Arial"/>
          <w:sz w:val="18"/>
          <w:szCs w:val="18"/>
          <w:b w:val="1"/>
          <w:bCs w:val="1"/>
          <w:color w:val="auto"/>
        </w:rPr>
        <w:t>CONSOLIDATED BALANCE SHEETS (UNAUDITED)</w:t>
      </w:r>
    </w:p>
    <w:p>
      <w:pPr>
        <w:spacing w:after="0" w:line="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DECEMBER 2010/2009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43,363</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67,410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126,780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107,383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190,390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162,148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2,446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19,020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31,599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381,999</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368,540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4,478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INTANGIBLE ASSETS,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172,975</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173,751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222,151</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230,099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788,580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776,868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59,481</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49,664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59,701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70,038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portion of long-term debt and capital leases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119,894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120,375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DEBT AND CAPITAL LEASE OBLIGATIONS, less current portion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54,579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53,181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32,931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34,366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581,176</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568,946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788,580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776,868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0"/>
        </w:trPr>
        <w:tc>
          <w:tcPr>
            <w:tcW w:w="340" w:type="dxa"/>
            <w:vAlign w:val="bottom"/>
            <w:tcBorders>
              <w:bottom w:val="single" w:sz="8" w:color="808080"/>
            </w:tcBorders>
          </w:tcPr>
          <w:p>
            <w:pPr>
              <w:spacing w:after="0"/>
              <w:rPr>
                <w:sz w:val="24"/>
                <w:szCs w:val="24"/>
                <w:color w:val="auto"/>
              </w:rPr>
            </w:pPr>
          </w:p>
        </w:tc>
        <w:tc>
          <w:tcPr>
            <w:tcW w:w="7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7</w:t>
      </w: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 FOR THE TWELVE MONTHS ENDED DECEMBER 2010/2009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Net earnings attributable to controlling interest</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17,411</w:t>
            </w:r>
          </w:p>
        </w:tc>
        <w:tc>
          <w:tcPr>
            <w:tcW w:w="200" w:type="dxa"/>
            <w:vAlign w:val="bottom"/>
          </w:tcPr>
          <w:p>
            <w:pPr>
              <w:spacing w:after="0"/>
              <w:rPr>
                <w:sz w:val="17"/>
                <w:szCs w:val="17"/>
                <w:color w:val="auto"/>
              </w:rPr>
            </w:pP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24,272</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earnings attributable to controlling interest to net cash from</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30,429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32,917</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Expense associated with stock grant plans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 (credit)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(2,708)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Net earnings attributable to noncontrolling interest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 (gain) on sale or impairment of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Changes in: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(18,428)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31,071</w:t>
            </w: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(24,946)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31,522</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line="202" w:lineRule="exact"/>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29,337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126,874</w:t>
            </w:r>
          </w:p>
        </w:tc>
        <w:tc>
          <w:tcPr>
            <w:tcW w:w="0" w:type="dxa"/>
            <w:vAlign w:val="bottom"/>
          </w:tcPr>
          <w:p>
            <w:pPr>
              <w:spacing w:after="0"/>
              <w:rPr>
                <w:sz w:val="1"/>
                <w:szCs w:val="1"/>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(26,950)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Investment in joint venture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 net of cash received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(6,529)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product technology and non-compete agreement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Advances of notes receivable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Collections of notes receivable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Insurance proceeds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(42,773)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Net borrowings (repayments) under revolving credit facilities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(30,257)</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 of long-term debt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(19,207)</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Borrowings of long-term debt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Purchase of addditional noncontrolling interest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 to noncontrolling interest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Capital contribution from noncontrolling interest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to shareholders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(4,999)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(10,611)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(56,135)</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(24,047)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0" w:type="dxa"/>
            <w:vAlign w:val="bottom"/>
            <w:vMerge w:val="continue"/>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43,363</w:t>
            </w:r>
          </w:p>
        </w:tc>
        <w:tc>
          <w:tcPr>
            <w:tcW w:w="20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879"/>
      </w:cols>
      <w:pgMar w:left="58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2019-12-10T12:28:00Z</dcterms:created>
  <dcterms:modified xsi:type="dcterms:W3CDTF">2019-12-10T12:28:00Z</dcterms:modified>
</cp:coreProperties>
</file>