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29, 2026</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582930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On April 29, 2026, the Registrant issued a press release announcing its financial results for the quarter-ended March 28, 2026. A copy of the Registrant’s press release is attached as Exhibit 99(a) to this Current Report.</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tcBorders>
            <w:gridSpan w:val="2"/>
          </w:tcPr>
          <w:p>
            <w:pPr>
              <w:spacing w:after="0"/>
              <w:rPr>
                <w:sz w:val="24"/>
                <w:szCs w:val="24"/>
                <w:color w:val="auto"/>
              </w:rPr>
            </w:pPr>
          </w:p>
        </w:tc>
        <w:tc>
          <w:tcPr>
            <w:tcW w:w="3740" w:type="dxa"/>
            <w:vAlign w:val="bottom"/>
          </w:tcPr>
          <w:p>
            <w:pPr>
              <w:spacing w:after="0"/>
              <w:rPr>
                <w:sz w:val="24"/>
                <w:szCs w:val="24"/>
                <w:color w:val="auto"/>
              </w:rPr>
            </w:pPr>
          </w:p>
        </w:tc>
      </w:tr>
      <w:tr>
        <w:trPr>
          <w:trHeight w:val="291"/>
        </w:trPr>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99(a)</w:t>
            </w:r>
          </w:p>
        </w:tc>
        <w:tc>
          <w:tcPr>
            <w:tcW w:w="400" w:type="dxa"/>
            <w:vAlign w:val="bottom"/>
          </w:tcPr>
          <w:p>
            <w:pPr>
              <w:spacing w:after="0"/>
              <w:rPr>
                <w:sz w:val="24"/>
                <w:szCs w:val="24"/>
                <w:color w:val="auto"/>
              </w:rPr>
            </w:pPr>
          </w:p>
        </w:tc>
        <w:tc>
          <w:tcPr>
            <w:tcW w:w="7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Press Release dated April 29, 2026.</w:t>
            </w:r>
          </w:p>
        </w:tc>
      </w:tr>
      <w:tr>
        <w:trPr>
          <w:trHeight w:val="20"/>
        </w:trPr>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34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48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257"/>
        </w:trPr>
        <w:tc>
          <w:tcPr>
            <w:tcW w:w="2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(Registrant)</w:t>
            </w:r>
          </w:p>
        </w:tc>
      </w:tr>
      <w:tr>
        <w:trPr>
          <w:trHeight w:val="51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29, 2026</w:t>
            </w:r>
          </w:p>
        </w:tc>
        <w:tc>
          <w:tcPr>
            <w:tcW w:w="48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41"/>
        </w:trPr>
        <w:tc>
          <w:tcPr>
            <w:tcW w:w="29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18"/>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2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56"/>
        </w:trPr>
        <w:tc>
          <w:tcPr>
            <w:tcW w:w="2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46"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268605</wp:posOffset>
            </wp:positionV>
            <wp:extent cx="62922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5143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474345</wp:posOffset>
            </wp:positionV>
            <wp:extent cx="1174115"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1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UFP Industries Announces First Quarter 2026 Results</w:t>
      </w:r>
    </w:p>
    <w:p>
      <w:pPr>
        <w:spacing w:after="0" w:line="25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GRAND RAPIDS, MI (April 29, 2026) - UFP Industries, Inc. (Nasdaq: UFPI) a leading manufacturer focused on delivering value-added products across its Retail, Packaging, and Construction segments reported results for the first quarter 2026.</w:t>
      </w:r>
    </w:p>
    <w:p>
      <w:pPr>
        <w:ind w:left="980" w:right="20" w:hanging="324"/>
        <w:spacing w:after="0" w:line="239" w:lineRule="auto"/>
        <w:tabs>
          <w:tab w:leader="none" w:pos="9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of $1.46 billion decreased by 8 percent compared to $1.6 billion a year ago due to a 1 percent decrease in price and a 7 percent decline in organic units.</w:t>
      </w:r>
    </w:p>
    <w:p>
      <w:pPr>
        <w:jc w:val="both"/>
        <w:ind w:left="980" w:hanging="324"/>
        <w:spacing w:after="0" w:line="241" w:lineRule="auto"/>
        <w:tabs>
          <w:tab w:leader="none" w:pos="9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earnings per share of $0.89 compared to $1.30 a year ago, and Net Earnings Attributable to Controlling Interests of $51 million compared to $79 million a year ago. Earnings were primarily impacted by a weaker residential construction market, adverse weather, and higher healthcare and fuel costs.</w:t>
      </w:r>
    </w:p>
    <w:p>
      <w:pPr>
        <w:spacing w:after="0" w:line="2" w:lineRule="exact"/>
        <w:rPr>
          <w:rFonts w:ascii="Times New Roman" w:cs="Times New Roman" w:eastAsia="Times New Roman" w:hAnsi="Times New Roman"/>
          <w:sz w:val="20"/>
          <w:szCs w:val="20"/>
          <w:color w:val="auto"/>
        </w:rPr>
      </w:pPr>
    </w:p>
    <w:p>
      <w:pPr>
        <w:ind w:left="980" w:hanging="324"/>
        <w:spacing w:after="0" w:line="198" w:lineRule="auto"/>
        <w:tabs>
          <w:tab w:leader="none" w:pos="9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9"/>
          <w:szCs w:val="29"/>
          <w:u w:val="single" w:color="auto"/>
          <w:color w:val="0000EE"/>
          <w:vertAlign w:val="superscript"/>
        </w:rPr>
        <w:t>1</w:t>
      </w:r>
      <w:r>
        <w:rPr>
          <w:rFonts w:ascii="Times New Roman" w:cs="Times New Roman" w:eastAsia="Times New Roman" w:hAnsi="Times New Roman"/>
          <w:sz w:val="20"/>
          <w:szCs w:val="20"/>
          <w:color w:val="auto"/>
        </w:rPr>
        <w:t xml:space="preserve"> was $111.4 million in the quarter, or 7.6 percent of net sales compared to 8.9 percent a year ago.</w:t>
      </w:r>
    </w:p>
    <w:p>
      <w:pPr>
        <w:ind w:left="980" w:hanging="324"/>
        <w:spacing w:after="0"/>
        <w:tabs>
          <w:tab w:leader="none" w:pos="9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 sales were 7.8 percent of total net sales.</w:t>
      </w:r>
    </w:p>
    <w:p>
      <w:pPr>
        <w:ind w:left="980" w:hanging="324"/>
        <w:spacing w:after="0" w:line="198" w:lineRule="auto"/>
        <w:tabs>
          <w:tab w:leader="none" w:pos="9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flows used in operating activities in 2026 was $104 million. Free cash flow</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20"/>
          <w:szCs w:val="20"/>
          <w:color w:val="auto"/>
        </w:rPr>
        <w:t xml:space="preserve"> of $87 million was used to repurchase nearly $30 million of our shares.</w:t>
      </w:r>
    </w:p>
    <w:p>
      <w:pPr>
        <w:spacing w:after="0" w:line="18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Will Schwartz, President and CEO of UFP Industries, commented, “After seeing stabilization earlier in the quarter, geopolitical tensions, unfavorable weather, and rising input costs added volatility to our operations in March, which accounted for more than half of the year-over-year decline in profits in the quarter. While we believe these headwinds will be temporary, we are actively working to offset these higher costs, particularly transportation. Despite the current backdrop, we have made considerable progress managing the things under our control and executing our strategies to position the business for long-term success. We are on track to deliver the remaining $25 million or more from our initial $60 million cost out program by year end. At the same time, we have continued to invest through the cycle. By combining greenfield expansion with disciplined M&amp;A, we are strengthening our core businesses, introducing innovative products, and structurally lowering our cost base. I’m incredibly proud of our team for their continued hard work. Our scale, diversified portfolio, and deep customer relationships have consistently positioned us well during periods like these and we continue to strengthen our position to drive above market growth and returns when markets recover.”</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Schwartz continued, “We have maintained a patient and disciplined approach to deploying capital this cycle while staying focused on finding the best and highest returns for our capital. This remains central to how we operate. After the quarter closed, we completed one transaction that strengthens our core businesses and supports our strategy to expand our footprint and drive higher-margin growth, and we expect to close an additional transaction in May. Our M&amp;A pipeline remains active, and we continue to pursue strategic targets and organic investments, while opportunistically returning cash to our shareholders given our robust financial position. Following $56 million in a recent acquisition, $30 million in share repurchases, and a 3% dividend increase, we continue to maintain ample liquidity and financial flexibility. We are confident in our diversified business model and balanced capital allocation approach, which we believe puts us in a strong position to continue to drive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167005</wp:posOffset>
            </wp:positionV>
            <wp:extent cx="1568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a non-GAAP measurement; see the reconciliation of non-GAAP financial measures and related explanations below.</w:t>
      </w:r>
    </w:p>
    <w:p>
      <w:pPr>
        <w:spacing w:after="0" w:line="302"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370205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w w:val="97"/>
              </w:rPr>
              <w:t>Exhibit 99(a)</w:t>
            </w:r>
          </w:p>
        </w:tc>
        <w:tc>
          <w:tcPr>
            <w:tcW w:w="0" w:type="dxa"/>
            <w:vAlign w:val="bottom"/>
          </w:tcPr>
          <w:p>
            <w:pPr>
              <w:spacing w:after="0"/>
              <w:rPr>
                <w:sz w:val="1"/>
                <w:szCs w:val="1"/>
                <w:color w:val="auto"/>
              </w:rPr>
            </w:pPr>
          </w:p>
        </w:tc>
      </w:tr>
      <w:tr>
        <w:trPr>
          <w:trHeight w:val="411"/>
        </w:trPr>
        <w:tc>
          <w:tcPr>
            <w:tcW w:w="53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First Quarter 2026 Highlights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320" w:type="dxa"/>
            <w:vAlign w:val="bottom"/>
            <w:gridSpan w:val="5"/>
          </w:tcPr>
          <w:p>
            <w:pPr>
              <w:ind w:left="340"/>
              <w:spacing w:after="0"/>
              <w:rPr>
                <w:sz w:val="20"/>
                <w:szCs w:val="20"/>
                <w:color w:val="auto"/>
              </w:rPr>
            </w:pPr>
            <w:r>
              <w:rPr>
                <w:rFonts w:ascii="Times New Roman" w:cs="Times New Roman" w:eastAsia="Times New Roman" w:hAnsi="Times New Roman"/>
                <w:sz w:val="20"/>
                <w:szCs w:val="20"/>
                <w:b w:val="1"/>
                <w:bCs w:val="1"/>
                <w:color w:val="auto"/>
              </w:rPr>
              <w:t>UFP Consolidated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34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gridSpan w:val="3"/>
          </w:tcPr>
          <w:p>
            <w:pPr>
              <w:jc w:val="right"/>
              <w:ind w:right="406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260" w:type="dxa"/>
            <w:vAlign w:val="bottom"/>
            <w:tcBorders>
              <w:bottom w:val="single" w:sz="8" w:color="auto"/>
            </w:tcBorders>
          </w:tcPr>
          <w:p>
            <w:pPr>
              <w:spacing w:after="0"/>
              <w:rPr>
                <w:sz w:val="18"/>
                <w:szCs w:val="18"/>
                <w:color w:val="auto"/>
              </w:rPr>
            </w:pPr>
          </w:p>
        </w:tc>
        <w:tc>
          <w:tcPr>
            <w:tcW w:w="4000" w:type="dxa"/>
            <w:vAlign w:val="bottom"/>
            <w:tcBorders>
              <w:bottom w:val="single" w:sz="8" w:color="auto"/>
              <w:right w:val="single" w:sz="8" w:color="auto"/>
            </w:tcBorders>
            <w:gridSpan w:val="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Quarter Period and Year to Date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13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vMerge w:val="continue"/>
          </w:tcPr>
          <w:p>
            <w:pPr>
              <w:spacing w:after="0"/>
              <w:rPr>
                <w:sz w:val="16"/>
                <w:szCs w:val="16"/>
                <w:color w:val="auto"/>
              </w:rPr>
            </w:pPr>
          </w:p>
        </w:tc>
        <w:tc>
          <w:tcPr>
            <w:tcW w:w="260" w:type="dxa"/>
            <w:vAlign w:val="bottom"/>
          </w:tcPr>
          <w:p>
            <w:pPr>
              <w:jc w:val="right"/>
              <w:ind w:right="96"/>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1,461,267</w:t>
            </w:r>
          </w:p>
        </w:tc>
        <w:tc>
          <w:tcPr>
            <w:tcW w:w="280" w:type="dxa"/>
            <w:vAlign w:val="bottom"/>
          </w:tcPr>
          <w:p>
            <w:pPr>
              <w:spacing w:after="0"/>
              <w:rPr>
                <w:sz w:val="16"/>
                <w:szCs w:val="16"/>
                <w:color w:val="auto"/>
              </w:rPr>
            </w:pPr>
          </w:p>
        </w:tc>
        <w:tc>
          <w:tcPr>
            <w:tcW w:w="240" w:type="dxa"/>
            <w:vAlign w:val="bottom"/>
          </w:tcPr>
          <w:p>
            <w:pPr>
              <w:jc w:val="right"/>
              <w:ind w:right="76"/>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1,595,519</w:t>
            </w:r>
          </w:p>
        </w:tc>
        <w:tc>
          <w:tcPr>
            <w:tcW w:w="260" w:type="dxa"/>
            <w:vAlign w:val="bottom"/>
          </w:tcPr>
          <w:p>
            <w:pPr>
              <w:spacing w:after="0"/>
              <w:rPr>
                <w:sz w:val="16"/>
                <w:szCs w:val="16"/>
                <w:color w:val="auto"/>
              </w:rPr>
            </w:pPr>
          </w:p>
        </w:tc>
        <w:tc>
          <w:tcPr>
            <w:tcW w:w="1300" w:type="dxa"/>
            <w:vAlign w:val="bottom"/>
            <w:tcBorders>
              <w:right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(8.4)</w:t>
            </w: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9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79,423</w:t>
            </w:r>
          </w:p>
        </w:tc>
        <w:tc>
          <w:tcPr>
            <w:tcW w:w="1560" w:type="dxa"/>
            <w:vAlign w:val="bottom"/>
            <w:tcBorders>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Net margin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jc w:val="right"/>
              <w:ind w:right="33"/>
              <w:spacing w:after="0"/>
              <w:rPr>
                <w:sz w:val="20"/>
                <w:szCs w:val="20"/>
                <w:color w:val="auto"/>
              </w:rPr>
            </w:pPr>
            <w:r>
              <w:rPr>
                <w:rFonts w:ascii="Times New Roman" w:cs="Times New Roman" w:eastAsia="Times New Roman" w:hAnsi="Times New Roman"/>
                <w:sz w:val="16"/>
                <w:szCs w:val="16"/>
                <w:color w:val="auto"/>
                <w:w w:val="89"/>
              </w:rPr>
              <w:t>%</w:t>
            </w:r>
          </w:p>
        </w:tc>
        <w:tc>
          <w:tcPr>
            <w:tcW w:w="13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9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142,151</w:t>
            </w:r>
          </w:p>
        </w:tc>
        <w:tc>
          <w:tcPr>
            <w:tcW w:w="1560" w:type="dxa"/>
            <w:vAlign w:val="bottom"/>
            <w:tcBorders>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494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Adjusted EBITDA margin</w:t>
            </w:r>
          </w:p>
        </w:tc>
        <w:tc>
          <w:tcPr>
            <w:tcW w:w="260" w:type="dxa"/>
            <w:vAlign w:val="bottom"/>
          </w:tcPr>
          <w:p>
            <w:pPr>
              <w:spacing w:after="0"/>
              <w:rPr>
                <w:sz w:val="20"/>
                <w:szCs w:val="20"/>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Percentage change in net sales: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Organic units</w:t>
            </w:r>
          </w:p>
        </w:tc>
        <w:tc>
          <w:tcPr>
            <w:tcW w:w="260" w:type="dxa"/>
            <w:vAlign w:val="bottom"/>
          </w:tcPr>
          <w:p>
            <w:pPr>
              <w:spacing w:after="0"/>
              <w:rPr>
                <w:sz w:val="18"/>
                <w:szCs w:val="18"/>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Selling prices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5320" w:type="dxa"/>
            <w:vAlign w:val="bottom"/>
            <w:gridSpan w:val="5"/>
          </w:tcPr>
          <w:p>
            <w:pPr>
              <w:jc w:val="right"/>
              <w:ind w:right="4040"/>
              <w:spacing w:after="0"/>
              <w:rPr>
                <w:sz w:val="20"/>
                <w:szCs w:val="20"/>
                <w:color w:val="auto"/>
              </w:rPr>
            </w:pPr>
            <w:r>
              <w:rPr>
                <w:rFonts w:ascii="Times New Roman" w:cs="Times New Roman" w:eastAsia="Times New Roman" w:hAnsi="Times New Roman"/>
                <w:sz w:val="20"/>
                <w:szCs w:val="20"/>
                <w:b w:val="1"/>
                <w:bCs w:val="1"/>
                <w:color w:val="auto"/>
              </w:rPr>
              <w:t>UFP Retail</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gridSpan w:val="3"/>
          </w:tcPr>
          <w:p>
            <w:pPr>
              <w:jc w:val="right"/>
              <w:ind w:right="406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260" w:type="dxa"/>
            <w:vAlign w:val="bottom"/>
            <w:tcBorders>
              <w:bottom w:val="single" w:sz="8" w:color="auto"/>
            </w:tcBorders>
          </w:tcPr>
          <w:p>
            <w:pPr>
              <w:spacing w:after="0"/>
              <w:rPr>
                <w:sz w:val="18"/>
                <w:szCs w:val="18"/>
                <w:color w:val="auto"/>
              </w:rPr>
            </w:pPr>
          </w:p>
        </w:tc>
        <w:tc>
          <w:tcPr>
            <w:tcW w:w="4000" w:type="dxa"/>
            <w:vAlign w:val="bottom"/>
            <w:tcBorders>
              <w:bottom w:val="single" w:sz="8" w:color="auto"/>
              <w:right w:val="single" w:sz="8" w:color="auto"/>
            </w:tcBorders>
            <w:gridSpan w:val="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Quarter Period and Year to Date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13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vMerge w:val="continue"/>
          </w:tcPr>
          <w:p>
            <w:pPr>
              <w:spacing w:after="0"/>
              <w:rPr>
                <w:sz w:val="16"/>
                <w:szCs w:val="16"/>
                <w:color w:val="auto"/>
              </w:rPr>
            </w:pPr>
          </w:p>
        </w:tc>
        <w:tc>
          <w:tcPr>
            <w:tcW w:w="260" w:type="dxa"/>
            <w:vAlign w:val="bottom"/>
          </w:tcPr>
          <w:p>
            <w:pPr>
              <w:jc w:val="right"/>
              <w:ind w:right="96"/>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531,176</w:t>
            </w:r>
          </w:p>
        </w:tc>
        <w:tc>
          <w:tcPr>
            <w:tcW w:w="280" w:type="dxa"/>
            <w:vAlign w:val="bottom"/>
          </w:tcPr>
          <w:p>
            <w:pPr>
              <w:spacing w:after="0"/>
              <w:rPr>
                <w:sz w:val="16"/>
                <w:szCs w:val="16"/>
                <w:color w:val="auto"/>
              </w:rPr>
            </w:pPr>
          </w:p>
        </w:tc>
        <w:tc>
          <w:tcPr>
            <w:tcW w:w="240" w:type="dxa"/>
            <w:vAlign w:val="bottom"/>
          </w:tcPr>
          <w:p>
            <w:pPr>
              <w:jc w:val="right"/>
              <w:ind w:right="76"/>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607,383</w:t>
            </w:r>
          </w:p>
        </w:tc>
        <w:tc>
          <w:tcPr>
            <w:tcW w:w="260" w:type="dxa"/>
            <w:vAlign w:val="bottom"/>
          </w:tcPr>
          <w:p>
            <w:pPr>
              <w:spacing w:after="0"/>
              <w:rPr>
                <w:sz w:val="16"/>
                <w:szCs w:val="16"/>
                <w:color w:val="auto"/>
              </w:rPr>
            </w:pPr>
          </w:p>
        </w:tc>
        <w:tc>
          <w:tcPr>
            <w:tcW w:w="1300" w:type="dxa"/>
            <w:vAlign w:val="bottom"/>
            <w:tcBorders>
              <w:right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9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1560" w:type="dxa"/>
            <w:vAlign w:val="bottom"/>
            <w:tcBorders>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Net margin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jc w:val="right"/>
              <w:ind w:right="33"/>
              <w:spacing w:after="0"/>
              <w:rPr>
                <w:sz w:val="20"/>
                <w:szCs w:val="20"/>
                <w:color w:val="auto"/>
              </w:rPr>
            </w:pPr>
            <w:r>
              <w:rPr>
                <w:rFonts w:ascii="Times New Roman" w:cs="Times New Roman" w:eastAsia="Times New Roman" w:hAnsi="Times New Roman"/>
                <w:sz w:val="16"/>
                <w:szCs w:val="16"/>
                <w:color w:val="auto"/>
                <w:w w:val="89"/>
              </w:rPr>
              <w:t>%</w:t>
            </w:r>
          </w:p>
        </w:tc>
        <w:tc>
          <w:tcPr>
            <w:tcW w:w="13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9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35,849</w:t>
            </w:r>
          </w:p>
        </w:tc>
        <w:tc>
          <w:tcPr>
            <w:tcW w:w="1560" w:type="dxa"/>
            <w:vAlign w:val="bottom"/>
            <w:tcBorders>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494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Adjusted EBITDA margin</w:t>
            </w:r>
          </w:p>
        </w:tc>
        <w:tc>
          <w:tcPr>
            <w:tcW w:w="260" w:type="dxa"/>
            <w:vAlign w:val="bottom"/>
          </w:tcPr>
          <w:p>
            <w:pPr>
              <w:spacing w:after="0"/>
              <w:rPr>
                <w:sz w:val="20"/>
                <w:szCs w:val="20"/>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Percentage change in net sales: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Organic units</w:t>
            </w:r>
          </w:p>
        </w:tc>
        <w:tc>
          <w:tcPr>
            <w:tcW w:w="260" w:type="dxa"/>
            <w:vAlign w:val="bottom"/>
          </w:tcPr>
          <w:p>
            <w:pPr>
              <w:spacing w:after="0"/>
              <w:rPr>
                <w:sz w:val="18"/>
                <w:szCs w:val="18"/>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Selling prices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980" w:hanging="324"/>
        <w:spacing w:after="0" w:line="245"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ProWood organic unit sales declined 15 percent in the quarter from year ago levels due to unfavorable winter weather, the absence of storm-related demand which carried over from the fall of 2024 into early 2025, the loss of low margin commodity sales which commenced in the second quarter of 2025, and generally weaker consumer sentiment.</w:t>
      </w:r>
    </w:p>
    <w:p>
      <w:pPr>
        <w:jc w:val="both"/>
        <w:ind w:left="980" w:hanging="324"/>
        <w:spacing w:after="0" w:line="239"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Deckorators’ organic unit sales grew 2 percent in the quarter from year ago levels. Our Surestone decking sales increased 27 percent and our traditional wood plastic composite decking increased 4 percent, both from the same quarter a year ago.</w:t>
      </w:r>
    </w:p>
    <w:p>
      <w:pPr>
        <w:spacing w:after="0" w:line="1" w:lineRule="exact"/>
        <w:rPr>
          <w:rFonts w:ascii="Times New Roman" w:cs="Times New Roman" w:eastAsia="Times New Roman" w:hAnsi="Times New Roman"/>
          <w:sz w:val="20"/>
          <w:szCs w:val="20"/>
          <w:color w:val="auto"/>
        </w:rPr>
      </w:pPr>
    </w:p>
    <w:p>
      <w:pPr>
        <w:ind w:left="980" w:right="20" w:hanging="324"/>
        <w:spacing w:after="0" w:line="246"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UFP Edge organic unit sales declined 20 percent due to the closure of the Bonner facilities at the end of 2025 and rationalizing the product portfolio to those that can achieve profitability targets.</w:t>
      </w: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u w:val="single" w:color="auto"/>
          <w:color w:val="auto"/>
        </w:rPr>
        <w:t>UFP Packaging</w:t>
      </w:r>
    </w:p>
    <w:p>
      <w:pPr>
        <w:spacing w:after="0" w:line="182" w:lineRule="exact"/>
        <w:rPr>
          <w:sz w:val="20"/>
          <w:szCs w:val="20"/>
          <w:color w:val="auto"/>
        </w:rPr>
      </w:pPr>
    </w:p>
    <w:tbl>
      <w:tblPr>
        <w:tblLayout w:type="fixed"/>
        <w:tblInd w:w="370" w:type="dxa"/>
        <w:tblCellMar>
          <w:top w:w="0" w:type="dxa"/>
          <w:left w:w="0" w:type="dxa"/>
          <w:bottom w:w="0" w:type="dxa"/>
          <w:right w:w="0" w:type="dxa"/>
        </w:tblCellMar>
      </w:tblPr>
      <w:tr>
        <w:trPr>
          <w:trHeight w:val="230"/>
        </w:trPr>
        <w:tc>
          <w:tcPr>
            <w:tcW w:w="49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4000" w:type="dxa"/>
            <w:vAlign w:val="bottom"/>
            <w:tcBorders>
              <w:top w:val="single" w:sz="8" w:color="auto"/>
              <w:bottom w:val="single" w:sz="8" w:color="auto"/>
              <w:right w:val="single" w:sz="8" w:color="auto"/>
            </w:tcBorders>
            <w:gridSpan w:val="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Quarter Period and Year to Date</w:t>
            </w:r>
          </w:p>
        </w:tc>
        <w:tc>
          <w:tcPr>
            <w:tcW w:w="0" w:type="dxa"/>
            <w:vAlign w:val="bottom"/>
          </w:tcPr>
          <w:p>
            <w:pPr>
              <w:spacing w:after="0"/>
              <w:rPr>
                <w:sz w:val="1"/>
                <w:szCs w:val="1"/>
                <w:color w:val="auto"/>
              </w:rPr>
            </w:pPr>
          </w:p>
        </w:tc>
      </w:tr>
      <w:tr>
        <w:trPr>
          <w:trHeight w:val="209"/>
        </w:trPr>
        <w:tc>
          <w:tcPr>
            <w:tcW w:w="4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13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7"/>
        </w:trPr>
        <w:tc>
          <w:tcPr>
            <w:tcW w:w="4960" w:type="dxa"/>
            <w:vAlign w:val="bottom"/>
            <w:tcBorders>
              <w:left w:val="single" w:sz="8" w:color="auto"/>
              <w:right w:val="single" w:sz="8" w:color="auto"/>
            </w:tcBorders>
            <w:vMerge w:val="continue"/>
          </w:tcPr>
          <w:p>
            <w:pPr>
              <w:spacing w:after="0"/>
              <w:rPr>
                <w:sz w:val="16"/>
                <w:szCs w:val="16"/>
                <w:color w:val="auto"/>
              </w:rPr>
            </w:pPr>
          </w:p>
        </w:tc>
        <w:tc>
          <w:tcPr>
            <w:tcW w:w="260" w:type="dxa"/>
            <w:vAlign w:val="bottom"/>
          </w:tcPr>
          <w:p>
            <w:pPr>
              <w:jc w:val="right"/>
              <w:ind w:right="96"/>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394,093</w:t>
            </w:r>
          </w:p>
        </w:tc>
        <w:tc>
          <w:tcPr>
            <w:tcW w:w="280" w:type="dxa"/>
            <w:vAlign w:val="bottom"/>
          </w:tcPr>
          <w:p>
            <w:pPr>
              <w:spacing w:after="0"/>
              <w:rPr>
                <w:sz w:val="16"/>
                <w:szCs w:val="16"/>
                <w:color w:val="auto"/>
              </w:rPr>
            </w:pPr>
          </w:p>
        </w:tc>
        <w:tc>
          <w:tcPr>
            <w:tcW w:w="240" w:type="dxa"/>
            <w:vAlign w:val="bottom"/>
          </w:tcPr>
          <w:p>
            <w:pPr>
              <w:jc w:val="right"/>
              <w:ind w:right="76"/>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410,008</w:t>
            </w:r>
          </w:p>
        </w:tc>
        <w:tc>
          <w:tcPr>
            <w:tcW w:w="260" w:type="dxa"/>
            <w:vAlign w:val="bottom"/>
          </w:tcPr>
          <w:p>
            <w:pPr>
              <w:spacing w:after="0"/>
              <w:rPr>
                <w:sz w:val="16"/>
                <w:szCs w:val="16"/>
                <w:color w:val="auto"/>
              </w:rPr>
            </w:pPr>
          </w:p>
        </w:tc>
        <w:tc>
          <w:tcPr>
            <w:tcW w:w="1300" w:type="dxa"/>
            <w:vAlign w:val="bottom"/>
            <w:tcBorders>
              <w:right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1560" w:type="dxa"/>
            <w:vAlign w:val="bottom"/>
            <w:tcBorders>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2"/>
        </w:trPr>
        <w:tc>
          <w:tcPr>
            <w:tcW w:w="49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margin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jc w:val="right"/>
              <w:ind w:right="33"/>
              <w:spacing w:after="0"/>
              <w:rPr>
                <w:sz w:val="20"/>
                <w:szCs w:val="20"/>
                <w:color w:val="auto"/>
              </w:rPr>
            </w:pPr>
            <w:r>
              <w:rPr>
                <w:rFonts w:ascii="Times New Roman" w:cs="Times New Roman" w:eastAsia="Times New Roman" w:hAnsi="Times New Roman"/>
                <w:sz w:val="16"/>
                <w:szCs w:val="16"/>
                <w:color w:val="auto"/>
                <w:w w:val="89"/>
              </w:rPr>
              <w:t>%</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1560" w:type="dxa"/>
            <w:vAlign w:val="bottom"/>
            <w:tcBorders>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4"/>
        </w:trPr>
        <w:tc>
          <w:tcPr>
            <w:tcW w:w="49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Adjusted EBITDA margin</w:t>
            </w:r>
          </w:p>
        </w:tc>
        <w:tc>
          <w:tcPr>
            <w:tcW w:w="260" w:type="dxa"/>
            <w:vAlign w:val="bottom"/>
          </w:tcPr>
          <w:p>
            <w:pPr>
              <w:spacing w:after="0"/>
              <w:rPr>
                <w:sz w:val="20"/>
                <w:szCs w:val="20"/>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Percentage change in net sales: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Organic units</w:t>
            </w:r>
          </w:p>
        </w:tc>
        <w:tc>
          <w:tcPr>
            <w:tcW w:w="260" w:type="dxa"/>
            <w:vAlign w:val="bottom"/>
          </w:tcPr>
          <w:p>
            <w:pPr>
              <w:spacing w:after="0"/>
              <w:rPr>
                <w:sz w:val="18"/>
                <w:szCs w:val="18"/>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Selling prices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Structural Packaging organic unit sales were flat in the quarter compared to year ago levels.</w:t>
      </w:r>
    </w:p>
    <w:p>
      <w:pPr>
        <w:spacing w:after="0" w:line="21" w:lineRule="exact"/>
        <w:rPr>
          <w:rFonts w:ascii="Times New Roman" w:cs="Times New Roman" w:eastAsia="Times New Roman" w:hAnsi="Times New Roman"/>
          <w:sz w:val="20"/>
          <w:szCs w:val="20"/>
          <w:color w:val="auto"/>
        </w:rPr>
      </w:pPr>
    </w:p>
    <w:p>
      <w:pPr>
        <w:ind w:left="980" w:hanging="324"/>
        <w:spacing w:after="0" w:line="246" w:lineRule="auto"/>
        <w:tabs>
          <w:tab w:leader="none" w:pos="9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PalletOne organic unit sales declined 11 percent in the quarter from year ago levels due to weaker demand, which was partially offset by a 4 percent contribution from acquisitions.</w:t>
      </w:r>
    </w:p>
    <w:p>
      <w:pPr>
        <w:sectPr>
          <w:pgSz w:w="11900" w:h="16838" w:orient="portrait"/>
          <w:cols w:equalWidth="0" w:num="1">
            <w:col w:w="9920"/>
          </w:cols>
          <w:pgMar w:left="980" w:top="374" w:right="999" w:bottom="1440" w:gutter="0" w:footer="0" w:header="0"/>
        </w:sectPr>
      </w:pPr>
    </w:p>
    <w:p>
      <w:pPr>
        <w:spacing w:after="0" w:line="74"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370205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4" w:right="9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184" w:lineRule="exact"/>
        <w:rPr>
          <w:sz w:val="20"/>
          <w:szCs w:val="20"/>
          <w:color w:val="auto"/>
        </w:rPr>
      </w:pPr>
    </w:p>
    <w:p>
      <w:pPr>
        <w:ind w:left="980" w:hanging="324"/>
        <w:spacing w:after="0" w:line="269" w:lineRule="auto"/>
        <w:tabs>
          <w:tab w:leader="none" w:pos="9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Protective Packaging organic unit sales increased 5 percent in the quarter from a year ago levels as a result of the Jeffersonville, Indiana facility, which became fully operational in the third quarter of 2025.</w:t>
      </w:r>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u w:val="single" w:color="auto"/>
          <w:color w:val="auto"/>
        </w:rPr>
        <w:t>UFP Construction</w:t>
      </w:r>
    </w:p>
    <w:p>
      <w:pPr>
        <w:spacing w:after="0" w:line="182" w:lineRule="exact"/>
        <w:rPr>
          <w:sz w:val="20"/>
          <w:szCs w:val="20"/>
          <w:color w:val="auto"/>
        </w:rPr>
      </w:pPr>
    </w:p>
    <w:tbl>
      <w:tblPr>
        <w:tblLayout w:type="fixed"/>
        <w:tblInd w:w="370" w:type="dxa"/>
        <w:tblCellMar>
          <w:top w:w="0" w:type="dxa"/>
          <w:left w:w="0" w:type="dxa"/>
          <w:bottom w:w="0" w:type="dxa"/>
          <w:right w:w="0" w:type="dxa"/>
        </w:tblCellMar>
      </w:tblPr>
      <w:tr>
        <w:trPr>
          <w:trHeight w:val="229"/>
        </w:trPr>
        <w:tc>
          <w:tcPr>
            <w:tcW w:w="49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4000" w:type="dxa"/>
            <w:vAlign w:val="bottom"/>
            <w:tcBorders>
              <w:top w:val="single" w:sz="8" w:color="auto"/>
              <w:bottom w:val="single" w:sz="8" w:color="auto"/>
              <w:right w:val="single" w:sz="8" w:color="auto"/>
            </w:tcBorders>
            <w:gridSpan w:val="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Quarter Period and Year to Date</w:t>
            </w:r>
          </w:p>
        </w:tc>
        <w:tc>
          <w:tcPr>
            <w:tcW w:w="0" w:type="dxa"/>
            <w:vAlign w:val="bottom"/>
          </w:tcPr>
          <w:p>
            <w:pPr>
              <w:spacing w:after="0"/>
              <w:rPr>
                <w:sz w:val="1"/>
                <w:szCs w:val="1"/>
                <w:color w:val="auto"/>
              </w:rPr>
            </w:pPr>
          </w:p>
        </w:tc>
      </w:tr>
      <w:tr>
        <w:trPr>
          <w:trHeight w:val="209"/>
        </w:trPr>
        <w:tc>
          <w:tcPr>
            <w:tcW w:w="49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13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7"/>
        </w:trPr>
        <w:tc>
          <w:tcPr>
            <w:tcW w:w="4960" w:type="dxa"/>
            <w:vAlign w:val="bottom"/>
            <w:tcBorders>
              <w:left w:val="single" w:sz="8" w:color="auto"/>
              <w:right w:val="single" w:sz="8" w:color="auto"/>
            </w:tcBorders>
            <w:vMerge w:val="continue"/>
          </w:tcPr>
          <w:p>
            <w:pPr>
              <w:spacing w:after="0"/>
              <w:rPr>
                <w:sz w:val="16"/>
                <w:szCs w:val="16"/>
                <w:color w:val="auto"/>
              </w:rPr>
            </w:pPr>
          </w:p>
        </w:tc>
        <w:tc>
          <w:tcPr>
            <w:tcW w:w="260" w:type="dxa"/>
            <w:vAlign w:val="bottom"/>
          </w:tcPr>
          <w:p>
            <w:pPr>
              <w:jc w:val="right"/>
              <w:ind w:right="96"/>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465,513</w:t>
            </w:r>
          </w:p>
        </w:tc>
        <w:tc>
          <w:tcPr>
            <w:tcW w:w="280" w:type="dxa"/>
            <w:vAlign w:val="bottom"/>
          </w:tcPr>
          <w:p>
            <w:pPr>
              <w:spacing w:after="0"/>
              <w:rPr>
                <w:sz w:val="16"/>
                <w:szCs w:val="16"/>
                <w:color w:val="auto"/>
              </w:rPr>
            </w:pPr>
          </w:p>
        </w:tc>
        <w:tc>
          <w:tcPr>
            <w:tcW w:w="240" w:type="dxa"/>
            <w:vAlign w:val="bottom"/>
          </w:tcPr>
          <w:p>
            <w:pPr>
              <w:jc w:val="right"/>
              <w:ind w:right="76"/>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515,940</w:t>
            </w:r>
          </w:p>
        </w:tc>
        <w:tc>
          <w:tcPr>
            <w:tcW w:w="260" w:type="dxa"/>
            <w:vAlign w:val="bottom"/>
          </w:tcPr>
          <w:p>
            <w:pPr>
              <w:spacing w:after="0"/>
              <w:rPr>
                <w:sz w:val="16"/>
                <w:szCs w:val="16"/>
                <w:color w:val="auto"/>
              </w:rPr>
            </w:pPr>
          </w:p>
        </w:tc>
        <w:tc>
          <w:tcPr>
            <w:tcW w:w="1300" w:type="dxa"/>
            <w:vAlign w:val="bottom"/>
            <w:tcBorders>
              <w:right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(9.8)</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21,944</w:t>
            </w:r>
          </w:p>
        </w:tc>
        <w:tc>
          <w:tcPr>
            <w:tcW w:w="1560" w:type="dxa"/>
            <w:vAlign w:val="bottom"/>
            <w:tcBorders>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2"/>
        </w:trPr>
        <w:tc>
          <w:tcPr>
            <w:tcW w:w="49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margin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jc w:val="right"/>
              <w:ind w:right="33"/>
              <w:spacing w:after="0"/>
              <w:rPr>
                <w:sz w:val="20"/>
                <w:szCs w:val="20"/>
                <w:color w:val="auto"/>
              </w:rPr>
            </w:pPr>
            <w:r>
              <w:rPr>
                <w:rFonts w:ascii="Times New Roman" w:cs="Times New Roman" w:eastAsia="Times New Roman" w:hAnsi="Times New Roman"/>
                <w:sz w:val="16"/>
                <w:szCs w:val="16"/>
                <w:color w:val="auto"/>
                <w:w w:val="89"/>
              </w:rPr>
              <w:t>%</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37,310</w:t>
            </w:r>
          </w:p>
        </w:tc>
        <w:tc>
          <w:tcPr>
            <w:tcW w:w="1560" w:type="dxa"/>
            <w:vAlign w:val="bottom"/>
            <w:tcBorders>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4"/>
        </w:trPr>
        <w:tc>
          <w:tcPr>
            <w:tcW w:w="49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Adjusted EBITDA margin</w:t>
            </w:r>
          </w:p>
        </w:tc>
        <w:tc>
          <w:tcPr>
            <w:tcW w:w="260" w:type="dxa"/>
            <w:vAlign w:val="bottom"/>
          </w:tcPr>
          <w:p>
            <w:pPr>
              <w:spacing w:after="0"/>
              <w:rPr>
                <w:sz w:val="20"/>
                <w:szCs w:val="20"/>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Percentage change in net sales: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Organic units</w:t>
            </w:r>
          </w:p>
        </w:tc>
        <w:tc>
          <w:tcPr>
            <w:tcW w:w="260" w:type="dxa"/>
            <w:vAlign w:val="bottom"/>
          </w:tcPr>
          <w:p>
            <w:pPr>
              <w:spacing w:after="0"/>
              <w:rPr>
                <w:sz w:val="18"/>
                <w:szCs w:val="18"/>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Selling prices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80" w:hanging="324"/>
        <w:spacing w:after="0" w:line="250" w:lineRule="auto"/>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Site Built organic unit sales declined 14 percent in the quarter from year ago levels due to soft demand caused by economic uncertainty, housing affordability challenges, and unfavorable weather.</w:t>
      </w:r>
    </w:p>
    <w:p>
      <w:pPr>
        <w:spacing w:after="0" w:line="1" w:lineRule="exact"/>
        <w:rPr>
          <w:rFonts w:ascii="Times New Roman" w:cs="Times New Roman" w:eastAsia="Times New Roman" w:hAnsi="Times New Roman"/>
          <w:sz w:val="20"/>
          <w:szCs w:val="20"/>
          <w:color w:val="auto"/>
        </w:rPr>
      </w:pPr>
    </w:p>
    <w:p>
      <w:pPr>
        <w:jc w:val="both"/>
        <w:ind w:left="980" w:hanging="324"/>
        <w:spacing w:after="0" w:line="239" w:lineRule="auto"/>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Factory Built organic unit sales declined 8 percent in the quarter from year ago levels due to the loss of low margin commodity sales, partially offset by a 1 percent contribution from acquisitions. Despite the decline, gross profits improved.</w:t>
      </w:r>
    </w:p>
    <w:p>
      <w:pPr>
        <w:spacing w:after="0" w:line="1" w:lineRule="exact"/>
        <w:rPr>
          <w:rFonts w:ascii="Times New Roman" w:cs="Times New Roman" w:eastAsia="Times New Roman" w:hAnsi="Times New Roman"/>
          <w:sz w:val="20"/>
          <w:szCs w:val="20"/>
          <w:color w:val="auto"/>
        </w:rPr>
      </w:pPr>
    </w:p>
    <w:p>
      <w:pPr>
        <w:ind w:left="980" w:hanging="324"/>
        <w:spacing w:after="0" w:line="239" w:lineRule="auto"/>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Concrete Forming Solutions’ organic unit sales grew 14 percent in the quarter from year ago levels driven by market share gains associated with value-added product sales.</w:t>
      </w:r>
    </w:p>
    <w:p>
      <w:pPr>
        <w:ind w:left="980" w:hanging="324"/>
        <w:spacing w:after="0"/>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organic sales grew 15 percent in the quarter from year ago levels as overall demand has improved.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Capital Structure, Leverage and Liquidity Information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UFP Industries maintains a strong balance sheet and as of March 28, 2026, had liquidity of approximately $2.0 billion consisting of over $715 million of cash and $1.3 billion of remaining availability under its revolving credit facility and a shelf agreement with certain lenders. The company’s return-focused approach to capital allocation includes the following:</w:t>
      </w:r>
    </w:p>
    <w:p>
      <w:pPr>
        <w:spacing w:after="0" w:line="292" w:lineRule="exact"/>
        <w:rPr>
          <w:sz w:val="20"/>
          <w:szCs w:val="20"/>
          <w:color w:val="auto"/>
        </w:rPr>
      </w:pPr>
    </w:p>
    <w:p>
      <w:pPr>
        <w:jc w:val="both"/>
        <w:ind w:left="980" w:hanging="324"/>
        <w:spacing w:after="0" w:line="248" w:lineRule="auto"/>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Organic Growth. </w:t>
      </w:r>
      <w:r>
        <w:rPr>
          <w:rFonts w:ascii="Times New Roman" w:cs="Times New Roman" w:eastAsia="Times New Roman" w:hAnsi="Times New Roman"/>
          <w:sz w:val="20"/>
          <w:szCs w:val="20"/>
          <w:color w:val="auto"/>
        </w:rPr>
        <w:t>The company invests in organic growth opportunities when acquisition targets are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available at valuations that will allow us to meet or exceed targeted return rates. The company expects to invest approximately $250 million to $275 million on capital projects in 2026.</w:t>
      </w:r>
    </w:p>
    <w:p>
      <w:pPr>
        <w:spacing w:after="0" w:line="1" w:lineRule="exact"/>
        <w:rPr>
          <w:rFonts w:ascii="Times New Roman" w:cs="Times New Roman" w:eastAsia="Times New Roman" w:hAnsi="Times New Roman"/>
          <w:sz w:val="20"/>
          <w:szCs w:val="20"/>
          <w:color w:val="auto"/>
        </w:rPr>
      </w:pPr>
    </w:p>
    <w:p>
      <w:pPr>
        <w:jc w:val="both"/>
        <w:ind w:left="980" w:hanging="324"/>
        <w:spacing w:after="0" w:line="239" w:lineRule="auto"/>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Acquisitions and Inorganic Growth. </w:t>
      </w:r>
      <w:r>
        <w:rPr>
          <w:rFonts w:ascii="Times New Roman" w:cs="Times New Roman" w:eastAsia="Times New Roman" w:hAnsi="Times New Roman"/>
          <w:sz w:val="20"/>
          <w:szCs w:val="20"/>
          <w:color w:val="auto"/>
        </w:rPr>
        <w:t>In April, the company closed one transaction, expanding production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capacity and expanding our geographic reach in one of our core businesses, and announced another transaction expected to close in May.</w:t>
      </w:r>
    </w:p>
    <w:p>
      <w:pPr>
        <w:spacing w:after="0" w:line="1" w:lineRule="exact"/>
        <w:rPr>
          <w:rFonts w:ascii="Times New Roman" w:cs="Times New Roman" w:eastAsia="Times New Roman" w:hAnsi="Times New Roman"/>
          <w:sz w:val="20"/>
          <w:szCs w:val="20"/>
          <w:color w:val="auto"/>
        </w:rPr>
      </w:pPr>
    </w:p>
    <w:p>
      <w:pPr>
        <w:jc w:val="both"/>
        <w:ind w:left="162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6, 2026, the company acquired the operating assets of the composite decking manufacturing facility of MoistureShield, Inc., a leading player in the growing wood plastic composite industry, for $56 million in cash. The acquisition expands our manufacturing capacity to meet the growing demand for our Deckorators product offering. In 2025, MoistureShield had sales of approximately $50 million.</w:t>
      </w:r>
    </w:p>
    <w:p>
      <w:pPr>
        <w:spacing w:after="0" w:line="1" w:lineRule="exact"/>
        <w:rPr>
          <w:rFonts w:ascii="Times New Roman" w:cs="Times New Roman" w:eastAsia="Times New Roman" w:hAnsi="Times New Roman"/>
          <w:sz w:val="20"/>
          <w:szCs w:val="20"/>
          <w:color w:val="auto"/>
        </w:rPr>
      </w:pPr>
    </w:p>
    <w:p>
      <w:pPr>
        <w:jc w:val="both"/>
        <w:ind w:left="1620" w:right="2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28, 2026, the company announced the plan to acquire Berry Pallets, Inc., a wood pallet manufacturer, in May 2026 for an estimated $20 million in cash. In 2025, Berry Pallets had sales of approximately $23 million.</w:t>
      </w:r>
    </w:p>
    <w:p>
      <w:pPr>
        <w:spacing w:after="0" w:line="1" w:lineRule="exact"/>
        <w:rPr>
          <w:rFonts w:ascii="Times New Roman" w:cs="Times New Roman" w:eastAsia="Times New Roman" w:hAnsi="Times New Roman"/>
          <w:sz w:val="20"/>
          <w:szCs w:val="20"/>
          <w:color w:val="auto"/>
        </w:rPr>
      </w:pPr>
    </w:p>
    <w:p>
      <w:pPr>
        <w:jc w:val="both"/>
        <w:ind w:left="980" w:hanging="324"/>
        <w:spacing w:after="0" w:line="239" w:lineRule="auto"/>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Dividend Payments. </w:t>
      </w:r>
      <w:r>
        <w:rPr>
          <w:rFonts w:ascii="Times New Roman" w:cs="Times New Roman" w:eastAsia="Times New Roman" w:hAnsi="Times New Roman"/>
          <w:sz w:val="20"/>
          <w:szCs w:val="20"/>
          <w:color w:val="auto"/>
        </w:rPr>
        <w:t>On April 22, 2026, the Board declared a quarterly cash dividend of $0.36 per share.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 is payable on June 15, 2026, to shareholders of record on June 1, 2026. The per share cash dividend amount represents a 3% increase from the 2025 dividend rate. We continue to consider our payout ratio and yield when determining the appropriate dividend rate and have a long-term objective of increasing our dividend in line with our future earnings and free cash flow growth.</w:t>
      </w:r>
    </w:p>
    <w:p>
      <w:pPr>
        <w:spacing w:after="0" w:line="2" w:lineRule="exact"/>
        <w:rPr>
          <w:rFonts w:ascii="Times New Roman" w:cs="Times New Roman" w:eastAsia="Times New Roman" w:hAnsi="Times New Roman"/>
          <w:sz w:val="20"/>
          <w:szCs w:val="20"/>
          <w:color w:val="auto"/>
        </w:rPr>
      </w:pPr>
    </w:p>
    <w:p>
      <w:pPr>
        <w:ind w:left="980" w:right="20" w:hanging="324"/>
        <w:spacing w:after="0" w:line="246" w:lineRule="auto"/>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Share Repurchases. </w:t>
      </w:r>
      <w:r>
        <w:rPr>
          <w:rFonts w:ascii="Times New Roman" w:cs="Times New Roman" w:eastAsia="Times New Roman" w:hAnsi="Times New Roman"/>
          <w:sz w:val="20"/>
          <w:szCs w:val="20"/>
          <w:color w:val="auto"/>
        </w:rPr>
        <w:t>During the quarter ended March 28, 2026, we repurchased 334,541 shares for $30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an average share price of $89.76.</w:t>
      </w:r>
    </w:p>
    <w:p>
      <w:pPr>
        <w:spacing w:after="0" w:line="304"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370205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4" w:right="9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Outlook and Long-Term Targets</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anticipate that the current, more challenging market environment will continue in 2026 and that overall demand for the balance of the year will likely be towards the lower end of our prior guidance, which called for flat to slightly down unit expectations in each of our segments based on our sales mix. Input cost, primarily tied to energy and transportation, will remain a headwind, and while we have mechanisms in place to offset these higher costs, we expect to make progress gradually through the remainder of the year. Markets tied to new residential construction are expected to remain more challenging, while we expect stabilization across our other end markets will serve as an offset. Despite these conditions, we believe we are positioned to perform better than our markets as a result of share gains across our portfolio and the execution of our cost out program. In addition, initial stocking orders, upgraded manufacturing capacity, and expanded distribution are expected to support momentum in our Deckorators and Surestone businesses in 2026.</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company’s </w:t>
      </w:r>
      <w:r>
        <w:rPr>
          <w:rFonts w:ascii="Times New Roman" w:cs="Times New Roman" w:eastAsia="Times New Roman" w:hAnsi="Times New Roman"/>
          <w:sz w:val="20"/>
          <w:szCs w:val="20"/>
          <w:u w:val="single" w:color="auto"/>
          <w:color w:val="auto"/>
        </w:rPr>
        <w:t>long-term</w:t>
      </w:r>
      <w:r>
        <w:rPr>
          <w:rFonts w:ascii="Times New Roman" w:cs="Times New Roman" w:eastAsia="Times New Roman" w:hAnsi="Times New Roman"/>
          <w:sz w:val="20"/>
          <w:szCs w:val="20"/>
          <w:color w:val="auto"/>
        </w:rPr>
        <w:t xml:space="preserve"> goals remain unchanged and include: 1) achieving 7-10 percent unit sales growth annually (including bolt-on acquisitions) with at least 10 percent of all sales coming from new products; 2) achieving 12.5 percent adjusted EBITDA margins; 3) earning an incremental return on new investments over our hurdle rate; and 4) maintaining a conservative capital structure.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UFP Industries will host a conference call on Thursday, April 30, 2026, to discuss these results and outlook. The conference call will begin at 10:00 a.m. Eastern Time and will be hosted by CEO Will Schwartz and CFO Michael Cole. Interested investors can access the webcast directly with this link (here). A replay of the call will be available through the UFP Investor Relations website at www.ufpinvestor.com for at least 90 days following the call.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UFP Industries, Inc.</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UFP Industries, Inc. is a holding company whose operating subsidiaries – UFP Packaging, UFP Construction and UFP Retail – manufacture, distribute and sell a wide variety of value-added products used in residential and commercial construction, packaging and other industrial applications worldwide. Founded in 1955, the company is headquartered in Grand Rapids, Mich., with affiliates in North America, Europe, Asia and Australia. For more about UFP Industries, go to www.ufpi.com.</w:t>
      </w:r>
    </w:p>
    <w:p>
      <w:pPr>
        <w:spacing w:after="0" w:line="200" w:lineRule="exact"/>
        <w:rPr>
          <w:sz w:val="20"/>
          <w:szCs w:val="20"/>
          <w:color w:val="auto"/>
        </w:rPr>
      </w:pPr>
    </w:p>
    <w:p>
      <w:pPr>
        <w:spacing w:after="0" w:line="34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4"/>
          <w:szCs w:val="14"/>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or unusual weather conditions; adverse economic conditions in the markets we serve; changes in tariffs, import/export regulations, and other trade policies; concentration of sales to customers; the success of vertical integration strategies; excess capacity or supply chain challenges; inbound and outbound transportation costs; alternatives to replace treated wood products; government regulations, particularly involving environmental and safety regulations; our ability to make successful business acquisitions; cybersecurity breaches; and potential pandemics. Certain of these risk factors as well as other risk factors and additional information are included in the Company's reports on Form 10-K and 10-Q on file with the Securities and Exchange Commission.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Non-GAAP Financial Information</w:t>
      </w:r>
    </w:p>
    <w:p>
      <w:pPr>
        <w:spacing w:after="0" w:line="9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i w:val="1"/>
          <w:iCs w:val="1"/>
          <w:color w:val="auto"/>
        </w:rPr>
        <w:t>This release includes certain financial information not prepared in accordance with U.S. GAAP. Because not all companies calculate non-GAAP financial information identically (or at all), the presentations herein may not be comparable to other similarly titled measures used by other companies. Management uses Adjusted EBITDA and Free cash flow, non-GAAP financial measures, in order to evaluate historical and ongoing operations. Management believes that these non-GAAP financial measures are useful in order to enable investors to perform meaningful comparisons of historical and current performance. Adjusted EBITDA and Free cash flow are intended to supplement and should be read together with the financial results. Adjusted EBITDA and Free cash flow should not be considered alternatives or substitutes for, and should not be considered superior to, the reported financial results. Accordingly, users of this financial information should not place undue reliance on the non-GAAP financial measures. See the table below for a reconciliation of Net earnings to Adjusted EBITDA and a reconciliation of Cash flow from operations to Free cash flow.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earnings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earnings refers to net earnings attributable to controlling interest unless specifically noted.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75"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370205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74" w:right="9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THE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 Elliott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(804) 337-8217</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370205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74" w:right="999" w:bottom="1440" w:gutter="0" w:footer="0" w:header="0"/>
        </w:sectPr>
      </w:pPr>
    </w:p>
    <w:bookmarkStart w:id="8" w:name="page9"/>
    <w:bookmarkEnd w:id="8"/>
    <w:p>
      <w:pPr>
        <w:ind w:left="8920"/>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185" w:lineRule="exact"/>
        <w:rPr>
          <w:sz w:val="20"/>
          <w:szCs w:val="20"/>
          <w:color w:val="auto"/>
        </w:rPr>
      </w:pPr>
    </w:p>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 FOR THE THREE MONTHS ENDED MARCH 2026/2025</w:t>
      </w: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140" w:type="dxa"/>
            <w:vAlign w:val="bottom"/>
            <w:tcBorders>
              <w:top w:val="single" w:sz="8" w:color="auto"/>
              <w:left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right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Period and Year to Date</w:t>
            </w:r>
          </w:p>
        </w:tc>
        <w:tc>
          <w:tcPr>
            <w:tcW w:w="88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51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6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right w:val="single" w:sz="8" w:color="auto"/>
            </w:tcBorders>
          </w:tcPr>
          <w:p>
            <w:pPr>
              <w:spacing w:after="0"/>
              <w:rPr>
                <w:sz w:val="17"/>
                <w:szCs w:val="17"/>
                <w:color w:val="auto"/>
              </w:rPr>
            </w:pPr>
          </w:p>
        </w:tc>
      </w:tr>
      <w:tr>
        <w:trPr>
          <w:trHeight w:val="196"/>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1,461,267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1,595,519</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100.0 %</w:t>
            </w:r>
          </w:p>
        </w:tc>
      </w:tr>
      <w:tr>
        <w:trPr>
          <w:trHeight w:val="203"/>
        </w:trPr>
        <w:tc>
          <w:tcPr>
            <w:tcW w:w="514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66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1,225,378</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83.9</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1,327,323</w:t>
            </w:r>
          </w:p>
        </w:tc>
        <w:tc>
          <w:tcPr>
            <w:tcW w:w="880" w:type="dxa"/>
            <w:vAlign w:val="bottom"/>
            <w:tcBorders>
              <w:bottom w:val="single" w:sz="8" w:color="CCEEFF"/>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83.2</w:t>
            </w:r>
          </w:p>
        </w:tc>
      </w:tr>
      <w:tr>
        <w:trPr>
          <w:trHeight w:val="196"/>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235,889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16.1</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268,196</w:t>
            </w:r>
          </w:p>
        </w:tc>
        <w:tc>
          <w:tcPr>
            <w:tcW w:w="88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16.8</w:t>
            </w:r>
          </w:p>
        </w:tc>
      </w:tr>
      <w:tr>
        <w:trPr>
          <w:trHeight w:val="203"/>
        </w:trPr>
        <w:tc>
          <w:tcPr>
            <w:tcW w:w="51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03"/>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3"/>
        </w:trPr>
        <w:tc>
          <w:tcPr>
            <w:tcW w:w="51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6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172,883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11.8</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176,254</w:t>
            </w:r>
          </w:p>
        </w:tc>
        <w:tc>
          <w:tcPr>
            <w:tcW w:w="88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11.0</w:t>
            </w:r>
          </w:p>
        </w:tc>
      </w:tr>
      <w:tr>
        <w:trPr>
          <w:trHeight w:val="203"/>
        </w:trPr>
        <w:tc>
          <w:tcPr>
            <w:tcW w:w="514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gain on disposition and impairments of assets</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8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40" w:type="dxa"/>
            <w:vAlign w:val="bottom"/>
            <w:tcBorders>
              <w:left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losses (gains), net</w:t>
            </w:r>
          </w:p>
        </w:tc>
        <w:tc>
          <w:tcPr>
            <w:tcW w:w="66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880" w:type="dxa"/>
            <w:vAlign w:val="bottom"/>
            <w:tcBorders>
              <w:bottom w:val="single" w:sz="8" w:color="CCEEFF"/>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11.8</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175,944</w:t>
            </w:r>
          </w:p>
        </w:tc>
        <w:tc>
          <w:tcPr>
            <w:tcW w:w="88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11.0</w:t>
            </w:r>
          </w:p>
        </w:tc>
      </w:tr>
      <w:tr>
        <w:trPr>
          <w:trHeight w:val="196"/>
        </w:trPr>
        <w:tc>
          <w:tcPr>
            <w:tcW w:w="51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03"/>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from operations</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64,081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4.4</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92,252</w:t>
            </w:r>
          </w:p>
        </w:tc>
        <w:tc>
          <w:tcPr>
            <w:tcW w:w="88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5.8</w:t>
            </w:r>
          </w:p>
        </w:tc>
      </w:tr>
      <w:tr>
        <w:trPr>
          <w:trHeight w:val="203"/>
        </w:trPr>
        <w:tc>
          <w:tcPr>
            <w:tcW w:w="51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03"/>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other</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w:t>
            </w:r>
          </w:p>
        </w:tc>
        <w:tc>
          <w:tcPr>
            <w:tcW w:w="88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r>
      <w:tr>
        <w:trPr>
          <w:trHeight w:val="196"/>
        </w:trPr>
        <w:tc>
          <w:tcPr>
            <w:tcW w:w="51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03"/>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before income taxes</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66,944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4.6</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100,681</w:t>
            </w:r>
          </w:p>
        </w:tc>
        <w:tc>
          <w:tcPr>
            <w:tcW w:w="88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6.3</w:t>
            </w:r>
          </w:p>
        </w:tc>
      </w:tr>
      <w:tr>
        <w:trPr>
          <w:trHeight w:val="203"/>
        </w:trPr>
        <w:tc>
          <w:tcPr>
            <w:tcW w:w="5140" w:type="dxa"/>
            <w:vAlign w:val="bottom"/>
            <w:tcBorders>
              <w:left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66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15,847</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21,258</w:t>
            </w:r>
          </w:p>
        </w:tc>
        <w:tc>
          <w:tcPr>
            <w:tcW w:w="880" w:type="dxa"/>
            <w:vAlign w:val="bottom"/>
            <w:tcBorders>
              <w:bottom w:val="single" w:sz="8" w:color="CCEEFF"/>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1.3</w:t>
            </w:r>
          </w:p>
        </w:tc>
      </w:tr>
      <w:tr>
        <w:trPr>
          <w:trHeight w:val="196"/>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79,423</w:t>
            </w:r>
          </w:p>
        </w:tc>
        <w:tc>
          <w:tcPr>
            <w:tcW w:w="88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51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03"/>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Less net earnings attributable to noncontrolling interest</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88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1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03"/>
        </w:trPr>
        <w:tc>
          <w:tcPr>
            <w:tcW w:w="5140" w:type="dxa"/>
            <w:vAlign w:val="bottom"/>
            <w:tcBorders>
              <w:left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attributable to controlling interest</w:t>
            </w: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50,774</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78,753</w:t>
            </w:r>
          </w:p>
        </w:tc>
        <w:tc>
          <w:tcPr>
            <w:tcW w:w="880" w:type="dxa"/>
            <w:vAlign w:val="bottom"/>
            <w:tcBorders>
              <w:bottom w:val="single" w:sz="8" w:color="CCEEFF"/>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5140" w:type="dxa"/>
            <w:vAlign w:val="bottom"/>
            <w:tcBorders>
              <w:lef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r>
      <w:tr>
        <w:trPr>
          <w:trHeight w:val="183"/>
        </w:trPr>
        <w:tc>
          <w:tcPr>
            <w:tcW w:w="514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r>
      <w:tr>
        <w:trPr>
          <w:trHeight w:val="203"/>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basic</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80" w:type="dxa"/>
            <w:vAlign w:val="bottom"/>
            <w:tcBorders>
              <w:right w:val="single" w:sz="8" w:color="auto"/>
            </w:tcBorders>
            <w:shd w:val="clear" w:color="auto" w:fill="CCEEFF"/>
          </w:tcPr>
          <w:p>
            <w:pPr>
              <w:spacing w:after="0"/>
              <w:rPr>
                <w:sz w:val="17"/>
                <w:szCs w:val="17"/>
                <w:color w:val="auto"/>
              </w:rPr>
            </w:pPr>
          </w:p>
        </w:tc>
      </w:tr>
      <w:tr>
        <w:trPr>
          <w:trHeight w:val="203"/>
        </w:trPr>
        <w:tc>
          <w:tcPr>
            <w:tcW w:w="51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03"/>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diluted</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80" w:type="dxa"/>
            <w:vAlign w:val="bottom"/>
            <w:tcBorders>
              <w:right w:val="single" w:sz="8" w:color="auto"/>
            </w:tcBorders>
            <w:shd w:val="clear" w:color="auto" w:fill="CCEEFF"/>
          </w:tcPr>
          <w:p>
            <w:pPr>
              <w:spacing w:after="0"/>
              <w:rPr>
                <w:sz w:val="17"/>
                <w:szCs w:val="17"/>
                <w:color w:val="auto"/>
              </w:rPr>
            </w:pPr>
          </w:p>
        </w:tc>
      </w:tr>
      <w:tr>
        <w:trPr>
          <w:trHeight w:val="203"/>
        </w:trPr>
        <w:tc>
          <w:tcPr>
            <w:tcW w:w="51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03"/>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82,604</w:t>
            </w:r>
          </w:p>
        </w:tc>
        <w:tc>
          <w:tcPr>
            <w:tcW w:w="880" w:type="dxa"/>
            <w:vAlign w:val="bottom"/>
            <w:tcBorders>
              <w:right w:val="single" w:sz="8" w:color="auto"/>
            </w:tcBorders>
            <w:shd w:val="clear" w:color="auto" w:fill="CCEEFF"/>
          </w:tcPr>
          <w:p>
            <w:pPr>
              <w:spacing w:after="0"/>
              <w:rPr>
                <w:sz w:val="17"/>
                <w:szCs w:val="17"/>
                <w:color w:val="auto"/>
              </w:rPr>
            </w:pPr>
          </w:p>
        </w:tc>
      </w:tr>
      <w:tr>
        <w:trPr>
          <w:trHeight w:val="203"/>
        </w:trPr>
        <w:tc>
          <w:tcPr>
            <w:tcW w:w="51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03"/>
        </w:trPr>
        <w:tc>
          <w:tcPr>
            <w:tcW w:w="51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Less comprehensive income attributable to noncontrolling interest</w:t>
            </w:r>
          </w:p>
        </w:tc>
        <w:tc>
          <w:tcPr>
            <w:tcW w:w="660" w:type="dxa"/>
            <w:vAlign w:val="bottom"/>
            <w:tcBorders>
              <w:right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880" w:type="dxa"/>
            <w:vAlign w:val="bottom"/>
            <w:tcBorders>
              <w:right w:val="single" w:sz="8" w:color="auto"/>
            </w:tcBorders>
            <w:shd w:val="clear" w:color="auto" w:fill="CCEEFF"/>
          </w:tcPr>
          <w:p>
            <w:pPr>
              <w:spacing w:after="0"/>
              <w:rPr>
                <w:sz w:val="17"/>
                <w:szCs w:val="17"/>
                <w:color w:val="auto"/>
              </w:rPr>
            </w:pPr>
          </w:p>
        </w:tc>
      </w:tr>
      <w:tr>
        <w:trPr>
          <w:trHeight w:val="196"/>
        </w:trPr>
        <w:tc>
          <w:tcPr>
            <w:tcW w:w="51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23"/>
        </w:trPr>
        <w:tc>
          <w:tcPr>
            <w:tcW w:w="5140" w:type="dxa"/>
            <w:vAlign w:val="bottom"/>
            <w:tcBorders>
              <w:left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controlling interest</w:t>
            </w:r>
          </w:p>
        </w:tc>
        <w:tc>
          <w:tcPr>
            <w:tcW w:w="660" w:type="dxa"/>
            <w:vAlign w:val="bottom"/>
            <w:tcBorders>
              <w:bottom w:val="single" w:sz="8" w:color="CCEEFF"/>
              <w:right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49,936</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right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81,967</w:t>
            </w: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0"/>
        </w:trPr>
        <w:tc>
          <w:tcPr>
            <w:tcW w:w="51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374" w:right="97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tc>
      </w:tr>
      <w:tr>
        <w:trPr>
          <w:trHeight w:val="369"/>
        </w:trPr>
        <w:tc>
          <w:tcPr>
            <w:tcW w:w="3020" w:type="dxa"/>
            <w:vAlign w:val="bottom"/>
          </w:tcPr>
          <w:p>
            <w:pPr>
              <w:spacing w:after="0"/>
              <w:rPr>
                <w:sz w:val="24"/>
                <w:szCs w:val="24"/>
                <w:color w:val="auto"/>
              </w:rPr>
            </w:pPr>
          </w:p>
        </w:tc>
        <w:tc>
          <w:tcPr>
            <w:tcW w:w="3980" w:type="dxa"/>
            <w:vAlign w:val="bottom"/>
            <w:gridSpan w:val="12"/>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384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EARNINGS BY SEGMENT (UNAUDITED)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7820" w:type="dxa"/>
            <w:vAlign w:val="bottom"/>
            <w:gridSpan w:val="14"/>
          </w:tcPr>
          <w:p>
            <w:pPr>
              <w:jc w:val="center"/>
              <w:ind w:left="2019"/>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2026/2025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94"/>
        </w:trPr>
        <w:tc>
          <w:tcPr>
            <w:tcW w:w="30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11"/>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196"/>
        </w:trPr>
        <w:tc>
          <w:tcPr>
            <w:tcW w:w="3020" w:type="dxa"/>
            <w:vAlign w:val="bottom"/>
            <w:tcBorders>
              <w:left w:val="single" w:sz="8" w:color="auto"/>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11"/>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Quarter Period and Year to Date 2026</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r>
      <w:tr>
        <w:trPr>
          <w:trHeight w:val="196"/>
        </w:trPr>
        <w:tc>
          <w:tcPr>
            <w:tcW w:w="30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Packaging</w:t>
            </w:r>
          </w:p>
        </w:tc>
        <w:tc>
          <w:tcPr>
            <w:tcW w:w="12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3020" w:type="dxa"/>
            <w:vAlign w:val="bottom"/>
            <w:tcBorders>
              <w:top w:val="single" w:sz="8" w:color="auto"/>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760" w:type="dxa"/>
            <w:vAlign w:val="bottom"/>
            <w:tcBorders>
              <w:top w:val="single" w:sz="8" w:color="auto"/>
              <w:right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531,176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394,093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465,513</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68,505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1,461,267</w:t>
            </w:r>
          </w:p>
        </w:tc>
      </w:tr>
      <w:tr>
        <w:trPr>
          <w:trHeight w:val="203"/>
        </w:trPr>
        <w:tc>
          <w:tcPr>
            <w:tcW w:w="302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76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450,614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333,745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387,896</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56,782</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1,225,378</w:t>
            </w:r>
          </w:p>
        </w:tc>
      </w:tr>
      <w:tr>
        <w:trPr>
          <w:trHeight w:val="196"/>
        </w:trPr>
        <w:tc>
          <w:tcPr>
            <w:tcW w:w="30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7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77,617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235,889</w:t>
            </w:r>
          </w:p>
        </w:tc>
      </w:tr>
      <w:tr>
        <w:trPr>
          <w:trHeight w:val="203"/>
        </w:trPr>
        <w:tc>
          <w:tcPr>
            <w:tcW w:w="30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7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172,883</w:t>
            </w:r>
          </w:p>
        </w:tc>
      </w:tr>
      <w:tr>
        <w:trPr>
          <w:trHeight w:val="189"/>
        </w:trPr>
        <w:tc>
          <w:tcPr>
            <w:tcW w:w="3780" w:type="dxa"/>
            <w:vAlign w:val="bottom"/>
            <w:tcBorders>
              <w:left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 (gain) on disposition and impairments of</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r>
      <w:tr>
        <w:trPr>
          <w:trHeight w:val="216"/>
        </w:trPr>
        <w:tc>
          <w:tcPr>
            <w:tcW w:w="302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7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r>
      <w:tr>
        <w:trPr>
          <w:trHeight w:val="203"/>
        </w:trPr>
        <w:tc>
          <w:tcPr>
            <w:tcW w:w="3020" w:type="dxa"/>
            <w:vAlign w:val="bottom"/>
            <w:tcBorders>
              <w:left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losses (gains), net</w:t>
            </w:r>
          </w:p>
        </w:tc>
        <w:tc>
          <w:tcPr>
            <w:tcW w:w="76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r>
      <w:tr>
        <w:trPr>
          <w:trHeight w:val="196"/>
        </w:trPr>
        <w:tc>
          <w:tcPr>
            <w:tcW w:w="30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from operations</w:t>
            </w:r>
          </w:p>
        </w:tc>
        <w:tc>
          <w:tcPr>
            <w:tcW w:w="7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64,081</w:t>
            </w:r>
          </w:p>
        </w:tc>
      </w:tr>
      <w:tr>
        <w:trPr>
          <w:trHeight w:val="203"/>
        </w:trPr>
        <w:tc>
          <w:tcPr>
            <w:tcW w:w="302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other</w:t>
            </w:r>
          </w:p>
        </w:tc>
        <w:tc>
          <w:tcPr>
            <w:tcW w:w="76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(2,863)</w:t>
            </w:r>
          </w:p>
        </w:tc>
      </w:tr>
      <w:tr>
        <w:trPr>
          <w:trHeight w:val="196"/>
        </w:trPr>
        <w:tc>
          <w:tcPr>
            <w:tcW w:w="30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before income taxes</w:t>
            </w:r>
          </w:p>
        </w:tc>
        <w:tc>
          <w:tcPr>
            <w:tcW w:w="7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66,944</w:t>
            </w:r>
          </w:p>
        </w:tc>
      </w:tr>
      <w:tr>
        <w:trPr>
          <w:trHeight w:val="203"/>
        </w:trPr>
        <w:tc>
          <w:tcPr>
            <w:tcW w:w="3020" w:type="dxa"/>
            <w:vAlign w:val="bottom"/>
            <w:tcBorders>
              <w:left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76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15,847</w:t>
            </w:r>
          </w:p>
        </w:tc>
      </w:tr>
      <w:tr>
        <w:trPr>
          <w:trHeight w:val="196"/>
        </w:trPr>
        <w:tc>
          <w:tcPr>
            <w:tcW w:w="3020" w:type="dxa"/>
            <w:vAlign w:val="bottom"/>
            <w:tcBorders>
              <w:left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760" w:type="dxa"/>
            <w:vAlign w:val="bottom"/>
            <w:tcBorders>
              <w:bottom w:val="single" w:sz="8" w:color="auto"/>
              <w:right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18,672</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11,659</w:t>
            </w: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11,723</w:t>
            </w: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51,097</w:t>
            </w:r>
          </w:p>
        </w:tc>
      </w:tr>
      <w:tr>
        <w:trPr>
          <w:trHeight w:val="250"/>
        </w:trPr>
        <w:tc>
          <w:tcPr>
            <w:tcW w:w="30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gridSpan w:val="11"/>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r>
      <w:tr>
        <w:trPr>
          <w:trHeight w:val="196"/>
        </w:trPr>
        <w:tc>
          <w:tcPr>
            <w:tcW w:w="3020" w:type="dxa"/>
            <w:vAlign w:val="bottom"/>
            <w:tcBorders>
              <w:left w:val="single" w:sz="8" w:color="auto"/>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11"/>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Quarter Period and Year to Date 2025</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r>
      <w:tr>
        <w:trPr>
          <w:trHeight w:val="216"/>
        </w:trPr>
        <w:tc>
          <w:tcPr>
            <w:tcW w:w="30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Packaging</w:t>
            </w:r>
          </w:p>
        </w:tc>
        <w:tc>
          <w:tcPr>
            <w:tcW w:w="1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76"/>
        </w:trPr>
        <w:tc>
          <w:tcPr>
            <w:tcW w:w="3020" w:type="dxa"/>
            <w:vAlign w:val="bottom"/>
            <w:tcBorders>
              <w:top w:val="single" w:sz="8" w:color="auto"/>
              <w:lef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760" w:type="dxa"/>
            <w:vAlign w:val="bottom"/>
            <w:tcBorders>
              <w:top w:val="single" w:sz="8" w:color="auto"/>
              <w:right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607,383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410,008</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515,940</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60,298</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1,890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right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1,595,519</w:t>
            </w:r>
          </w:p>
        </w:tc>
      </w:tr>
      <w:tr>
        <w:trPr>
          <w:trHeight w:val="203"/>
        </w:trPr>
        <w:tc>
          <w:tcPr>
            <w:tcW w:w="302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76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526,088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340,434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425,140</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49,666</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1,327,323</w:t>
            </w:r>
          </w:p>
        </w:tc>
      </w:tr>
      <w:tr>
        <w:trPr>
          <w:trHeight w:val="196"/>
        </w:trPr>
        <w:tc>
          <w:tcPr>
            <w:tcW w:w="30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7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268,196</w:t>
            </w:r>
          </w:p>
        </w:tc>
      </w:tr>
      <w:tr>
        <w:trPr>
          <w:trHeight w:val="203"/>
        </w:trPr>
        <w:tc>
          <w:tcPr>
            <w:tcW w:w="30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7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47,769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62,784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176,254</w:t>
            </w:r>
          </w:p>
        </w:tc>
      </w:tr>
      <w:tr>
        <w:trPr>
          <w:trHeight w:val="189"/>
        </w:trPr>
        <w:tc>
          <w:tcPr>
            <w:tcW w:w="3780" w:type="dxa"/>
            <w:vAlign w:val="bottom"/>
            <w:tcBorders>
              <w:left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 (gain) on disposition and impairments of</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r>
      <w:tr>
        <w:trPr>
          <w:trHeight w:val="216"/>
        </w:trPr>
        <w:tc>
          <w:tcPr>
            <w:tcW w:w="302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7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3"/>
        </w:trPr>
        <w:tc>
          <w:tcPr>
            <w:tcW w:w="3020" w:type="dxa"/>
            <w:vAlign w:val="bottom"/>
            <w:tcBorders>
              <w:left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(gains) losses, net</w:t>
            </w:r>
          </w:p>
        </w:tc>
        <w:tc>
          <w:tcPr>
            <w:tcW w:w="76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196"/>
        </w:trPr>
        <w:tc>
          <w:tcPr>
            <w:tcW w:w="30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from operations</w:t>
            </w:r>
          </w:p>
        </w:tc>
        <w:tc>
          <w:tcPr>
            <w:tcW w:w="7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92,252</w:t>
            </w:r>
          </w:p>
        </w:tc>
      </w:tr>
      <w:tr>
        <w:trPr>
          <w:trHeight w:val="203"/>
        </w:trPr>
        <w:tc>
          <w:tcPr>
            <w:tcW w:w="302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other</w:t>
            </w:r>
          </w:p>
        </w:tc>
        <w:tc>
          <w:tcPr>
            <w:tcW w:w="76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(8,429)</w:t>
            </w:r>
          </w:p>
        </w:tc>
      </w:tr>
      <w:tr>
        <w:trPr>
          <w:trHeight w:val="196"/>
        </w:trPr>
        <w:tc>
          <w:tcPr>
            <w:tcW w:w="302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before income taxes</w:t>
            </w:r>
          </w:p>
        </w:tc>
        <w:tc>
          <w:tcPr>
            <w:tcW w:w="7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100,681</w:t>
            </w:r>
          </w:p>
        </w:tc>
      </w:tr>
      <w:tr>
        <w:trPr>
          <w:trHeight w:val="203"/>
        </w:trPr>
        <w:tc>
          <w:tcPr>
            <w:tcW w:w="3020" w:type="dxa"/>
            <w:vAlign w:val="bottom"/>
            <w:tcBorders>
              <w:left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76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21,258</w:t>
            </w:r>
          </w:p>
        </w:tc>
      </w:tr>
      <w:tr>
        <w:trPr>
          <w:trHeight w:val="196"/>
        </w:trPr>
        <w:tc>
          <w:tcPr>
            <w:tcW w:w="3020" w:type="dxa"/>
            <w:vAlign w:val="bottom"/>
            <w:tcBorders>
              <w:left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760" w:type="dxa"/>
            <w:vAlign w:val="bottom"/>
            <w:tcBorders>
              <w:bottom w:val="single" w:sz="8" w:color="auto"/>
              <w:right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20,663</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16,917</w:t>
            </w: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21,944</w:t>
            </w: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17,397</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79,423</w:t>
            </w:r>
          </w:p>
        </w:tc>
      </w:tr>
    </w:tbl>
    <w:p>
      <w:pPr>
        <w:spacing w:after="0" w:line="200" w:lineRule="exact"/>
        <w:rPr>
          <w:sz w:val="20"/>
          <w:szCs w:val="20"/>
          <w:color w:val="auto"/>
        </w:rPr>
      </w:pPr>
    </w:p>
    <w:p>
      <w:pPr>
        <w:spacing w:after="0" w:line="223"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374" w:right="979" w:bottom="1440" w:gutter="0" w:footer="0" w:header="0"/>
        </w:sectPr>
      </w:pPr>
    </w:p>
    <w:bookmarkStart w:id="10" w:name="page11"/>
    <w:bookmarkEnd w:id="10"/>
    <w:p>
      <w:pPr>
        <w:ind w:left="8920"/>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NET EARNINGS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ADJUSTED EBITDA BY SEGMENT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2026/2025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Borders>
              <w:right w:val="single" w:sz="8" w:color="auto"/>
            </w:tcBorders>
          </w:tcPr>
          <w:p>
            <w:pPr>
              <w:spacing w:after="0"/>
              <w:rPr>
                <w:sz w:val="18"/>
                <w:szCs w:val="18"/>
                <w:color w:val="auto"/>
              </w:rPr>
            </w:pPr>
          </w:p>
        </w:tc>
        <w:tc>
          <w:tcPr>
            <w:tcW w:w="3760" w:type="dxa"/>
            <w:vAlign w:val="bottom"/>
            <w:tcBorders>
              <w:top w:val="single" w:sz="8" w:color="auto"/>
              <w:bottom w:val="single" w:sz="8" w:color="auto"/>
              <w:right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960" w:type="dxa"/>
            <w:vAlign w:val="bottom"/>
            <w:tcBorders>
              <w:top w:val="single" w:sz="8" w:color="auto"/>
              <w:bottom w:val="single" w:sz="8" w:color="auto"/>
            </w:tcBorders>
            <w:gridSpan w:val="10"/>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Quarter Period and Year to Date 2026</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right w:val="single" w:sz="8" w:color="auto"/>
            </w:tcBorders>
          </w:tcPr>
          <w:p>
            <w:pPr>
              <w:spacing w:after="0"/>
              <w:rPr>
                <w:sz w:val="18"/>
                <w:szCs w:val="18"/>
                <w:color w:val="auto"/>
              </w:rPr>
            </w:pPr>
          </w:p>
        </w:tc>
      </w:tr>
      <w:tr>
        <w:trPr>
          <w:trHeight w:val="221"/>
        </w:trPr>
        <w:tc>
          <w:tcPr>
            <w:tcW w:w="40" w:type="dxa"/>
            <w:vAlign w:val="bottom"/>
            <w:tcBorders>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Packaging</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76"/>
        </w:trPr>
        <w:tc>
          <w:tcPr>
            <w:tcW w:w="40" w:type="dxa"/>
            <w:vAlign w:val="bottom"/>
            <w:tcBorders>
              <w:right w:val="single" w:sz="8" w:color="auto"/>
            </w:tcBorders>
          </w:tcPr>
          <w:p>
            <w:pPr>
              <w:spacing w:after="0"/>
              <w:rPr>
                <w:sz w:val="15"/>
                <w:szCs w:val="15"/>
                <w:color w:val="auto"/>
              </w:rPr>
            </w:pPr>
          </w:p>
        </w:tc>
        <w:tc>
          <w:tcPr>
            <w:tcW w:w="3760" w:type="dxa"/>
            <w:vAlign w:val="bottom"/>
            <w:tcBorders>
              <w:top w:val="single" w:sz="8" w:color="CCEEFF"/>
              <w:right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earnings</w:t>
            </w:r>
          </w:p>
        </w:tc>
        <w:tc>
          <w:tcPr>
            <w:tcW w:w="140" w:type="dxa"/>
            <w:vAlign w:val="bottom"/>
            <w:tcBorders>
              <w:top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18,672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11,659</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11,723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3,554</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5,489</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9"/>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right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51,097</w:t>
            </w: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Interest and other</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(2,863)</w:t>
            </w: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15,847</w:t>
            </w:r>
          </w:p>
        </w:tc>
      </w:tr>
      <w:tr>
        <w:trPr>
          <w:trHeight w:val="189"/>
        </w:trPr>
        <w:tc>
          <w:tcPr>
            <w:tcW w:w="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Expenses associated with share-based compensation</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arrangements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8,472</w:t>
            </w:r>
          </w:p>
        </w:tc>
      </w:tr>
      <w:tr>
        <w:trPr>
          <w:trHeight w:val="192"/>
        </w:trPr>
        <w:tc>
          <w:tcPr>
            <w:tcW w:w="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loss (gain) on disposition and impairments of</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Depreciation expense</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35,085</w:t>
            </w: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r>
      <w:tr>
        <w:trPr>
          <w:trHeight w:val="236"/>
        </w:trPr>
        <w:tc>
          <w:tcPr>
            <w:tcW w:w="40" w:type="dxa"/>
            <w:vAlign w:val="bottom"/>
            <w:tcBorders>
              <w:right w:val="single" w:sz="8" w:color="auto"/>
            </w:tcBorders>
          </w:tcPr>
          <w:p>
            <w:pPr>
              <w:spacing w:after="0"/>
              <w:rPr>
                <w:sz w:val="20"/>
                <w:szCs w:val="20"/>
                <w:color w:val="auto"/>
              </w:rPr>
            </w:pPr>
          </w:p>
        </w:tc>
        <w:tc>
          <w:tcPr>
            <w:tcW w:w="3760" w:type="dxa"/>
            <w:vAlign w:val="bottom"/>
            <w:tcBorders>
              <w:bottom w:val="single" w:sz="8" w:color="CCEEFF"/>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34,832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27,790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25,687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5,401</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17,646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111,356</w:t>
            </w:r>
          </w:p>
        </w:tc>
      </w:tr>
      <w:tr>
        <w:trPr>
          <w:trHeight w:val="170"/>
        </w:trPr>
        <w:tc>
          <w:tcPr>
            <w:tcW w:w="40" w:type="dxa"/>
            <w:vAlign w:val="bottom"/>
            <w:tcBorders>
              <w:right w:val="single" w:sz="8" w:color="auto"/>
            </w:tcBorders>
          </w:tcPr>
          <w:p>
            <w:pPr>
              <w:spacing w:after="0"/>
              <w:rPr>
                <w:sz w:val="14"/>
                <w:szCs w:val="14"/>
                <w:color w:val="auto"/>
              </w:rPr>
            </w:pPr>
          </w:p>
        </w:tc>
        <w:tc>
          <w:tcPr>
            <w:tcW w:w="37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earnings as a percentage of net sales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Adjusted EBITDA as a percentage of net sales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182"/>
        </w:trPr>
        <w:tc>
          <w:tcPr>
            <w:tcW w:w="4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 Not meaningful</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40" w:type="dxa"/>
            <w:vAlign w:val="bottom"/>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10"/>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10"/>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Quarter Period and Year to Date 2025</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Packaging</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79,423</w:t>
            </w: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Interest and other</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(8,429)</w:t>
            </w: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21,258</w:t>
            </w:r>
          </w:p>
        </w:tc>
      </w:tr>
      <w:tr>
        <w:trPr>
          <w:trHeight w:val="189"/>
        </w:trPr>
        <w:tc>
          <w:tcPr>
            <w:tcW w:w="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Expenses associated with share-based compensation</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r>
      <w:tr>
        <w:trPr>
          <w:trHeight w:val="213"/>
        </w:trPr>
        <w:tc>
          <w:tcPr>
            <w:tcW w:w="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arrangements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11,561</w:t>
            </w:r>
          </w:p>
        </w:tc>
      </w:tr>
      <w:tr>
        <w:trPr>
          <w:trHeight w:val="192"/>
        </w:trPr>
        <w:tc>
          <w:tcPr>
            <w:tcW w:w="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loss (gain) on disposition and impairments of</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Gain from reduction of estimated earnout liability</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Depreciation expense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32,941</w:t>
            </w: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bottom w:val="single" w:sz="8" w:color="CCEEFF"/>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5,817</w:t>
            </w:r>
          </w:p>
        </w:tc>
      </w:tr>
      <w:tr>
        <w:trPr>
          <w:trHeight w:val="196"/>
        </w:trPr>
        <w:tc>
          <w:tcPr>
            <w:tcW w:w="40" w:type="dxa"/>
            <w:vAlign w:val="bottom"/>
            <w:tcBorders>
              <w:right w:val="single" w:sz="8" w:color="auto"/>
            </w:tcBorders>
          </w:tcPr>
          <w:p>
            <w:pPr>
              <w:spacing w:after="0"/>
              <w:rPr>
                <w:sz w:val="17"/>
                <w:szCs w:val="17"/>
                <w:color w:val="auto"/>
              </w:rPr>
            </w:pPr>
          </w:p>
        </w:tc>
        <w:tc>
          <w:tcPr>
            <w:tcW w:w="376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35,849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35,045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37,310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5,033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28,914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142,151</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40" w:type="dxa"/>
            <w:vAlign w:val="bottom"/>
            <w:tcBorders>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earnings as a percentage of net sales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 as a percentage of net sales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182"/>
        </w:trPr>
        <w:tc>
          <w:tcPr>
            <w:tcW w:w="4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 Not meaningful</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200" w:lineRule="exact"/>
        <w:rPr>
          <w:sz w:val="20"/>
          <w:szCs w:val="20"/>
          <w:color w:val="auto"/>
        </w:rPr>
      </w:pPr>
    </w:p>
    <w:p>
      <w:pPr>
        <w:spacing w:after="0" w:line="291"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374" w:right="979" w:bottom="1440" w:gutter="0" w:footer="0" w:header="0"/>
        </w:sectPr>
      </w:pPr>
    </w:p>
    <w:bookmarkStart w:id="11" w:name="page12"/>
    <w:bookmarkEnd w:id="11"/>
    <w:p>
      <w:pPr>
        <w:ind w:left="8920"/>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2026/2025</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8"/>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0" w:type="dxa"/>
            <w:vAlign w:val="bottom"/>
            <w:tcBorders>
              <w:bottom w:val="single" w:sz="8" w:color="auto"/>
            </w:tcBorders>
            <w:gridSpan w:val="2"/>
          </w:tcPr>
          <w:p>
            <w:pPr>
              <w:ind w:left="40"/>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5"/>
                <w:szCs w:val="15"/>
                <w:b w:val="1"/>
                <w:bCs w:val="1"/>
                <w:color w:val="auto"/>
              </w:rPr>
              <w:t>Liabilities and equity</w:t>
            </w:r>
          </w:p>
        </w:tc>
        <w:tc>
          <w:tcPr>
            <w:tcW w:w="42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r>
      <w:tr>
        <w:trPr>
          <w:trHeight w:val="196"/>
        </w:trPr>
        <w:tc>
          <w:tcPr>
            <w:tcW w:w="25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03"/>
        </w:trPr>
        <w:tc>
          <w:tcPr>
            <w:tcW w:w="250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714,453</w:t>
            </w: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903,562</w:t>
            </w:r>
          </w:p>
        </w:tc>
        <w:tc>
          <w:tcPr>
            <w:tcW w:w="180" w:type="dxa"/>
            <w:vAlign w:val="bottom"/>
            <w:tcBorders>
              <w:right w:val="single" w:sz="8" w:color="auto"/>
            </w:tcBorders>
            <w:shd w:val="clear" w:color="auto" w:fill="CCEEFF"/>
          </w:tcPr>
          <w:p>
            <w:pPr>
              <w:spacing w:after="0"/>
              <w:rPr>
                <w:sz w:val="17"/>
                <w:szCs w:val="17"/>
                <w:color w:val="auto"/>
              </w:rPr>
            </w:pPr>
          </w:p>
        </w:tc>
        <w:tc>
          <w:tcPr>
            <w:tcW w:w="2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255,982</w:t>
            </w: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277,690</w:t>
            </w:r>
          </w:p>
        </w:tc>
        <w:tc>
          <w:tcPr>
            <w:tcW w:w="100" w:type="dxa"/>
            <w:vAlign w:val="bottom"/>
            <w:tcBorders>
              <w:right w:val="single" w:sz="8" w:color="auto"/>
            </w:tcBorders>
            <w:shd w:val="clear" w:color="auto" w:fill="CCEEFF"/>
          </w:tcPr>
          <w:p>
            <w:pPr>
              <w:spacing w:after="0"/>
              <w:rPr>
                <w:sz w:val="17"/>
                <w:szCs w:val="17"/>
                <w:color w:val="auto"/>
              </w:rPr>
            </w:pPr>
          </w:p>
        </w:tc>
      </w:tr>
      <w:tr>
        <w:trPr>
          <w:trHeight w:val="203"/>
        </w:trPr>
        <w:tc>
          <w:tcPr>
            <w:tcW w:w="2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13,952</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80" w:type="dxa"/>
            <w:vAlign w:val="bottom"/>
            <w:tcBorders>
              <w:right w:val="single" w:sz="8" w:color="auto"/>
            </w:tcBorders>
          </w:tcPr>
          <w:p>
            <w:pPr>
              <w:spacing w:after="0"/>
              <w:rPr>
                <w:sz w:val="17"/>
                <w:szCs w:val="17"/>
                <w:color w:val="auto"/>
              </w:rPr>
            </w:pPr>
          </w:p>
        </w:tc>
        <w:tc>
          <w:tcPr>
            <w:tcW w:w="2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226,913</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214,751</w:t>
            </w:r>
          </w:p>
        </w:tc>
        <w:tc>
          <w:tcPr>
            <w:tcW w:w="100" w:type="dxa"/>
            <w:vAlign w:val="bottom"/>
            <w:tcBorders>
              <w:right w:val="single" w:sz="8" w:color="auto"/>
            </w:tcBorders>
          </w:tcPr>
          <w:p>
            <w:pPr>
              <w:spacing w:after="0"/>
              <w:rPr>
                <w:sz w:val="17"/>
                <w:szCs w:val="17"/>
                <w:color w:val="auto"/>
              </w:rPr>
            </w:pPr>
          </w:p>
        </w:tc>
      </w:tr>
      <w:tr>
        <w:trPr>
          <w:trHeight w:val="203"/>
        </w:trPr>
        <w:tc>
          <w:tcPr>
            <w:tcW w:w="250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40,104</w:t>
            </w: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30,725</w:t>
            </w:r>
          </w:p>
        </w:tc>
        <w:tc>
          <w:tcPr>
            <w:tcW w:w="180" w:type="dxa"/>
            <w:vAlign w:val="bottom"/>
            <w:tcBorders>
              <w:right w:val="single" w:sz="8" w:color="auto"/>
            </w:tcBorders>
            <w:shd w:val="clear" w:color="auto" w:fill="CCEEFF"/>
          </w:tcPr>
          <w:p>
            <w:pPr>
              <w:spacing w:after="0"/>
              <w:rPr>
                <w:sz w:val="17"/>
                <w:szCs w:val="17"/>
                <w:color w:val="auto"/>
              </w:rPr>
            </w:pPr>
          </w:p>
        </w:tc>
        <w:tc>
          <w:tcPr>
            <w:tcW w:w="2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debt</w:t>
            </w: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w:t>
            </w: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4,085</w:t>
            </w:r>
          </w:p>
        </w:tc>
        <w:tc>
          <w:tcPr>
            <w:tcW w:w="100" w:type="dxa"/>
            <w:vAlign w:val="bottom"/>
            <w:tcBorders>
              <w:right w:val="single" w:sz="8" w:color="auto"/>
            </w:tcBorders>
            <w:shd w:val="clear" w:color="auto" w:fill="CCEEFF"/>
          </w:tcPr>
          <w:p>
            <w:pPr>
              <w:spacing w:after="0"/>
              <w:rPr>
                <w:sz w:val="17"/>
                <w:szCs w:val="17"/>
                <w:color w:val="auto"/>
              </w:rPr>
            </w:pPr>
          </w:p>
        </w:tc>
      </w:tr>
      <w:tr>
        <w:trPr>
          <w:trHeight w:val="193"/>
        </w:trPr>
        <w:tc>
          <w:tcPr>
            <w:tcW w:w="2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647,770</w:t>
            </w:r>
          </w:p>
        </w:tc>
        <w:tc>
          <w:tcPr>
            <w:tcW w:w="1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712,990</w:t>
            </w:r>
          </w:p>
        </w:tc>
        <w:tc>
          <w:tcPr>
            <w:tcW w:w="180" w:type="dxa"/>
            <w:vAlign w:val="bottom"/>
            <w:tcBorders>
              <w:righ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r>
      <w:tr>
        <w:trPr>
          <w:trHeight w:val="205"/>
        </w:trPr>
        <w:tc>
          <w:tcPr>
            <w:tcW w:w="250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767,131</w:t>
            </w: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754,913</w:t>
            </w:r>
          </w:p>
        </w:tc>
        <w:tc>
          <w:tcPr>
            <w:tcW w:w="180" w:type="dxa"/>
            <w:vAlign w:val="bottom"/>
            <w:tcBorders>
              <w:right w:val="single" w:sz="8" w:color="auto"/>
            </w:tcBorders>
            <w:shd w:val="clear" w:color="auto" w:fill="CCEEFF"/>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488,922</w:t>
            </w: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496,526</w:t>
            </w:r>
          </w:p>
        </w:tc>
        <w:tc>
          <w:tcPr>
            <w:tcW w:w="100" w:type="dxa"/>
            <w:vAlign w:val="bottom"/>
            <w:tcBorders>
              <w:right w:val="single" w:sz="8" w:color="auto"/>
            </w:tcBorders>
            <w:shd w:val="clear" w:color="auto" w:fill="CCEEFF"/>
          </w:tcPr>
          <w:p>
            <w:pPr>
              <w:spacing w:after="0"/>
              <w:rPr>
                <w:sz w:val="17"/>
                <w:szCs w:val="17"/>
                <w:color w:val="auto"/>
              </w:rPr>
            </w:pPr>
          </w:p>
        </w:tc>
      </w:tr>
      <w:tr>
        <w:trPr>
          <w:trHeight w:val="203"/>
        </w:trPr>
        <w:tc>
          <w:tcPr>
            <w:tcW w:w="2500" w:type="dxa"/>
            <w:vAlign w:val="bottom"/>
            <w:tcBorders>
              <w:left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86,330</w:t>
            </w:r>
          </w:p>
        </w:tc>
        <w:tc>
          <w:tcPr>
            <w:tcW w:w="1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61,140</w:t>
            </w:r>
          </w:p>
        </w:tc>
        <w:tc>
          <w:tcPr>
            <w:tcW w:w="180" w:type="dxa"/>
            <w:vAlign w:val="bottom"/>
            <w:tcBorders>
              <w:bottom w:val="single" w:sz="8" w:color="CCEEFF"/>
              <w:right w:val="single" w:sz="8" w:color="auto"/>
            </w:tcBorders>
          </w:tcPr>
          <w:p>
            <w:pPr>
              <w:spacing w:after="0"/>
              <w:rPr>
                <w:sz w:val="17"/>
                <w:szCs w:val="17"/>
                <w:color w:val="auto"/>
              </w:rPr>
            </w:pPr>
          </w:p>
        </w:tc>
        <w:tc>
          <w:tcPr>
            <w:tcW w:w="2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r>
      <w:tr>
        <w:trPr>
          <w:trHeight w:val="167"/>
        </w:trPr>
        <w:tc>
          <w:tcPr>
            <w:tcW w:w="2500" w:type="dxa"/>
            <w:vAlign w:val="bottom"/>
            <w:tcBorders>
              <w:left w:val="single" w:sz="8" w:color="auto"/>
            </w:tcBorders>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24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Long-term debt and finance lease</w:t>
            </w:r>
          </w:p>
        </w:tc>
        <w:tc>
          <w:tcPr>
            <w:tcW w:w="24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r>
      <w:tr>
        <w:trPr>
          <w:trHeight w:val="218"/>
        </w:trPr>
        <w:tc>
          <w:tcPr>
            <w:tcW w:w="2500" w:type="dxa"/>
            <w:vAlign w:val="bottom"/>
            <w:tcBorders>
              <w:left w:val="single" w:sz="8" w:color="auto"/>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228,310</w:t>
            </w:r>
          </w:p>
        </w:tc>
        <w:tc>
          <w:tcPr>
            <w:tcW w:w="1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229,936</w:t>
            </w:r>
          </w:p>
        </w:tc>
        <w:tc>
          <w:tcPr>
            <w:tcW w:w="100" w:type="dxa"/>
            <w:vAlign w:val="bottom"/>
            <w:tcBorders>
              <w:right w:val="single" w:sz="8" w:color="auto"/>
            </w:tcBorders>
            <w:shd w:val="clear" w:color="auto" w:fill="CCEEFF"/>
          </w:tcPr>
          <w:p>
            <w:pPr>
              <w:spacing w:after="0"/>
              <w:rPr>
                <w:sz w:val="18"/>
                <w:szCs w:val="18"/>
                <w:color w:val="auto"/>
              </w:rPr>
            </w:pPr>
          </w:p>
        </w:tc>
      </w:tr>
      <w:tr>
        <w:trPr>
          <w:trHeight w:val="203"/>
        </w:trPr>
        <w:tc>
          <w:tcPr>
            <w:tcW w:w="25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2,269,740</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2,464,391</w:t>
            </w:r>
          </w:p>
        </w:tc>
        <w:tc>
          <w:tcPr>
            <w:tcW w:w="180" w:type="dxa"/>
            <w:vAlign w:val="bottom"/>
            <w:tcBorders>
              <w:right w:val="single" w:sz="8" w:color="auto"/>
            </w:tcBorders>
          </w:tcPr>
          <w:p>
            <w:pPr>
              <w:spacing w:after="0"/>
              <w:rPr>
                <w:sz w:val="17"/>
                <w:szCs w:val="17"/>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213,406</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159,488</w:t>
            </w:r>
          </w:p>
        </w:tc>
        <w:tc>
          <w:tcPr>
            <w:tcW w:w="100" w:type="dxa"/>
            <w:vAlign w:val="bottom"/>
            <w:tcBorders>
              <w:right w:val="single" w:sz="8" w:color="auto"/>
            </w:tcBorders>
          </w:tcPr>
          <w:p>
            <w:pPr>
              <w:spacing w:after="0"/>
              <w:rPr>
                <w:sz w:val="17"/>
                <w:szCs w:val="17"/>
                <w:color w:val="auto"/>
              </w:rPr>
            </w:pPr>
          </w:p>
        </w:tc>
      </w:tr>
      <w:tr>
        <w:trPr>
          <w:trHeight w:val="203"/>
        </w:trPr>
        <w:tc>
          <w:tcPr>
            <w:tcW w:w="2500" w:type="dxa"/>
            <w:vAlign w:val="bottom"/>
            <w:tcBorders>
              <w:lef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r>
      <w:tr>
        <w:trPr>
          <w:trHeight w:val="203"/>
        </w:trPr>
        <w:tc>
          <w:tcPr>
            <w:tcW w:w="25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277,732</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266,949</w:t>
            </w:r>
          </w:p>
        </w:tc>
        <w:tc>
          <w:tcPr>
            <w:tcW w:w="180" w:type="dxa"/>
            <w:vAlign w:val="bottom"/>
            <w:tcBorders>
              <w:right w:val="single" w:sz="8" w:color="auto"/>
            </w:tcBorders>
          </w:tcPr>
          <w:p>
            <w:pPr>
              <w:spacing w:after="0"/>
              <w:rPr>
                <w:sz w:val="17"/>
                <w:szCs w:val="17"/>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Temporary equity</w:t>
            </w:r>
          </w:p>
        </w:tc>
        <w:tc>
          <w:tcPr>
            <w:tcW w:w="2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100" w:type="dxa"/>
            <w:vAlign w:val="bottom"/>
            <w:tcBorders>
              <w:right w:val="single" w:sz="8" w:color="auto"/>
            </w:tcBorders>
          </w:tcPr>
          <w:p>
            <w:pPr>
              <w:spacing w:after="0"/>
              <w:rPr>
                <w:sz w:val="17"/>
                <w:szCs w:val="17"/>
                <w:color w:val="auto"/>
              </w:rPr>
            </w:pPr>
          </w:p>
        </w:tc>
      </w:tr>
      <w:tr>
        <w:trPr>
          <w:trHeight w:val="203"/>
        </w:trPr>
        <w:tc>
          <w:tcPr>
            <w:tcW w:w="250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478,775</w:t>
            </w: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495,921</w:t>
            </w:r>
          </w:p>
        </w:tc>
        <w:tc>
          <w:tcPr>
            <w:tcW w:w="180" w:type="dxa"/>
            <w:vAlign w:val="bottom"/>
            <w:tcBorders>
              <w:right w:val="single" w:sz="8" w:color="auto"/>
            </w:tcBorders>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r>
      <w:tr>
        <w:trPr>
          <w:trHeight w:val="203"/>
        </w:trPr>
        <w:tc>
          <w:tcPr>
            <w:tcW w:w="250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18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1,005,567</w:t>
            </w:r>
          </w:p>
        </w:tc>
        <w:tc>
          <w:tcPr>
            <w:tcW w:w="1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923,025</w:t>
            </w:r>
          </w:p>
        </w:tc>
        <w:tc>
          <w:tcPr>
            <w:tcW w:w="180" w:type="dxa"/>
            <w:vAlign w:val="bottom"/>
            <w:tcBorders>
              <w:bottom w:val="single" w:sz="8" w:color="CCEEFF"/>
              <w:right w:val="single" w:sz="8" w:color="auto"/>
            </w:tcBorders>
          </w:tcPr>
          <w:p>
            <w:pPr>
              <w:spacing w:after="0"/>
              <w:rPr>
                <w:sz w:val="17"/>
                <w:szCs w:val="17"/>
                <w:color w:val="auto"/>
              </w:rPr>
            </w:pPr>
          </w:p>
        </w:tc>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3,100,691</w:t>
            </w:r>
          </w:p>
        </w:tc>
        <w:tc>
          <w:tcPr>
            <w:tcW w:w="1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3,259,056</w:t>
            </w:r>
          </w:p>
        </w:tc>
        <w:tc>
          <w:tcPr>
            <w:tcW w:w="100" w:type="dxa"/>
            <w:vAlign w:val="bottom"/>
            <w:tcBorders>
              <w:bottom w:val="single" w:sz="8" w:color="auto"/>
              <w:right w:val="single" w:sz="8" w:color="auto"/>
            </w:tcBorders>
          </w:tcPr>
          <w:p>
            <w:pPr>
              <w:spacing w:after="0"/>
              <w:rPr>
                <w:sz w:val="17"/>
                <w:szCs w:val="17"/>
                <w:color w:val="auto"/>
              </w:rPr>
            </w:pPr>
          </w:p>
        </w:tc>
      </w:tr>
      <w:tr>
        <w:trPr>
          <w:trHeight w:val="209"/>
        </w:trPr>
        <w:tc>
          <w:tcPr>
            <w:tcW w:w="2500" w:type="dxa"/>
            <w:vAlign w:val="bottom"/>
            <w:tcBorders>
              <w:left w:val="single" w:sz="8" w:color="auto"/>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r>
      <w:tr>
        <w:trPr>
          <w:trHeight w:val="243"/>
        </w:trPr>
        <w:tc>
          <w:tcPr>
            <w:tcW w:w="25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4,031,814</w:t>
            </w:r>
          </w:p>
        </w:tc>
        <w:tc>
          <w:tcPr>
            <w:tcW w:w="18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4,150,286</w:t>
            </w:r>
          </w:p>
        </w:tc>
        <w:tc>
          <w:tcPr>
            <w:tcW w:w="180" w:type="dxa"/>
            <w:vAlign w:val="bottom"/>
            <w:tcBorders>
              <w:bottom w:val="single" w:sz="8" w:color="auto"/>
              <w:right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4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4,031,814</w:t>
            </w:r>
          </w:p>
        </w:tc>
        <w:tc>
          <w:tcPr>
            <w:tcW w:w="18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4,150,286</w:t>
            </w:r>
          </w:p>
        </w:tc>
        <w:tc>
          <w:tcPr>
            <w:tcW w:w="1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374" w:right="97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tc>
        <w:tc>
          <w:tcPr>
            <w:tcW w:w="0" w:type="dxa"/>
            <w:vAlign w:val="bottom"/>
          </w:tcPr>
          <w:p>
            <w:pPr>
              <w:spacing w:after="0"/>
              <w:rPr>
                <w:sz w:val="1"/>
                <w:szCs w:val="1"/>
                <w:color w:val="auto"/>
              </w:rPr>
            </w:pPr>
          </w:p>
        </w:tc>
      </w:tr>
      <w:tr>
        <w:trPr>
          <w:trHeight w:val="369"/>
        </w:trPr>
        <w:tc>
          <w:tcPr>
            <w:tcW w:w="8420" w:type="dxa"/>
            <w:vAlign w:val="bottom"/>
            <w:gridSpan w:val="4"/>
          </w:tcPr>
          <w:p>
            <w:pPr>
              <w:jc w:val="center"/>
              <w:ind w:left="1439"/>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tcPr>
          <w:p>
            <w:pPr>
              <w:jc w:val="center"/>
              <w:ind w:left="3059"/>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80" w:type="dxa"/>
            <w:vAlign w:val="bottom"/>
          </w:tcPr>
          <w:p>
            <w:pPr>
              <w:jc w:val="center"/>
              <w:ind w:left="3059"/>
              <w:spacing w:after="0"/>
              <w:rPr>
                <w:sz w:val="20"/>
                <w:szCs w:val="20"/>
                <w:color w:val="auto"/>
              </w:rPr>
            </w:pPr>
            <w:r>
              <w:rPr>
                <w:rFonts w:ascii="Times New Roman" w:cs="Times New Roman" w:eastAsia="Times New Roman" w:hAnsi="Times New Roman"/>
                <w:sz w:val="18"/>
                <w:szCs w:val="18"/>
                <w:b w:val="1"/>
                <w:bCs w:val="1"/>
                <w:color w:val="auto"/>
              </w:rPr>
              <w:t>MARCH 2026/2025</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operating activities: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earnings</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51,097</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79,423</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earnings to net cash from operating activities: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35,085</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32,941</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5,817</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Expense associated with share-based and grant compensation arrangements</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11,561</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 (gain) loss on investment and other</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Impairment of investments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 loss of investee</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Net gain on sale, disposition and impairment of assets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from reduction of estimated earnout liability</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Changes in:</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(172,087)</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(211,709)</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(45,312)</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(33,830)</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45,358</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52,902</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46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(31,154)</w:t>
            </w:r>
          </w:p>
        </w:tc>
        <w:tc>
          <w:tcPr>
            <w:tcW w:w="1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(46,166)</w:t>
            </w:r>
          </w:p>
        </w:tc>
        <w:tc>
          <w:tcPr>
            <w:tcW w:w="0" w:type="dxa"/>
            <w:vAlign w:val="bottom"/>
          </w:tcPr>
          <w:p>
            <w:pPr>
              <w:spacing w:after="0"/>
              <w:rPr>
                <w:sz w:val="1"/>
                <w:szCs w:val="1"/>
                <w:color w:val="auto"/>
              </w:rPr>
            </w:pPr>
          </w:p>
        </w:tc>
      </w:tr>
      <w:tr>
        <w:trPr>
          <w:trHeight w:val="196"/>
        </w:trPr>
        <w:tc>
          <w:tcPr>
            <w:tcW w:w="6780" w:type="dxa"/>
            <w:vAlign w:val="bottom"/>
            <w:tcBorders>
              <w:lef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(103,619)</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(108,807)</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(48,265)</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(67,268)</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Acquisitions and purchases of non-controlling interest, net of cash received</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(3,735)</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(7,836)</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(7,191)</w:t>
            </w:r>
          </w:p>
        </w:tc>
        <w:tc>
          <w:tcPr>
            <w:tcW w:w="0" w:type="dxa"/>
            <w:vAlign w:val="bottom"/>
          </w:tcPr>
          <w:p>
            <w:pPr>
              <w:spacing w:after="0"/>
              <w:rPr>
                <w:sz w:val="1"/>
                <w:szCs w:val="1"/>
                <w:color w:val="auto"/>
              </w:rPr>
            </w:pPr>
          </w:p>
        </w:tc>
      </w:tr>
      <w:tr>
        <w:trPr>
          <w:trHeight w:val="202"/>
        </w:trPr>
        <w:tc>
          <w:tcPr>
            <w:tcW w:w="6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2,304</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60" w:type="dxa"/>
            <w:vAlign w:val="bottom"/>
            <w:tcBorders>
              <w:bottom w:val="single" w:sz="8" w:color="auto"/>
              <w:right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196"/>
        </w:trPr>
        <w:tc>
          <w:tcPr>
            <w:tcW w:w="6780" w:type="dxa"/>
            <w:vAlign w:val="bottom"/>
            <w:tcBorders>
              <w:left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(47,828)</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(75,550)</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financing activities: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Borrowings under revolving credit facilities</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10,968</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4,798</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Repayments under revolving credit facilities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(6,175)</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(4,752)</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Contingent consideration payments and other</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(20,456)</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(21,322)</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remaining noncontrolling interest of subsidiary</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Payments to taxing authorities in connection with shares directly withheld from employees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(9,547)</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(23,993)</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(60,553)</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96"/>
        </w:trPr>
        <w:tc>
          <w:tcPr>
            <w:tcW w:w="6780" w:type="dxa"/>
            <w:vAlign w:val="bottom"/>
            <w:tcBorders>
              <w:lef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(45,360)</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(90,926)</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60" w:type="dxa"/>
            <w:vAlign w:val="bottom"/>
            <w:tcBorders>
              <w:bottom w:val="single" w:sz="8" w:color="auto"/>
              <w:right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196"/>
        </w:trPr>
        <w:tc>
          <w:tcPr>
            <w:tcW w:w="67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(196,666)</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(274,971)</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 cash and cash equivalents, beginning of period</w:t>
            </w:r>
          </w:p>
        </w:tc>
        <w:tc>
          <w:tcPr>
            <w:tcW w:w="46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925,071</w:t>
            </w:r>
          </w:p>
        </w:tc>
        <w:tc>
          <w:tcPr>
            <w:tcW w:w="1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1,179,594</w:t>
            </w:r>
          </w:p>
        </w:tc>
        <w:tc>
          <w:tcPr>
            <w:tcW w:w="0" w:type="dxa"/>
            <w:vAlign w:val="bottom"/>
          </w:tcPr>
          <w:p>
            <w:pPr>
              <w:spacing w:after="0"/>
              <w:rPr>
                <w:sz w:val="1"/>
                <w:szCs w:val="1"/>
                <w:color w:val="auto"/>
              </w:rPr>
            </w:pPr>
          </w:p>
        </w:tc>
      </w:tr>
      <w:tr>
        <w:trPr>
          <w:trHeight w:val="196"/>
        </w:trPr>
        <w:tc>
          <w:tcPr>
            <w:tcW w:w="6780" w:type="dxa"/>
            <w:vAlign w:val="bottom"/>
            <w:tcBorders>
              <w:left w:val="single" w:sz="8" w:color="auto"/>
            </w:tcBorders>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8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 cash and cash equivalents, end of period</w:t>
            </w:r>
          </w:p>
        </w:tc>
        <w:tc>
          <w:tcPr>
            <w:tcW w:w="460" w:type="dxa"/>
            <w:vAlign w:val="bottom"/>
            <w:tcBorders>
              <w:bottom w:val="single" w:sz="8" w:color="CCEEFF"/>
              <w:right w:val="single" w:sz="8" w:color="auto"/>
            </w:tcBorders>
          </w:tcPr>
          <w:p>
            <w:pPr>
              <w:spacing w:after="0"/>
              <w:rPr>
                <w:sz w:val="21"/>
                <w:szCs w:val="21"/>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728,405</w:t>
            </w:r>
          </w:p>
        </w:tc>
        <w:tc>
          <w:tcPr>
            <w:tcW w:w="16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904,623</w:t>
            </w:r>
          </w:p>
        </w:tc>
        <w:tc>
          <w:tcPr>
            <w:tcW w:w="0" w:type="dxa"/>
            <w:vAlign w:val="bottom"/>
          </w:tcPr>
          <w:p>
            <w:pPr>
              <w:spacing w:after="0"/>
              <w:rPr>
                <w:sz w:val="1"/>
                <w:szCs w:val="1"/>
                <w:color w:val="auto"/>
              </w:rPr>
            </w:pPr>
          </w:p>
        </w:tc>
      </w:tr>
      <w:tr>
        <w:trPr>
          <w:trHeight w:val="183"/>
        </w:trPr>
        <w:tc>
          <w:tcPr>
            <w:tcW w:w="6780" w:type="dxa"/>
            <w:vAlign w:val="bottom"/>
            <w:tcBorders>
              <w:left w:val="single" w:sz="8" w:color="auto"/>
            </w:tcBorders>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914,199</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1,171,828</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beginning of period</w:t>
            </w:r>
          </w:p>
        </w:tc>
        <w:tc>
          <w:tcPr>
            <w:tcW w:w="46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10,872</w:t>
            </w:r>
          </w:p>
        </w:tc>
        <w:tc>
          <w:tcPr>
            <w:tcW w:w="1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7,766</w:t>
            </w:r>
          </w:p>
        </w:tc>
        <w:tc>
          <w:tcPr>
            <w:tcW w:w="0" w:type="dxa"/>
            <w:vAlign w:val="bottom"/>
          </w:tcPr>
          <w:p>
            <w:pPr>
              <w:spacing w:after="0"/>
              <w:rPr>
                <w:sz w:val="1"/>
                <w:szCs w:val="1"/>
                <w:color w:val="auto"/>
              </w:rPr>
            </w:pPr>
          </w:p>
        </w:tc>
      </w:tr>
      <w:tr>
        <w:trPr>
          <w:trHeight w:val="196"/>
        </w:trPr>
        <w:tc>
          <w:tcPr>
            <w:tcW w:w="67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cash and cash equivalents, beginning of period</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925,071</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1,179,594</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714,453</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903,562</w:t>
            </w:r>
          </w:p>
        </w:tc>
        <w:tc>
          <w:tcPr>
            <w:tcW w:w="0" w:type="dxa"/>
            <w:vAlign w:val="bottom"/>
          </w:tcPr>
          <w:p>
            <w:pPr>
              <w:spacing w:after="0"/>
              <w:rPr>
                <w:sz w:val="1"/>
                <w:szCs w:val="1"/>
                <w:color w:val="auto"/>
              </w:rPr>
            </w:pPr>
          </w:p>
        </w:tc>
      </w:tr>
      <w:tr>
        <w:trPr>
          <w:trHeight w:val="203"/>
        </w:trPr>
        <w:tc>
          <w:tcPr>
            <w:tcW w:w="6780" w:type="dxa"/>
            <w:vAlign w:val="bottom"/>
            <w:tcBorders>
              <w:left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end of period</w:t>
            </w:r>
          </w:p>
        </w:tc>
        <w:tc>
          <w:tcPr>
            <w:tcW w:w="46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13,952</w:t>
            </w:r>
          </w:p>
        </w:tc>
        <w:tc>
          <w:tcPr>
            <w:tcW w:w="1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1,061</w:t>
            </w:r>
          </w:p>
        </w:tc>
        <w:tc>
          <w:tcPr>
            <w:tcW w:w="0" w:type="dxa"/>
            <w:vAlign w:val="bottom"/>
          </w:tcPr>
          <w:p>
            <w:pPr>
              <w:spacing w:after="0"/>
              <w:rPr>
                <w:sz w:val="1"/>
                <w:szCs w:val="1"/>
                <w:color w:val="auto"/>
              </w:rPr>
            </w:pPr>
          </w:p>
        </w:tc>
      </w:tr>
      <w:tr>
        <w:trPr>
          <w:trHeight w:val="216"/>
        </w:trPr>
        <w:tc>
          <w:tcPr>
            <w:tcW w:w="6780" w:type="dxa"/>
            <w:vAlign w:val="bottom"/>
            <w:tcBorders>
              <w:left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cash and cash equivalents, end of period</w:t>
            </w:r>
          </w:p>
        </w:tc>
        <w:tc>
          <w:tcPr>
            <w:tcW w:w="460" w:type="dxa"/>
            <w:vAlign w:val="bottom"/>
            <w:tcBorders>
              <w:bottom w:val="single" w:sz="8" w:color="CCEEFF"/>
              <w:right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728,405</w:t>
            </w: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904,623</w:t>
            </w:r>
          </w:p>
        </w:tc>
        <w:tc>
          <w:tcPr>
            <w:tcW w:w="0" w:type="dxa"/>
            <w:vAlign w:val="bottom"/>
          </w:tcPr>
          <w:p>
            <w:pPr>
              <w:spacing w:after="0"/>
              <w:rPr>
                <w:sz w:val="1"/>
                <w:szCs w:val="1"/>
                <w:color w:val="auto"/>
              </w:rPr>
            </w:pPr>
          </w:p>
        </w:tc>
      </w:tr>
      <w:tr>
        <w:trPr>
          <w:trHeight w:val="20"/>
        </w:trPr>
        <w:tc>
          <w:tcPr>
            <w:tcW w:w="67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40"/>
          </w:cols>
          <w:pgMar w:left="980" w:top="374" w:right="979" w:bottom="1440" w:gutter="0" w:footer="0" w:header="0"/>
        </w:sectPr>
      </w:pPr>
    </w:p>
    <w:p>
      <w:pPr>
        <w:spacing w:after="0" w:line="318"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374" w:right="979" w:bottom="1440" w:gutter="0" w:footer="0" w:header="0"/>
          <w:type w:val="continuous"/>
        </w:sectPr>
      </w:pPr>
    </w:p>
    <w:bookmarkStart w:id="13" w:name="page14"/>
    <w:bookmarkEnd w:id="13"/>
    <w:tbl>
      <w:tblPr>
        <w:tblLayout w:type="fixed"/>
        <w:tblInd w:w="1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tc>
        <w:tc>
          <w:tcPr>
            <w:tcW w:w="0" w:type="dxa"/>
            <w:vAlign w:val="bottom"/>
          </w:tcPr>
          <w:p>
            <w:pPr>
              <w:spacing w:after="0"/>
              <w:rPr>
                <w:sz w:val="1"/>
                <w:szCs w:val="1"/>
                <w:color w:val="auto"/>
              </w:rPr>
            </w:pPr>
          </w:p>
        </w:tc>
      </w:tr>
      <w:tr>
        <w:trPr>
          <w:trHeight w:val="369"/>
        </w:trPr>
        <w:tc>
          <w:tcPr>
            <w:tcW w:w="7520" w:type="dxa"/>
            <w:vAlign w:val="bottom"/>
            <w:gridSpan w:val="3"/>
          </w:tcPr>
          <w:p>
            <w:pPr>
              <w:jc w:val="center"/>
              <w:ind w:left="2341"/>
              <w:spacing w:after="0"/>
              <w:rPr>
                <w:sz w:val="20"/>
                <w:szCs w:val="20"/>
                <w:color w:val="auto"/>
              </w:rPr>
            </w:pPr>
            <w:r>
              <w:rPr>
                <w:rFonts w:ascii="Times New Roman" w:cs="Times New Roman" w:eastAsia="Times New Roman" w:hAnsi="Times New Roman"/>
                <w:sz w:val="18"/>
                <w:szCs w:val="18"/>
                <w:b w:val="1"/>
                <w:bCs w:val="1"/>
                <w:color w:val="auto"/>
                <w:w w:val="99"/>
              </w:rPr>
              <w:t>RECONCILIATION OF NET CASH FROM OPERATING</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tcPr>
          <w:p>
            <w:pPr>
              <w:jc w:val="center"/>
              <w:ind w:left="2741"/>
              <w:spacing w:after="0"/>
              <w:rPr>
                <w:sz w:val="20"/>
                <w:szCs w:val="20"/>
                <w:color w:val="auto"/>
              </w:rPr>
            </w:pPr>
            <w:r>
              <w:rPr>
                <w:rFonts w:ascii="Times New Roman" w:cs="Times New Roman" w:eastAsia="Times New Roman" w:hAnsi="Times New Roman"/>
                <w:sz w:val="18"/>
                <w:szCs w:val="18"/>
                <w:b w:val="1"/>
                <w:bCs w:val="1"/>
                <w:color w:val="auto"/>
                <w:w w:val="99"/>
              </w:rPr>
              <w:t>ACTIVITIES TO FREE CASH FLOW (UNAUDITED)</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20" w:type="dxa"/>
            <w:vAlign w:val="bottom"/>
            <w:gridSpan w:val="3"/>
          </w:tcPr>
          <w:p>
            <w:pPr>
              <w:jc w:val="center"/>
              <w:ind w:left="232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2026/2025</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6"/>
        </w:trPr>
        <w:tc>
          <w:tcPr>
            <w:tcW w:w="710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4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(103,619)</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(108,807)</w:t>
            </w:r>
          </w:p>
        </w:tc>
        <w:tc>
          <w:tcPr>
            <w:tcW w:w="0" w:type="dxa"/>
            <w:vAlign w:val="bottom"/>
          </w:tcPr>
          <w:p>
            <w:pPr>
              <w:spacing w:after="0"/>
              <w:rPr>
                <w:sz w:val="1"/>
                <w:szCs w:val="1"/>
                <w:color w:val="auto"/>
              </w:rPr>
            </w:pPr>
          </w:p>
        </w:tc>
      </w:tr>
      <w:tr>
        <w:trPr>
          <w:trHeight w:val="203"/>
        </w:trPr>
        <w:tc>
          <w:tcPr>
            <w:tcW w:w="7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Increase in investment in net working capital</w:t>
            </w: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203,195</w:t>
            </w: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238,803</w:t>
            </w:r>
          </w:p>
        </w:tc>
        <w:tc>
          <w:tcPr>
            <w:tcW w:w="0" w:type="dxa"/>
            <w:vAlign w:val="bottom"/>
          </w:tcPr>
          <w:p>
            <w:pPr>
              <w:spacing w:after="0"/>
              <w:rPr>
                <w:sz w:val="1"/>
                <w:szCs w:val="1"/>
                <w:color w:val="auto"/>
              </w:rPr>
            </w:pPr>
          </w:p>
        </w:tc>
      </w:tr>
      <w:tr>
        <w:trPr>
          <w:trHeight w:val="203"/>
        </w:trPr>
        <w:tc>
          <w:tcPr>
            <w:tcW w:w="7100" w:type="dxa"/>
            <w:vAlign w:val="bottom"/>
            <w:tcBorders>
              <w:left w:val="single" w:sz="8" w:color="auto"/>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Maintenance capital expenditures</w:t>
            </w:r>
            <w:r>
              <w:rPr>
                <w:rFonts w:ascii="Times New Roman" w:cs="Times New Roman" w:eastAsia="Times New Roman" w:hAnsi="Times New Roman"/>
                <w:sz w:val="23"/>
                <w:szCs w:val="23"/>
                <w:color w:val="auto"/>
                <w:vertAlign w:val="superscript"/>
              </w:rPr>
              <w:t>(1)</w:t>
            </w:r>
          </w:p>
        </w:tc>
        <w:tc>
          <w:tcPr>
            <w:tcW w:w="14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(18,980)</w:t>
            </w:r>
          </w:p>
        </w:tc>
        <w:tc>
          <w:tcPr>
            <w:tcW w:w="0" w:type="dxa"/>
            <w:vAlign w:val="bottom"/>
          </w:tcPr>
          <w:p>
            <w:pPr>
              <w:spacing w:after="0"/>
              <w:rPr>
                <w:sz w:val="1"/>
                <w:szCs w:val="1"/>
                <w:color w:val="auto"/>
              </w:rPr>
            </w:pPr>
          </w:p>
        </w:tc>
      </w:tr>
      <w:tr>
        <w:trPr>
          <w:trHeight w:val="203"/>
        </w:trPr>
        <w:tc>
          <w:tcPr>
            <w:tcW w:w="7100" w:type="dxa"/>
            <w:vAlign w:val="bottom"/>
            <w:tcBorders>
              <w:left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Interest expense, net of taxes</w:t>
            </w:r>
          </w:p>
        </w:tc>
        <w:tc>
          <w:tcPr>
            <w:tcW w:w="140" w:type="dxa"/>
            <w:vAlign w:val="bottom"/>
            <w:tcBorders>
              <w:bottom w:val="single" w:sz="8" w:color="CCEEFF"/>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2,002</w:t>
            </w:r>
          </w:p>
        </w:tc>
        <w:tc>
          <w:tcPr>
            <w:tcW w:w="1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2,106</w:t>
            </w:r>
          </w:p>
        </w:tc>
        <w:tc>
          <w:tcPr>
            <w:tcW w:w="0" w:type="dxa"/>
            <w:vAlign w:val="bottom"/>
          </w:tcPr>
          <w:p>
            <w:pPr>
              <w:spacing w:after="0"/>
              <w:rPr>
                <w:sz w:val="1"/>
                <w:szCs w:val="1"/>
                <w:color w:val="auto"/>
              </w:rPr>
            </w:pPr>
          </w:p>
        </w:tc>
      </w:tr>
      <w:tr>
        <w:trPr>
          <w:trHeight w:val="196"/>
        </w:trPr>
        <w:tc>
          <w:tcPr>
            <w:tcW w:w="7100" w:type="dxa"/>
            <w:vAlign w:val="bottom"/>
            <w:tcBorders>
              <w:left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86,578</w:t>
            </w:r>
          </w:p>
        </w:tc>
        <w:tc>
          <w:tcPr>
            <w:tcW w:w="160" w:type="dxa"/>
            <w:vAlign w:val="bottom"/>
            <w:tcBorders>
              <w:bottom w:val="single" w:sz="8" w:color="auto"/>
              <w:right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right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113,122</w:t>
            </w:r>
          </w:p>
        </w:tc>
        <w:tc>
          <w:tcPr>
            <w:tcW w:w="0" w:type="dxa"/>
            <w:vAlign w:val="bottom"/>
          </w:tcPr>
          <w:p>
            <w:pPr>
              <w:spacing w:after="0"/>
              <w:rPr>
                <w:sz w:val="1"/>
                <w:szCs w:val="1"/>
                <w:color w:val="auto"/>
              </w:rPr>
            </w:pPr>
          </w:p>
        </w:tc>
      </w:tr>
      <w:tr>
        <w:trPr>
          <w:trHeight w:val="20"/>
        </w:trPr>
        <w:tc>
          <w:tcPr>
            <w:tcW w:w="710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 Breakdown of Capital expenditures from the condensed consolidated statements of cash flows:</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10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100" w:type="dxa"/>
            <w:vAlign w:val="bottom"/>
            <w:tcBorders>
              <w:left w:val="single" w:sz="8" w:color="auto"/>
            </w:tcBorders>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Maintenance capital expenditures</w:t>
            </w:r>
          </w:p>
        </w:tc>
        <w:tc>
          <w:tcPr>
            <w:tcW w:w="14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6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auto"/>
            </w:tcBorders>
            <w:shd w:val="clear" w:color="auto" w:fill="CCEEFF"/>
          </w:tcPr>
          <w:p>
            <w:pPr>
              <w:jc w:val="right"/>
              <w:ind w:right="181"/>
              <w:spacing w:after="0" w:line="149" w:lineRule="exact"/>
              <w:rPr>
                <w:sz w:val="20"/>
                <w:szCs w:val="20"/>
                <w:color w:val="auto"/>
              </w:rPr>
            </w:pPr>
            <w:r>
              <w:rPr>
                <w:rFonts w:ascii="Times New Roman" w:cs="Times New Roman" w:eastAsia="Times New Roman" w:hAnsi="Times New Roman"/>
                <w:sz w:val="14"/>
                <w:szCs w:val="14"/>
                <w:color w:val="auto"/>
              </w:rPr>
              <w:t>18,980</w:t>
            </w:r>
          </w:p>
        </w:tc>
        <w:tc>
          <w:tcPr>
            <w:tcW w:w="0" w:type="dxa"/>
            <w:vAlign w:val="bottom"/>
          </w:tcPr>
          <w:p>
            <w:pPr>
              <w:spacing w:after="0"/>
              <w:rPr>
                <w:sz w:val="1"/>
                <w:szCs w:val="1"/>
                <w:color w:val="auto"/>
              </w:rPr>
            </w:pPr>
          </w:p>
        </w:tc>
      </w:tr>
      <w:tr>
        <w:trPr>
          <w:trHeight w:val="148"/>
        </w:trPr>
        <w:tc>
          <w:tcPr>
            <w:tcW w:w="7100" w:type="dxa"/>
            <w:vAlign w:val="bottom"/>
            <w:tcBorders>
              <w:left w:val="single" w:sz="8" w:color="auto"/>
              <w:bottom w:val="single" w:sz="8" w:color="CCEEFF"/>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Expansionary and efficiency capital expenditures</w:t>
            </w:r>
          </w:p>
        </w:tc>
        <w:tc>
          <w:tcPr>
            <w:tcW w:w="140" w:type="dxa"/>
            <w:vAlign w:val="bottom"/>
            <w:tcBorders>
              <w:bottom w:val="single" w:sz="8" w:color="CCEEFF"/>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
              <w:spacing w:after="0" w:line="149" w:lineRule="exact"/>
              <w:rPr>
                <w:sz w:val="20"/>
                <w:szCs w:val="20"/>
                <w:color w:val="auto"/>
              </w:rPr>
            </w:pPr>
            <w:r>
              <w:rPr>
                <w:rFonts w:ascii="Times New Roman" w:cs="Times New Roman" w:eastAsia="Times New Roman" w:hAnsi="Times New Roman"/>
                <w:sz w:val="14"/>
                <w:szCs w:val="14"/>
                <w:color w:val="auto"/>
              </w:rPr>
              <w:t>33,265</w:t>
            </w:r>
          </w:p>
        </w:tc>
        <w:tc>
          <w:tcPr>
            <w:tcW w:w="16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right"/>
              <w:ind w:right="181"/>
              <w:spacing w:after="0" w:line="149" w:lineRule="exact"/>
              <w:rPr>
                <w:sz w:val="20"/>
                <w:szCs w:val="20"/>
                <w:color w:val="auto"/>
              </w:rPr>
            </w:pPr>
            <w:r>
              <w:rPr>
                <w:rFonts w:ascii="Times New Roman" w:cs="Times New Roman" w:eastAsia="Times New Roman" w:hAnsi="Times New Roman"/>
                <w:sz w:val="14"/>
                <w:szCs w:val="14"/>
                <w:color w:val="auto"/>
              </w:rPr>
              <w:t>48,288</w:t>
            </w:r>
          </w:p>
        </w:tc>
        <w:tc>
          <w:tcPr>
            <w:tcW w:w="0" w:type="dxa"/>
            <w:vAlign w:val="bottom"/>
          </w:tcPr>
          <w:p>
            <w:pPr>
              <w:spacing w:after="0"/>
              <w:rPr>
                <w:sz w:val="1"/>
                <w:szCs w:val="1"/>
                <w:color w:val="auto"/>
              </w:rPr>
            </w:pPr>
          </w:p>
        </w:tc>
      </w:tr>
      <w:tr>
        <w:trPr>
          <w:trHeight w:val="142"/>
        </w:trPr>
        <w:tc>
          <w:tcPr>
            <w:tcW w:w="7100" w:type="dxa"/>
            <w:vAlign w:val="bottom"/>
            <w:tcBorders>
              <w:left w:val="single" w:sz="8" w:color="auto"/>
              <w:bottom w:val="single" w:sz="8" w:color="auto"/>
            </w:tcBorders>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Total Capital expenditures</w:t>
            </w:r>
          </w:p>
        </w:tc>
        <w:tc>
          <w:tcPr>
            <w:tcW w:w="140" w:type="dxa"/>
            <w:vAlign w:val="bottom"/>
            <w:tcBorders>
              <w:bottom w:val="single" w:sz="8" w:color="auto"/>
              <w:right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2"/>
              <w:spacing w:after="0" w:line="142" w:lineRule="exact"/>
              <w:rPr>
                <w:sz w:val="20"/>
                <w:szCs w:val="20"/>
                <w:color w:val="auto"/>
              </w:rPr>
            </w:pPr>
            <w:r>
              <w:rPr>
                <w:rFonts w:ascii="Times New Roman" w:cs="Times New Roman" w:eastAsia="Times New Roman" w:hAnsi="Times New Roman"/>
                <w:sz w:val="14"/>
                <w:szCs w:val="14"/>
                <w:color w:val="auto"/>
              </w:rPr>
              <w:t>48,265</w:t>
            </w: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right w:val="single" w:sz="8" w:color="auto"/>
            </w:tcBorders>
            <w:shd w:val="clear" w:color="auto" w:fill="CCEEFF"/>
          </w:tcPr>
          <w:p>
            <w:pPr>
              <w:jc w:val="right"/>
              <w:ind w:right="181"/>
              <w:spacing w:after="0" w:line="142" w:lineRule="exact"/>
              <w:rPr>
                <w:sz w:val="20"/>
                <w:szCs w:val="20"/>
                <w:color w:val="auto"/>
              </w:rPr>
            </w:pPr>
            <w:r>
              <w:rPr>
                <w:rFonts w:ascii="Times New Roman" w:cs="Times New Roman" w:eastAsia="Times New Roman" w:hAnsi="Times New Roman"/>
                <w:sz w:val="14"/>
                <w:szCs w:val="14"/>
                <w:color w:val="auto"/>
              </w:rPr>
              <w:t>67,268</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40"/>
      </w:cols>
      <w:pgMar w:left="980" w:top="37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2026-04-29T16:17:53Z</dcterms:created>
  <dcterms:modified xsi:type="dcterms:W3CDTF">2026-04-29T16:17:53Z</dcterms:modified>
</cp:coreProperties>
</file>