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11-K</w:t>
      </w:r>
    </w:p>
    <w:p>
      <w:pPr>
        <w:spacing w:after="0" w:line="226" w:lineRule="exact"/>
        <w:rPr>
          <w:sz w:val="20"/>
          <w:szCs w:val="20"/>
          <w:color w:val="auto"/>
        </w:rPr>
      </w:pPr>
    </w:p>
    <w:p>
      <w:pPr>
        <w:ind w:left="1460" w:right="151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 [NO FEE REQUIRED].</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05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 [NO FEE REQUIRED].</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0-22684</w:t>
      </w:r>
    </w:p>
    <w:p>
      <w:pPr>
        <w:spacing w:after="0" w:line="164" w:lineRule="exact"/>
        <w:rPr>
          <w:sz w:val="20"/>
          <w:szCs w:val="20"/>
          <w:color w:val="auto"/>
        </w:rPr>
      </w:pPr>
    </w:p>
    <w:p>
      <w:pPr>
        <w:jc w:val="center"/>
        <w:ind w:left="760"/>
        <w:spacing w:after="0" w:line="254" w:lineRule="auto"/>
        <w:rPr>
          <w:sz w:val="20"/>
          <w:szCs w:val="20"/>
          <w:color w:val="auto"/>
        </w:rPr>
      </w:pPr>
      <w:r>
        <w:rPr>
          <w:rFonts w:ascii="Arial" w:cs="Arial" w:eastAsia="Arial" w:hAnsi="Arial"/>
          <w:sz w:val="36"/>
          <w:szCs w:val="36"/>
          <w:b w:val="1"/>
          <w:bCs w:val="1"/>
          <w:color w:val="auto"/>
        </w:rPr>
        <w:t>Universal Forest Products, Inc. Employees’ Profit Sharing and 401(k) Retirement Plan</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16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2801 East Beltline NE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0" w:type="dxa"/>
            <w:vAlign w:val="bottom"/>
            <w:gridSpan w:val="5"/>
          </w:tcPr>
          <w:p>
            <w:pPr>
              <w:jc w:val="center"/>
              <w:ind w:right="560"/>
              <w:spacing w:after="0"/>
              <w:rPr>
                <w:sz w:val="20"/>
                <w:szCs w:val="20"/>
                <w:color w:val="auto"/>
              </w:rPr>
            </w:pPr>
            <w:r>
              <w:rPr>
                <w:rFonts w:ascii="Arial" w:cs="Arial" w:eastAsia="Arial" w:hAnsi="Arial"/>
                <w:sz w:val="18"/>
                <w:szCs w:val="18"/>
                <w:color w:val="auto"/>
                <w:w w:val="89"/>
              </w:rPr>
              <w:t>Financial Statements and Supplemental Schedule</w:t>
            </w:r>
          </w:p>
        </w:tc>
        <w:tc>
          <w:tcPr>
            <w:tcW w:w="334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0" w:type="dxa"/>
            <w:vAlign w:val="bottom"/>
            <w:gridSpan w:val="5"/>
          </w:tcPr>
          <w:p>
            <w:pPr>
              <w:jc w:val="center"/>
              <w:ind w:right="560"/>
              <w:spacing w:after="0"/>
              <w:rPr>
                <w:sz w:val="20"/>
                <w:szCs w:val="20"/>
                <w:color w:val="auto"/>
              </w:rPr>
            </w:pPr>
            <w:r>
              <w:rPr>
                <w:rFonts w:ascii="Arial" w:cs="Arial" w:eastAsia="Arial" w:hAnsi="Arial"/>
                <w:sz w:val="18"/>
                <w:szCs w:val="18"/>
                <w:color w:val="auto"/>
                <w:w w:val="88"/>
              </w:rPr>
              <w:t>Years Ended December 31, 2009 and 2008</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b w:val="1"/>
                <w:bCs w:val="1"/>
                <w:color w:val="auto"/>
                <w:w w:val="87"/>
              </w:rPr>
              <w:t>Contents</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Report of Independent Registered Public Accounting Firm</w:t>
              </w:r>
            </w:hyperlink>
          </w:p>
        </w:tc>
        <w:tc>
          <w:tcPr>
            <w:tcW w:w="3520" w:type="dxa"/>
            <w:vAlign w:val="bottom"/>
            <w:gridSpan w:val="3"/>
          </w:tcPr>
          <w:p>
            <w:pPr>
              <w:spacing w:after="0"/>
              <w:rPr>
                <w:sz w:val="24"/>
                <w:szCs w:val="24"/>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3</w:t>
            </w:r>
          </w:p>
        </w:tc>
      </w:tr>
      <w:tr>
        <w:trPr>
          <w:trHeight w:val="453"/>
        </w:trPr>
        <w:tc>
          <w:tcPr>
            <w:tcW w:w="380" w:type="dxa"/>
            <w:vAlign w:val="bottom"/>
          </w:tcPr>
          <w:p>
            <w:pPr>
              <w:spacing w:after="0"/>
              <w:rPr>
                <w:sz w:val="24"/>
                <w:szCs w:val="24"/>
                <w:color w:val="auto"/>
              </w:rPr>
            </w:pPr>
          </w:p>
        </w:tc>
        <w:tc>
          <w:tcPr>
            <w:tcW w:w="770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0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w:t>
              </w:r>
            </w:hyperlink>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42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Changes in Net Assets Available for Benefits</w:t>
              </w:r>
            </w:hyperlink>
          </w:p>
        </w:tc>
        <w:tc>
          <w:tcPr>
            <w:tcW w:w="3460" w:type="dxa"/>
            <w:vAlign w:val="bottom"/>
            <w:gridSpan w:val="2"/>
          </w:tcPr>
          <w:p>
            <w:pPr>
              <w:spacing w:after="0"/>
              <w:rPr>
                <w:sz w:val="24"/>
                <w:szCs w:val="24"/>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5</w:t>
            </w:r>
          </w:p>
        </w:tc>
      </w:tr>
      <w:tr>
        <w:trPr>
          <w:trHeight w:val="412"/>
        </w:trPr>
        <w:tc>
          <w:tcPr>
            <w:tcW w:w="380" w:type="dxa"/>
            <w:vAlign w:val="bottom"/>
          </w:tcPr>
          <w:p>
            <w:pPr>
              <w:spacing w:after="0"/>
              <w:rPr>
                <w:sz w:val="24"/>
                <w:szCs w:val="24"/>
                <w:color w:val="auto"/>
              </w:rPr>
            </w:pPr>
          </w:p>
        </w:tc>
        <w:tc>
          <w:tcPr>
            <w:tcW w:w="77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6</w:t>
            </w:r>
          </w:p>
        </w:tc>
      </w:tr>
      <w:tr>
        <w:trPr>
          <w:trHeight w:val="453"/>
        </w:trPr>
        <w:tc>
          <w:tcPr>
            <w:tcW w:w="380" w:type="dxa"/>
            <w:vAlign w:val="bottom"/>
          </w:tcPr>
          <w:p>
            <w:pPr>
              <w:spacing w:after="0"/>
              <w:rPr>
                <w:sz w:val="24"/>
                <w:szCs w:val="24"/>
                <w:color w:val="auto"/>
              </w:rPr>
            </w:pPr>
          </w:p>
        </w:tc>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Supplemental Schedule</w:t>
            </w:r>
          </w:p>
        </w:tc>
        <w:tc>
          <w:tcPr>
            <w:tcW w:w="5600" w:type="dxa"/>
            <w:vAlign w:val="bottom"/>
            <w:gridSpan w:val="5"/>
          </w:tcPr>
          <w:p>
            <w:pPr>
              <w:spacing w:after="0"/>
              <w:rPr>
                <w:sz w:val="24"/>
                <w:szCs w:val="24"/>
                <w:color w:val="auto"/>
              </w:rPr>
            </w:pP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5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Schedule H, Line 4i—Schedule of Assets (Held at End of Year)</w:t>
              </w:r>
            </w:hyperlink>
          </w:p>
        </w:tc>
        <w:tc>
          <w:tcPr>
            <w:tcW w:w="3160" w:type="dxa"/>
            <w:vAlign w:val="bottom"/>
          </w:tcPr>
          <w:p>
            <w:pPr>
              <w:spacing w:after="0"/>
              <w:rPr>
                <w:sz w:val="24"/>
                <w:szCs w:val="24"/>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14</w:t>
            </w:r>
          </w:p>
        </w:tc>
      </w:tr>
      <w:tr>
        <w:trPr>
          <w:trHeight w:val="412"/>
        </w:trPr>
        <w:tc>
          <w:tcPr>
            <w:tcW w:w="380" w:type="dxa"/>
            <w:vAlign w:val="bottom"/>
          </w:tcPr>
          <w:p>
            <w:pPr>
              <w:spacing w:after="0"/>
              <w:rPr>
                <w:sz w:val="24"/>
                <w:szCs w:val="24"/>
                <w:color w:val="auto"/>
              </w:rPr>
            </w:pPr>
          </w:p>
        </w:tc>
        <w:tc>
          <w:tcPr>
            <w:tcW w:w="7700" w:type="dxa"/>
            <w:vAlign w:val="bottom"/>
            <w:gridSpan w:val="7"/>
          </w:tcPr>
          <w:p>
            <w:pPr>
              <w:spacing w:after="0"/>
              <w:rPr>
                <w:sz w:val="20"/>
                <w:szCs w:val="20"/>
                <w:color w:val="auto"/>
              </w:rPr>
            </w:pPr>
            <w:r>
              <w:rPr>
                <w:rFonts w:ascii="Arial" w:cs="Arial" w:eastAsia="Arial" w:hAnsi="Arial"/>
                <w:sz w:val="18"/>
                <w:szCs w:val="18"/>
                <w:color w:val="0000EE"/>
              </w:rPr>
              <w:t>Exhibit 23</w:t>
            </w:r>
          </w:p>
        </w:tc>
        <w:tc>
          <w:tcPr>
            <w:tcW w:w="3340" w:type="dxa"/>
            <w:vAlign w:val="bottom"/>
          </w:tcPr>
          <w:p>
            <w:pPr>
              <w:spacing w:after="0"/>
              <w:rPr>
                <w:sz w:val="24"/>
                <w:szCs w:val="24"/>
                <w:color w:val="auto"/>
              </w:rPr>
            </w:pPr>
          </w:p>
        </w:tc>
      </w:tr>
      <w:tr>
        <w:trPr>
          <w:trHeight w:val="1044"/>
        </w:trPr>
        <w:tc>
          <w:tcPr>
            <w:tcW w:w="380" w:type="dxa"/>
            <w:vAlign w:val="bottom"/>
            <w:tcBorders>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Members of the Profit Sharing and 401(k) Trustee Committee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Employees’ Profit Sharing and 401 (k) Retirement Plan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Rapids, Michigan</w:t>
      </w:r>
    </w:p>
    <w:p>
      <w:pPr>
        <w:spacing w:after="0" w:line="17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We have audited the accompanying statements of net assets available for benefits of Universal Forest Products, Inc. Employees’ Profit Sharing and 401 (k) Retirement Plan (the “Plan”) as of December 31, 2009 and 2008,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14"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An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as of December 31, 2009 and 2008, and the changes in net assets available for benefits for the years then ended, in conformity with accounting principles generally accepted in the United States of America.</w:t>
      </w:r>
    </w:p>
    <w:p>
      <w:pPr>
        <w:spacing w:after="0" w:line="12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Our audits were performed for the purpose of forming opinions on the basic financial statements taken as a whole. The accompanying supplemental schedule of assets (held at end of year) as of December 31, 2009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 of the basic financial statements and, in our opinion, is fairly stated in all material respects in relation to the basic financial statements taken as a whole.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BDO Seidman,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23, 2010</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ind w:left="2940"/>
              <w:spacing w:after="0"/>
              <w:rPr>
                <w:sz w:val="20"/>
                <w:szCs w:val="20"/>
                <w:color w:val="auto"/>
              </w:rPr>
            </w:pPr>
            <w:r>
              <w:rPr>
                <w:rFonts w:ascii="Arial" w:cs="Arial" w:eastAsia="Arial" w:hAnsi="Arial"/>
                <w:sz w:val="18"/>
                <w:szCs w:val="18"/>
                <w:color w:val="auto"/>
              </w:rPr>
              <w:t>Statements of Net Assets Available for Benefits</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4"/>
                <w:szCs w:val="24"/>
                <w:color w:val="auto"/>
              </w:rPr>
            </w:pPr>
          </w:p>
        </w:tc>
        <w:tc>
          <w:tcPr>
            <w:tcW w:w="25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Investments, at fair value (Notes 1 &amp; 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$ 140,557,993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$ 120,834,506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7,423,026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8,875,400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147,981,019</w:t>
            </w:r>
          </w:p>
        </w:tc>
        <w:tc>
          <w:tcPr>
            <w:tcW w:w="3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129,709,906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 receivable</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121,901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195,394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475,429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investment broker</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148,176,413</w:t>
            </w:r>
          </w:p>
        </w:tc>
        <w:tc>
          <w:tcPr>
            <w:tcW w:w="3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130,307,561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Due to investment broker</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(2,763)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fair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148,173,650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130,307,561</w:t>
            </w:r>
          </w:p>
        </w:tc>
        <w:tc>
          <w:tcPr>
            <w:tcW w:w="0" w:type="dxa"/>
            <w:vAlign w:val="bottom"/>
          </w:tcPr>
          <w:p>
            <w:pPr>
              <w:spacing w:after="0"/>
              <w:rPr>
                <w:sz w:val="1"/>
                <w:szCs w:val="1"/>
                <w:color w:val="auto"/>
              </w:rPr>
            </w:pPr>
          </w:p>
        </w:tc>
      </w:tr>
      <w:tr>
        <w:trPr>
          <w:trHeight w:val="418"/>
        </w:trPr>
        <w:tc>
          <w:tcPr>
            <w:tcW w:w="676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 responsive investment</w:t>
            </w: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(165,874)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400" w:type="dxa"/>
            <w:vAlign w:val="bottom"/>
            <w:gridSpan w:val="2"/>
            <w:vMerge w:val="continue"/>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1,970,304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$ 148,007,776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$ 132,277,865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Years Ended December 31</w:t>
            </w:r>
          </w:p>
        </w:tc>
      </w:tr>
      <w:tr>
        <w:trPr>
          <w:trHeight w:val="210"/>
        </w:trPr>
        <w:tc>
          <w:tcPr>
            <w:tcW w:w="69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7,031,064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8,429,023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Rollover contributions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769,403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833,829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1,562,640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3,469,408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601,946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808,921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1,092,581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2,411,851</w:t>
            </w: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11,057,634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15,953,032</w:t>
            </w: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Deductions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participants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(20,673,619)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(17,410,648)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(437,093)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(516,823)</w:t>
            </w: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(21,110,712)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(17,927,471)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w w:val="95"/>
              </w:rPr>
              <w:t>Net realized and unrealized appreciation (depreciation) in fair value of investments (Note 4)</w:t>
            </w:r>
          </w:p>
        </w:tc>
        <w:tc>
          <w:tcPr>
            <w:tcW w:w="1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25,995,122</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(30,406,376)</w:t>
            </w:r>
          </w:p>
        </w:tc>
      </w:tr>
      <w:tr>
        <w:trPr>
          <w:trHeight w:val="223"/>
        </w:trPr>
        <w:tc>
          <w:tcPr>
            <w:tcW w:w="6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15,942,044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(32,380,815)</w:t>
            </w:r>
          </w:p>
        </w:tc>
      </w:tr>
      <w:tr>
        <w:trPr>
          <w:trHeight w:val="432"/>
        </w:trPr>
        <w:tc>
          <w:tcPr>
            <w:tcW w:w="6940" w:type="dxa"/>
            <w:vAlign w:val="bottom"/>
          </w:tcPr>
          <w:p>
            <w:pPr>
              <w:spacing w:after="0"/>
              <w:rPr>
                <w:sz w:val="20"/>
                <w:szCs w:val="20"/>
                <w:color w:val="auto"/>
              </w:rPr>
            </w:pPr>
            <w:r>
              <w:rPr>
                <w:rFonts w:ascii="Arial" w:cs="Arial" w:eastAsia="Arial" w:hAnsi="Arial"/>
                <w:sz w:val="18"/>
                <w:szCs w:val="18"/>
                <w:color w:val="auto"/>
              </w:rPr>
              <w:t>Transfers out (Note 3)</w:t>
            </w:r>
          </w:p>
        </w:tc>
        <w:tc>
          <w:tcPr>
            <w:tcW w:w="12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(212,133)</w:t>
            </w:r>
          </w:p>
        </w:tc>
        <w:tc>
          <w:tcPr>
            <w:tcW w:w="1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132,277,865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164,658,680</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assets available for benefits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148,007,776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132,277,865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w:t>
      </w:r>
    </w:p>
    <w:p>
      <w:pPr>
        <w:spacing w:after="0" w:line="181" w:lineRule="exact"/>
        <w:rPr>
          <w:sz w:val="20"/>
          <w:szCs w:val="20"/>
          <w:color w:val="auto"/>
        </w:rPr>
      </w:pPr>
    </w:p>
    <w:p>
      <w:pPr>
        <w:ind w:left="340" w:right="7319" w:hanging="8"/>
        <w:spacing w:after="0" w:line="464"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w:t>
      </w:r>
    </w:p>
    <w:p>
      <w:pPr>
        <w:jc w:val="both"/>
        <w:ind w:left="340" w:right="559"/>
        <w:spacing w:after="0" w:line="277" w:lineRule="auto"/>
        <w:rPr>
          <w:sz w:val="20"/>
          <w:szCs w:val="20"/>
          <w:color w:val="auto"/>
        </w:rPr>
      </w:pPr>
      <w:r>
        <w:rPr>
          <w:rFonts w:ascii="Arial" w:cs="Arial" w:eastAsia="Arial" w:hAnsi="Arial"/>
          <w:sz w:val="18"/>
          <w:szCs w:val="18"/>
          <w:color w:val="auto"/>
        </w:rPr>
        <w:t>The financial statements of the Universal Forest Products, Inc. Employees’ Profit Sharing and 401(k) Retirement Plan (the Plan) are presented on the accrual method of accounting.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and Uncertainties</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w:t>
      </w:r>
    </w:p>
    <w:p>
      <w:pPr>
        <w:spacing w:after="0" w:line="20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As of December 31, 2009, the Plan adopted Accounting Standards Update (“ASU”) 2009-12 regarding fair value measurement of investments in certain entities that calculate net asset value per share (or its equivalent). This update applies to investments that do not have a readily determinable fair value and are held by an entity that is required to report investment assets at fair value. This update creates a practical expedient to measure the fair value of such investments on the basis of the net asset value per share (or its equivalent) and requires disclosures by major category of the investments about the attributes of investments, such as the nature of any restrictions on the investors’ ability to redeem the investments at the measurement date, any unfunded commitments, and the investment strategies of the investees. Although the adoption of this update did not materially impact the Plan’s financial statements, the Plan is now required to provide additional disclosures with respect to its investments in common collective trusts.</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In January 2010, the Financial Accounting Standards Board issued Accounting Standards Update 2010-06, </w:t>
      </w:r>
      <w:r>
        <w:rPr>
          <w:rFonts w:ascii="Arial" w:cs="Arial" w:eastAsia="Arial" w:hAnsi="Arial"/>
          <w:sz w:val="17"/>
          <w:szCs w:val="17"/>
          <w:i w:val="1"/>
          <w:iCs w:val="1"/>
          <w:color w:val="auto"/>
        </w:rPr>
        <w:t>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Fair Value Measurements</w:t>
      </w:r>
      <w:r>
        <w:rPr>
          <w:rFonts w:ascii="Arial" w:cs="Arial" w:eastAsia="Arial" w:hAnsi="Arial"/>
          <w:sz w:val="17"/>
          <w:szCs w:val="17"/>
          <w:color w:val="auto"/>
        </w:rPr>
        <w:t>. This standard requires new disclosures on the amount and reason for transfers in</w:t>
      </w:r>
      <w:r>
        <w:rPr>
          <w:rFonts w:ascii="Arial" w:cs="Arial" w:eastAsia="Arial" w:hAnsi="Arial"/>
          <w:sz w:val="17"/>
          <w:szCs w:val="17"/>
          <w:i w:val="1"/>
          <w:iCs w:val="1"/>
          <w:color w:val="auto"/>
        </w:rPr>
        <w:t xml:space="preserve"> </w:t>
      </w:r>
      <w:r>
        <w:rPr>
          <w:rFonts w:ascii="Arial" w:cs="Arial" w:eastAsia="Arial" w:hAnsi="Arial"/>
          <w:sz w:val="17"/>
          <w:szCs w:val="17"/>
          <w:color w:val="auto"/>
        </w:rPr>
        <w:t>and out of Level 1 and 2 recurring fair value measurements. The standard also requires disclosure of activities, on a gross basis, including purchases, sales, issuances, and settlements, in the reconciliation of Level 3 fair value recurring measurements. The standard clarifies existing disclosure requirements on levels of disaggregation and disclosures about inputs and valuation techniques. The new disclosures regarding Level 1 and 2 fair value measurements and clarification of existing disclosures are effective for periods beginning after December 15, 2009. The disclosures about the reconciliation of information in Level 3 recurring fair value measurements are required for periods beginning after December 15, 2010. The requirements of the standard are not expected to have a significant impact on the Plan’s current fair value disclosures.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Plan’s investments are stated at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4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11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w:t>
      </w:r>
    </w:p>
    <w:p>
      <w:pPr>
        <w:spacing w:after="0" w:line="14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quoted market prices in an exchange and active market, which represent the net asset values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the Plan.</w:t>
      </w:r>
    </w:p>
    <w:p>
      <w:pPr>
        <w:spacing w:after="0" w:line="13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Valued based on audited information reported by the issuer of the common collective trust at</w:t>
      </w:r>
      <w:r>
        <w:rPr>
          <w:rFonts w:ascii="Arial" w:cs="Arial" w:eastAsia="Arial" w:hAnsi="Arial"/>
          <w:sz w:val="18"/>
          <w:szCs w:val="18"/>
          <w:i w:val="1"/>
          <w:iCs w:val="1"/>
          <w:color w:val="auto"/>
        </w:rPr>
        <w:t xml:space="preserve"> </w:t>
      </w:r>
      <w:r>
        <w:rPr>
          <w:rFonts w:ascii="Arial" w:cs="Arial" w:eastAsia="Arial" w:hAnsi="Arial"/>
          <w:sz w:val="18"/>
          <w:szCs w:val="18"/>
          <w:color w:val="auto"/>
        </w:rPr>
        <w:t>year-end.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Loans to plan participants are valued at their outstanding balances, which approximates fair value.</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the market participants, the use of different methodologies or assumptions to determine the fair value of certain financial instruments could result in a different fair value measurement at the reporting date.</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Plan also invests in investment contracts through a common collective trust (Union Bond &amp; Trust Company Stable Value Fund, often referred to as “Morley Stable Value Fund”). Investment contracts held by a defined contribution plan are required to be reported at fair value, with an adjustment to contract value in the statement of net assets available for benefits because contract value of these contracts is the amount participants would receive if they were to initiate permitted transactions under the terms of the Plan. The contract value of the Union Bond &amp; Trust Company Stable Value Fund represents contributions plus earnings, less participant withdrawals and administrative expenses. There is no restriction in place with respect to the daily redemption of the common collective trust.</w:t>
      </w:r>
    </w:p>
    <w:p>
      <w:pPr>
        <w:spacing w:after="0" w:line="16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Universal Forest Products Stock Fund (the Fund) is tracked on a unitized basis. The Fund consists of common stock of Universal Forest Products, Inc. (Plan Sponsor) and funds that are held in the Union Bond &amp; Trust Company Stable Value Fund that are sufficient to meet the Fund’s daily cash needs. Unitization of the Fund allows for daily trades. The value of a unit reflects the combined market value of the common stock and the Union Bond &amp; Trust Company Stable Value Fund held by the Fund. At December 31, 2009 and 2008, 1,142,403 and 1,074,204 units, respectively, were outstanding with a value of $36.85 and $27.41 per unit, respectively.</w:t>
      </w:r>
    </w:p>
    <w:p>
      <w:pPr>
        <w:spacing w:after="0" w:line="153"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Evergreen Short Intermediate Bond Fund (the Bond Fund) is also tracked on a unitized basis. The Bond Fund consists of the Evergreen Short Intermediate Fund and funds held in cash that are sufficient to meet the Fund’s daily needs. Unitization of the Bond Fund allows for daily allocation of interest earned to participant accounts. The value of a unit reflects the combined market value of the Evergreen Short Intermediate Bond Fund and the cash held. At December 31, 2009 and 2008, 73,693 and 157,261 units, respectively, were outstanding with a value of $13.31 and $11.65 per unit, respectively.</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Pimco Total Return Fund (the Return Fund) is also tracked on a unitized basis. The Return Fund consists of the Pimco Total Return Fund and funds held in cash that are sufficient to meet the Fund’s daily needs. Unitization of the Return Fund allows for daily allocation of interest earned to participant accounts. The value of a unit reflects the combined market value of the Pimco Total Return Fund and the cash held. At December 31, 2009 and 2008, 227,403 and 253,449 units, respectively, were outstanding with a value of $18.24 and $16.06 per unit, respectively.</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Concentration of Investments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Included in investments at December 31, 2009 and 2008 are shares of the Plan Sponsor’s common stock with an aggregate fair value of $41,227,863 and $28,924,912, respectively. This investment represents 29% and 24% of total investments at December 31, 2009 and 2008, respectively. A significant decline in the market value of the sponsor’s stock would significantly affect the net assets available for benefits.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Administrative Expenses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Administrative expenses incurred in connection with the operations of the Plan are paid by the Plan Sponsor, except for loan and certain investment fees, which are borne by the Plan. Substantially all of these expenses are paid to parties-in-interest of the Plan and are based on reasonable and customary rates for the related services.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Description of the Plan</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agreement, as amended, for a more complete description of the Plan’s provisions.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Eligible employees are those who are 18 years or older and have completed 1,000 hours of employment (year of service) during the 12-month period following date of employment or, where additional periods are necessary, on succeeding Plan year-end dates. All newly eligible employees on and after July 1, 2006 are automatically enrolled in the Plan at a deferral level of 3% of eligible compensation.</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43"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Plan Sponsor contributes regular discretionary matching contributions and may contribute additional discretionary matching contributions. Regular discretionary matching contributions are made quarterly and were 25% and 50% of participant deferrals in 2009 and 2008, respectively, subject to a limit of 6% of each participant’s compensation. Additional discretionary matching contributions may be made at the end of each Plan year. These amounts are not guaranteed, and may vary from year to year as the Plan Sponsor is not obligated to make such contributions.</w:t>
      </w:r>
    </w:p>
    <w:p>
      <w:pPr>
        <w:spacing w:after="0" w:line="13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each participant’s account in the same ratio that each participant’s total compensation for the Plan year bears to the total compensation of all participants for such year.</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Employer contributions are subject to a vesting schedule as follows: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b w:val="1"/>
                <w:bCs w:val="1"/>
                <w:color w:val="auto"/>
              </w:rPr>
              <w:t>Years of Service</w:t>
            </w:r>
          </w:p>
        </w:tc>
        <w:tc>
          <w:tcPr>
            <w:tcW w:w="26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Vesting Percentage</w:t>
            </w:r>
          </w:p>
        </w:tc>
      </w:tr>
      <w:tr>
        <w:trPr>
          <w:trHeight w:val="210"/>
        </w:trPr>
        <w:tc>
          <w:tcPr>
            <w:tcW w:w="7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than 2</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2 but less than 3</w:t>
            </w: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4 but less than 5</w:t>
            </w: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6 or more</w:t>
            </w: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Effective January 1, 2006, all forfeitures are used to offset the Plan Sponsor’s matching contributions. During 2009 and 2008, forfeitures of approximately $180,000 and $325,000, respectively, were used to offset the Plan Sponsor’s matching contributions.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jc w:val="both"/>
        <w:ind w:left="340" w:right="1760"/>
        <w:spacing w:after="0" w:line="286" w:lineRule="auto"/>
        <w:rPr>
          <w:sz w:val="20"/>
          <w:szCs w:val="20"/>
          <w:color w:val="auto"/>
        </w:rPr>
      </w:pPr>
      <w:r>
        <w:rPr>
          <w:rFonts w:ascii="Arial" w:cs="Arial" w:eastAsia="Arial" w:hAnsi="Arial"/>
          <w:sz w:val="17"/>
          <w:szCs w:val="17"/>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125"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Participants may borrow from their account a minimum amount of $1,000 up to a maximum equal to the lesser of $50,000 or 50% of their vested account balance. Loan terms range from one to five years or up to 25 years for the purchase of a residence. The loans bear interest at a rate equal to the prime rate (3.25% at December 31, 2009) plus 2% calculated on a daily basis. A participant may only have five loans outstanding at any time and one new loan for every 12-month period. Effective April 1, 2009, a participant may only have two loans outstanding at any time.</w:t>
      </w:r>
    </w:p>
    <w:p>
      <w:pPr>
        <w:spacing w:after="0" w:line="161"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The Plan Sponsor has determined that during the year ended December 31, 2008, the Plan had a partial termination due to certain discontinued operations. All affected participants became 100% vested in their accounts, resulting in additional benefits to be paid to participants in the amount of $146,900. The Plan Sponsor has deposited the previously forfeited amount into the trust and the affected participants were paid accordingly.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Transfers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As permitted by the plan, funds totaling approximately $212,000 were transferred to the Shawnlee Construction LLC 401(k) Plan (an affiliated plan) during 2009 due to employee transfers.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Investments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set forth by level within the fair value hierarchy the Plan’s investments as of December 31, 2009 and 2008.</w:t>
      </w:r>
    </w:p>
    <w:p>
      <w:pPr>
        <w:spacing w:after="0" w:line="221"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Investment Assets at Fair Value</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41,227,863</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41,227,863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$ 40,031,141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40,031,141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Bond funds</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5,129,026</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5,129,026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Target funds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20,887,609</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20,887,609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Domestic stock funds</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28,286,662</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28,286,662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stock funds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4,995,692</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4,995,692</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mutual funds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59,298,989</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59,298,989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7,423,026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7,423,026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Total investments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100,526,852</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$ 47,454,167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147,981,019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Investment Assets at Fair Value</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4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1</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$ 28,924,912</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28,924,912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$ 41,113,848</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41,113,848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50,795,746</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50,795,746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Participant loans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8,875,400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8,875,400</w:t>
            </w:r>
          </w:p>
        </w:tc>
      </w:tr>
      <w:tr>
        <w:trPr>
          <w:trHeight w:val="27"/>
        </w:trPr>
        <w:tc>
          <w:tcPr>
            <w:tcW w:w="4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$ 79,720,658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$ 49,989,248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129,709,906</w:t>
            </w: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Plan’s investments (including investments purchased and held during the year) appreciated (depreciated) in fair value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2"/>
              </w:rPr>
              <w:t>Year Ended December 31</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12,722,953</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(301,973)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1,004,437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(2,527,575)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12,267,732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(27,576,828)</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25,995,122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(30,406,376</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Arial" w:cs="Arial" w:eastAsia="Arial" w:hAnsi="Arial"/>
                <w:sz w:val="18"/>
                <w:szCs w:val="18"/>
                <w:color w:val="auto"/>
                <w:w w:val="98"/>
              </w:rPr>
              <w:t>Individual investments that represent 5% or more of the fair value of the Plan’s net assets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7"/>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Union Bond &amp; Trust Company Stable Value Fund</w:t>
            </w:r>
          </w:p>
        </w:tc>
        <w:tc>
          <w:tcPr>
            <w:tcW w:w="2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35,351,373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36,058,693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 Rowe Price Retirement 2020 Fund</w:t>
            </w: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9,369,081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6,828,899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Common Stock</w:t>
            </w: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41,227,863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28,924,912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Van Kampen Growth and Income Fund</w:t>
            </w: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10,438,413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9,434,080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7,423,026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8,875,400</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40" w:type="dxa"/>
            <w:vAlign w:val="bottom"/>
          </w:tcPr>
          <w:p>
            <w:pPr>
              <w:jc w:val="right"/>
              <w:ind w:right="199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Income Tax Status</w:t>
      </w:r>
    </w:p>
    <w:p>
      <w:pPr>
        <w:spacing w:after="0" w:line="189"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dated April 2, 2004,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Difference Between Financial Statements and Form 5500</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assets available for benefits per the financial statements to the Form 5500: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7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from the financial statements</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8"/>
              </w:rPr>
              <w:t>$ 148,007,776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132,277,865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adjustment to fair value for fully benefit responsive investment contracts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165,874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(1,970,304)</w:t>
            </w:r>
          </w:p>
        </w:tc>
      </w:tr>
      <w:tr>
        <w:trPr>
          <w:trHeight w:val="27"/>
        </w:trPr>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Assets available for benefits from the Form 5500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$ 148,173,650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130,307,561</w:t>
            </w:r>
          </w:p>
        </w:tc>
      </w:tr>
      <w:tr>
        <w:trPr>
          <w:trHeight w:val="20"/>
        </w:trPr>
        <w:tc>
          <w:tcPr>
            <w:tcW w:w="6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net decrease in net assets per the financial statements to the Form 5500: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the financial statements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3"/>
              </w:rPr>
              <w:t>15,942,044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(32,380,815)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2009 Net adjustment to fair value for fully benefit responsive investment contracts</w:t>
            </w: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165,874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2008 Net adjustment to fair value for fully benefit responsive investment contracts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1,970,304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(1,970,304)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2007 Net adjustment to fair value for fully benefit responsive investment contracts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294,242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from the Form 5500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3"/>
              </w:rPr>
              <w:t>18,078,222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(34,056,877)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20" w:type="dxa"/>
            <w:vAlign w:val="bottom"/>
            <w:vMerge w:val="restart"/>
          </w:tcPr>
          <w:p>
            <w:pPr>
              <w:ind w:left="456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00" w:type="dxa"/>
            <w:vAlign w:val="bottom"/>
            <w:gridSpan w:val="3"/>
          </w:tcPr>
          <w:p>
            <w:pPr>
              <w:jc w:val="center"/>
              <w:ind w:left="1530"/>
              <w:spacing w:after="0"/>
              <w:rPr>
                <w:sz w:val="20"/>
                <w:szCs w:val="20"/>
                <w:color w:val="auto"/>
              </w:rPr>
            </w:pPr>
            <w:r>
              <w:rPr>
                <w:rFonts w:ascii="Arial" w:cs="Arial" w:eastAsia="Arial" w:hAnsi="Arial"/>
                <w:sz w:val="18"/>
                <w:szCs w:val="18"/>
                <w:color w:val="auto"/>
                <w:w w:val="91"/>
              </w:rPr>
              <w:t>Universal Forest Products, Inc. Employees’ Profit Sharing and</w:t>
            </w:r>
          </w:p>
        </w:tc>
      </w:tr>
      <w:tr>
        <w:trPr>
          <w:trHeight w:val="23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jc w:val="center"/>
              <w:ind w:right="1510"/>
              <w:spacing w:after="0"/>
              <w:rPr>
                <w:sz w:val="20"/>
                <w:szCs w:val="20"/>
                <w:color w:val="auto"/>
              </w:rPr>
            </w:pPr>
            <w:r>
              <w:rPr>
                <w:rFonts w:ascii="Arial" w:cs="Arial" w:eastAsia="Arial" w:hAnsi="Arial"/>
                <w:sz w:val="18"/>
                <w:szCs w:val="18"/>
                <w:color w:val="auto"/>
                <w:w w:val="90"/>
              </w:rPr>
              <w:t>401(k) Retirement Plan</w:t>
            </w:r>
          </w:p>
        </w:tc>
      </w:tr>
      <w:tr>
        <w:trPr>
          <w:trHeight w:val="405"/>
        </w:trPr>
        <w:tc>
          <w:tcPr>
            <w:tcW w:w="7700" w:type="dxa"/>
            <w:vAlign w:val="bottom"/>
            <w:gridSpan w:val="3"/>
          </w:tcPr>
          <w:p>
            <w:pPr>
              <w:jc w:val="center"/>
              <w:ind w:left="1530"/>
              <w:spacing w:after="0"/>
              <w:rPr>
                <w:sz w:val="20"/>
                <w:szCs w:val="20"/>
                <w:color w:val="auto"/>
              </w:rPr>
            </w:pPr>
            <w:r>
              <w:rPr>
                <w:rFonts w:ascii="Arial" w:cs="Arial" w:eastAsia="Arial" w:hAnsi="Arial"/>
                <w:sz w:val="18"/>
                <w:szCs w:val="18"/>
                <w:color w:val="auto"/>
                <w:w w:val="91"/>
              </w:rPr>
              <w:t>Schedule H, Line 4i — Schedule of Assets (Held at End of Year)</w:t>
            </w:r>
          </w:p>
        </w:tc>
      </w:tr>
      <w:tr>
        <w:trPr>
          <w:trHeight w:val="392"/>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jc w:val="center"/>
              <w:ind w:right="1510"/>
              <w:spacing w:after="0"/>
              <w:rPr>
                <w:sz w:val="20"/>
                <w:szCs w:val="20"/>
                <w:color w:val="auto"/>
              </w:rPr>
            </w:pPr>
            <w:r>
              <w:rPr>
                <w:rFonts w:ascii="Arial" w:cs="Arial" w:eastAsia="Arial" w:hAnsi="Arial"/>
                <w:sz w:val="18"/>
                <w:szCs w:val="18"/>
                <w:color w:val="auto"/>
                <w:w w:val="91"/>
              </w:rPr>
              <w:t>EIN #38-1465835 Plan #001</w:t>
            </w:r>
          </w:p>
        </w:tc>
      </w:tr>
      <w:tr>
        <w:trPr>
          <w:trHeight w:val="392"/>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jc w:val="center"/>
              <w:ind w:right="1510"/>
              <w:spacing w:after="0"/>
              <w:rPr>
                <w:sz w:val="20"/>
                <w:szCs w:val="20"/>
                <w:color w:val="auto"/>
              </w:rPr>
            </w:pPr>
            <w:r>
              <w:rPr>
                <w:rFonts w:ascii="Arial" w:cs="Arial" w:eastAsia="Arial" w:hAnsi="Arial"/>
                <w:sz w:val="18"/>
                <w:szCs w:val="18"/>
                <w:color w:val="auto"/>
                <w:w w:val="88"/>
              </w:rPr>
              <w:t>December 31, 2009</w:t>
            </w:r>
          </w:p>
        </w:tc>
      </w:tr>
      <w:tr>
        <w:trPr>
          <w:trHeight w:val="414"/>
        </w:trPr>
        <w:tc>
          <w:tcPr>
            <w:tcW w:w="2980" w:type="dxa"/>
            <w:vAlign w:val="bottom"/>
          </w:tcPr>
          <w:p>
            <w:pPr>
              <w:spacing w:after="0"/>
              <w:rPr>
                <w:sz w:val="20"/>
                <w:szCs w:val="20"/>
                <w:color w:val="auto"/>
              </w:rPr>
            </w:pPr>
            <w:r>
              <w:rPr>
                <w:rFonts w:ascii="Arial" w:cs="Arial" w:eastAsia="Arial" w:hAnsi="Arial"/>
                <w:sz w:val="18"/>
                <w:szCs w:val="18"/>
                <w:b w:val="1"/>
                <w:bCs w:val="1"/>
                <w:color w:val="auto"/>
              </w:rPr>
              <w:t>Identity of Issuer, Borrower,</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Lessor, or Similar Party</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Description of Investment</w:t>
            </w:r>
          </w:p>
        </w:tc>
      </w:tr>
      <w:tr>
        <w:trPr>
          <w:trHeight w:val="411"/>
        </w:trPr>
        <w:tc>
          <w:tcPr>
            <w:tcW w:w="2980" w:type="dxa"/>
            <w:vAlign w:val="bottom"/>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Universal Forest Products, Inc.*</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Universal Forest Products Common Stock</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Union Bond &amp; Trust Company</w:t>
            </w: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Stable Value Fund</w:t>
            </w: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Wachovia Securities*</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Enhanced Stock Market Fund</w:t>
            </w:r>
          </w:p>
        </w:tc>
      </w:tr>
      <w:tr>
        <w:trPr>
          <w:trHeight w:val="661"/>
        </w:trPr>
        <w:tc>
          <w:tcPr>
            <w:tcW w:w="2980" w:type="dxa"/>
            <w:vAlign w:val="bottom"/>
          </w:tcPr>
          <w:p>
            <w:pPr>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American Funds</w:t>
            </w: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Growth Fund of America</w:t>
            </w: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Dreyfus</w:t>
            </w: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Midcap Index Fund</w:t>
            </w: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Pimco</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Return Fund</w:t>
            </w:r>
          </w:p>
        </w:tc>
      </w:tr>
      <w:tr>
        <w:trPr>
          <w:trHeight w:val="202"/>
        </w:trPr>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Evergreen*</w:t>
            </w:r>
          </w:p>
        </w:tc>
        <w:tc>
          <w:tcPr>
            <w:tcW w:w="24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International Equity Fund</w:t>
            </w:r>
          </w:p>
        </w:tc>
      </w:tr>
      <w:tr>
        <w:trPr>
          <w:trHeight w:val="230"/>
        </w:trPr>
        <w:tc>
          <w:tcPr>
            <w:tcW w:w="2980" w:type="dxa"/>
            <w:vAlign w:val="bottom"/>
            <w:shd w:val="clear" w:color="auto" w:fill="CCEEFF"/>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Short Intermediate Bond Fund</w:t>
            </w:r>
          </w:p>
        </w:tc>
      </w:tr>
      <w:tr>
        <w:trPr>
          <w:trHeight w:val="202"/>
        </w:trPr>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rPr>
              <w:t>Neuberger &amp; Berman</w:t>
            </w:r>
          </w:p>
        </w:tc>
        <w:tc>
          <w:tcPr>
            <w:tcW w:w="24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Genesis Assets Fund</w:t>
            </w: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Van Kampen</w:t>
            </w: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Growth and Income Fund</w:t>
            </w:r>
          </w:p>
        </w:tc>
      </w:tr>
      <w:tr>
        <w:trPr>
          <w:trHeight w:val="216"/>
        </w:trPr>
        <w:tc>
          <w:tcPr>
            <w:tcW w:w="2980" w:type="dxa"/>
            <w:vAlign w:val="bottom"/>
          </w:tcPr>
          <w:p>
            <w:pPr>
              <w:ind w:left="200"/>
              <w:spacing w:after="0"/>
              <w:rPr>
                <w:sz w:val="20"/>
                <w:szCs w:val="20"/>
                <w:color w:val="auto"/>
              </w:rPr>
            </w:pPr>
            <w:r>
              <w:rPr>
                <w:rFonts w:ascii="Arial" w:cs="Arial" w:eastAsia="Arial" w:hAnsi="Arial"/>
                <w:sz w:val="18"/>
                <w:szCs w:val="18"/>
                <w:color w:val="auto"/>
              </w:rPr>
              <w:t>T. Rowe Price</w:t>
            </w: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2050 Fund</w:t>
            </w:r>
          </w:p>
        </w:tc>
      </w:tr>
      <w:tr>
        <w:trPr>
          <w:trHeight w:val="216"/>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2040 Fund</w:t>
            </w:r>
          </w:p>
        </w:tc>
      </w:tr>
      <w:tr>
        <w:trPr>
          <w:trHeight w:val="216"/>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2030 Fund</w:t>
            </w:r>
          </w:p>
        </w:tc>
      </w:tr>
      <w:tr>
        <w:trPr>
          <w:trHeight w:val="216"/>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2020 Fund</w:t>
            </w:r>
          </w:p>
        </w:tc>
      </w:tr>
      <w:tr>
        <w:trPr>
          <w:trHeight w:val="216"/>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2010 Fund</w:t>
            </w:r>
          </w:p>
        </w:tc>
      </w:tr>
      <w:tr>
        <w:trPr>
          <w:trHeight w:val="23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Retirement Income Fund</w:t>
            </w:r>
          </w:p>
        </w:tc>
      </w:tr>
      <w:tr>
        <w:trPr>
          <w:trHeight w:val="661"/>
        </w:trPr>
        <w:tc>
          <w:tcPr>
            <w:tcW w:w="2980" w:type="dxa"/>
            <w:vAlign w:val="bottom"/>
          </w:tcPr>
          <w:p>
            <w:pPr>
              <w:spacing w:after="0"/>
              <w:rPr>
                <w:sz w:val="20"/>
                <w:szCs w:val="20"/>
                <w:color w:val="auto"/>
              </w:rPr>
            </w:pPr>
            <w:r>
              <w:rPr>
                <w:rFonts w:ascii="Arial" w:cs="Arial" w:eastAsia="Arial" w:hAnsi="Arial"/>
                <w:sz w:val="18"/>
                <w:szCs w:val="18"/>
                <w:color w:val="auto"/>
              </w:rPr>
              <w:t>Participant loans*</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Collateralized  by  vested  account  balances,  payable  in</w:t>
            </w:r>
          </w:p>
        </w:tc>
      </w:tr>
      <w:tr>
        <w:trPr>
          <w:trHeight w:val="216"/>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monthly installments with interest rates ranging from</w:t>
            </w:r>
          </w:p>
        </w:tc>
      </w:tr>
      <w:tr>
        <w:trPr>
          <w:trHeight w:val="23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5.25% to 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-3738245</wp:posOffset>
            </wp:positionV>
            <wp:extent cx="59258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-3326765</wp:posOffset>
            </wp:positionV>
            <wp:extent cx="59258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-3052445</wp:posOffset>
            </wp:positionV>
            <wp:extent cx="59258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-2623820</wp:posOffset>
            </wp:positionV>
            <wp:extent cx="59258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-2348865</wp:posOffset>
            </wp:positionV>
            <wp:extent cx="59258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-2074545</wp:posOffset>
            </wp:positionV>
            <wp:extent cx="59258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25820" cy="27432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-1663065</wp:posOffset>
            </wp:positionV>
            <wp:extent cx="59258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-685165</wp:posOffset>
            </wp:positionV>
            <wp:extent cx="59258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17145</wp:posOffset>
            </wp:positionV>
            <wp:extent cx="59258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84"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party in interest.</w:t>
      </w:r>
    </w:p>
    <w:p>
      <w:pPr>
        <w:spacing w:after="0" w:line="200" w:lineRule="exact"/>
        <w:rPr>
          <w:sz w:val="20"/>
          <w:szCs w:val="20"/>
          <w:color w:val="auto"/>
        </w:rPr>
      </w:pPr>
    </w:p>
    <w:p>
      <w:pPr>
        <w:spacing w:after="0" w:line="39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35"/>
        <w:spacing w:after="0"/>
        <w:rPr>
          <w:sz w:val="20"/>
          <w:szCs w:val="20"/>
          <w:color w:val="auto"/>
        </w:rPr>
      </w:pPr>
      <w:r>
        <w:rPr>
          <w:rFonts w:ascii="Arial" w:cs="Arial" w:eastAsia="Arial" w:hAnsi="Arial"/>
          <w:sz w:val="18"/>
          <w:szCs w:val="18"/>
          <w:b w:val="1"/>
          <w:bCs w:val="1"/>
          <w:color w:val="auto"/>
        </w:rPr>
        <w:t>Current</w:t>
      </w:r>
    </w:p>
    <w:p>
      <w:pPr>
        <w:spacing w:after="0" w:line="27" w:lineRule="exact"/>
        <w:rPr>
          <w:sz w:val="20"/>
          <w:szCs w:val="20"/>
          <w:color w:val="auto"/>
        </w:rPr>
      </w:pPr>
    </w:p>
    <w:p>
      <w:pPr>
        <w:jc w:val="center"/>
        <w:ind w:right="635"/>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0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5"/>
          <w:szCs w:val="15"/>
          <w:color w:val="auto"/>
        </w:rPr>
        <w:t>41,227,863</w:t>
      </w:r>
    </w:p>
    <w:p>
      <w:pPr>
        <w:spacing w:after="0" w:line="200" w:lineRule="exact"/>
        <w:rPr>
          <w:sz w:val="20"/>
          <w:szCs w:val="20"/>
          <w:color w:val="auto"/>
        </w:rPr>
      </w:pPr>
    </w:p>
    <w:p>
      <w:pPr>
        <w:spacing w:after="0" w:line="276"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35,351,373</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4,679,768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04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40,031,141</w:t>
      </w:r>
    </w:p>
    <w:p>
      <w:pPr>
        <w:spacing w:after="0" w:line="200" w:lineRule="exact"/>
        <w:rPr>
          <w:sz w:val="20"/>
          <w:szCs w:val="20"/>
          <w:color w:val="auto"/>
        </w:rPr>
      </w:pPr>
    </w:p>
    <w:p>
      <w:pPr>
        <w:spacing w:after="0" w:line="241"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5,676,991</w:t>
      </w:r>
    </w:p>
    <w:p>
      <w:pPr>
        <w:spacing w:after="0" w:line="23"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5,829,687</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4,148,148</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4,995,692</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980,878</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6,341,571</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10,438,413</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794,533</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3,582,868</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3,874,798</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9,369,081</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2,224,920</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1,041,409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0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59,298,989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7,423,026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6" w:lineRule="exact"/>
        <w:rPr>
          <w:sz w:val="20"/>
          <w:szCs w:val="20"/>
          <w:color w:val="auto"/>
        </w:rPr>
      </w:pPr>
    </w:p>
    <w:p>
      <w:pPr>
        <w:ind w:left="324" w:hanging="324"/>
        <w:spacing w:after="0"/>
        <w:tabs>
          <w:tab w:leader="none" w:pos="324" w:val="left"/>
        </w:tabs>
        <w:numPr>
          <w:ilvl w:val="0"/>
          <w:numId w:val="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147,981,019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80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2">
            <w:col w:w="8040" w:space="316"/>
            <w:col w:w="1864"/>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308" w:lineRule="auto"/>
        <w:rPr>
          <w:sz w:val="20"/>
          <w:szCs w:val="20"/>
          <w:color w:val="auto"/>
        </w:rPr>
      </w:pPr>
      <w:r>
        <w:rPr>
          <w:rFonts w:ascii="Arial" w:cs="Arial" w:eastAsia="Arial" w:hAnsi="Arial"/>
          <w:sz w:val="17"/>
          <w:szCs w:val="17"/>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1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Universal Forest Products, Inc. Employee’s Profit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Sharing and 401(k) Retirement Plan</w:t>
      </w:r>
    </w:p>
    <w:p>
      <w:pPr>
        <w:spacing w:after="0" w:line="211" w:lineRule="exact"/>
        <w:rPr>
          <w:sz w:val="20"/>
          <w:szCs w:val="20"/>
          <w:color w:val="auto"/>
        </w:rPr>
      </w:pPr>
    </w:p>
    <w:p>
      <w:pPr>
        <w:ind w:left="340"/>
        <w:spacing w:after="0"/>
        <w:tabs>
          <w:tab w:leader="none" w:pos="5560" w:val="left"/>
        </w:tabs>
        <w:rPr>
          <w:sz w:val="20"/>
          <w:szCs w:val="20"/>
          <w:color w:val="auto"/>
        </w:rPr>
      </w:pPr>
      <w:r>
        <w:rPr>
          <w:rFonts w:ascii="Arial" w:cs="Arial" w:eastAsia="Arial" w:hAnsi="Arial"/>
          <w:sz w:val="18"/>
          <w:szCs w:val="18"/>
          <w:color w:val="auto"/>
        </w:rPr>
        <w:t>Date: June 23, 2010</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5984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Matthew J. Missad, Executive Vice President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Universal Forest Products, Inc., Plan Administrator</w:t>
      </w:r>
    </w:p>
    <w:p>
      <w:pPr>
        <w:spacing w:after="0" w:line="211" w:lineRule="exact"/>
        <w:rPr>
          <w:sz w:val="20"/>
          <w:szCs w:val="20"/>
          <w:color w:val="auto"/>
        </w:rPr>
      </w:pPr>
    </w:p>
    <w:p>
      <w:pPr>
        <w:ind w:left="340"/>
        <w:spacing w:after="0"/>
        <w:tabs>
          <w:tab w:leader="none" w:pos="5560" w:val="left"/>
        </w:tabs>
        <w:rPr>
          <w:sz w:val="20"/>
          <w:szCs w:val="20"/>
          <w:color w:val="auto"/>
        </w:rPr>
      </w:pPr>
      <w:r>
        <w:rPr>
          <w:rFonts w:ascii="Arial" w:cs="Arial" w:eastAsia="Arial" w:hAnsi="Arial"/>
          <w:sz w:val="18"/>
          <w:szCs w:val="18"/>
          <w:color w:val="auto"/>
        </w:rPr>
        <w:t>Date: June 23, 2010</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5984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Michael R. Cole, Chief Financial Officer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Universal Forest Products, Inc., Plan Administrator</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Table of Contents</w:t>
              </w:r>
            </w:hyperlink>
          </w:p>
        </w:tc>
        <w:tc>
          <w:tcPr>
            <w:tcW w:w="28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60" w:type="dxa"/>
            <w:vAlign w:val="bottom"/>
          </w:tcPr>
          <w:p>
            <w:pPr>
              <w:ind w:left="2540"/>
              <w:spacing w:after="0"/>
              <w:rPr>
                <w:sz w:val="20"/>
                <w:szCs w:val="20"/>
                <w:color w:val="auto"/>
              </w:rPr>
            </w:pPr>
            <w:r>
              <w:rPr>
                <w:rFonts w:ascii="Arial" w:cs="Arial" w:eastAsia="Arial" w:hAnsi="Arial"/>
                <w:sz w:val="18"/>
                <w:szCs w:val="18"/>
                <w:color w:val="auto"/>
              </w:rPr>
              <w:t>EXHIBIT INDEX</w:t>
            </w:r>
          </w:p>
        </w:tc>
      </w:tr>
      <w:tr>
        <w:trPr>
          <w:trHeight w:val="432"/>
        </w:trPr>
        <w:tc>
          <w:tcPr>
            <w:tcW w:w="340" w:type="dxa"/>
            <w:vAlign w:val="bottom"/>
          </w:tcPr>
          <w:p>
            <w:pPr>
              <w:spacing w:after="0"/>
              <w:rPr>
                <w:sz w:val="24"/>
                <w:szCs w:val="24"/>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4"/>
                <w:szCs w:val="24"/>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Consent of BDO Seidman, LLP</w:t>
            </w:r>
          </w:p>
        </w:tc>
      </w:tr>
    </w:tbl>
    <w:p>
      <w:pPr>
        <w:sectPr>
          <w:pgSz w:w="11900" w:h="16838" w:orient="portrait"/>
          <w:cols w:equalWidth="0" w:num="1">
            <w:col w:w="10219"/>
          </w:cols>
          <w:pgMar w:left="240" w:top="405" w:right="1440" w:bottom="1440" w:gutter="0" w:footer="0" w:header="0"/>
        </w:sectPr>
      </w:pPr>
    </w:p>
    <w:bookmarkStart w:id="17" w:name="page18"/>
    <w:bookmarkEnd w:id="17"/>
    <w:p>
      <w:pPr>
        <w:jc w:val="right"/>
        <w:ind w:right="559"/>
        <w:spacing w:after="0"/>
        <w:rPr>
          <w:sz w:val="20"/>
          <w:szCs w:val="20"/>
          <w:color w:val="auto"/>
        </w:rPr>
      </w:pPr>
      <w:r>
        <w:rPr>
          <w:rFonts w:ascii="Arial" w:cs="Arial" w:eastAsia="Arial" w:hAnsi="Arial"/>
          <w:sz w:val="18"/>
          <w:szCs w:val="18"/>
          <w:color w:val="auto"/>
        </w:rPr>
        <w:t>Exhibit 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 Employees’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Profit Sharing and 401(k) Retirement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7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(33-84632) of our report dated June 23,2010, relating to the financial statements and supplemental schedule of Universal Forest Products, Inc. Employees’ Profit Sharing and 401(k) Retirement Plan which appear in this Form 11-K.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June 23, 2010</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2019-12-10T11:46:21Z</dcterms:created>
  <dcterms:modified xsi:type="dcterms:W3CDTF">2019-12-10T11:46:21Z</dcterms:modified>
</cp:coreProperties>
</file>