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6992620" cy="5478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47814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WEBSTER PATRICK M</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2801 EAST BELTLINE 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UFP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UFPI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07/29/2022</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6"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16"/>
        <w:spacing w:after="0"/>
        <w:rPr>
          <w:sz w:val="20"/>
          <w:szCs w:val="20"/>
          <w:color w:val="auto"/>
        </w:rPr>
      </w:pPr>
      <w:r>
        <w:rPr>
          <w:rFonts w:ascii="Times New Roman" w:cs="Times New Roman" w:eastAsia="Times New Roman" w:hAnsi="Times New Roman"/>
          <w:sz w:val="17"/>
          <w:szCs w:val="17"/>
          <w:color w:val="0000FF"/>
        </w:rPr>
        <w:t>President and COO</w:t>
      </w:r>
    </w:p>
    <w:p>
      <w:pPr>
        <w:spacing w:after="0" w:line="330"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6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GRAND</w:t>
            </w: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0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w w:val="96"/>
              </w:rPr>
              <w:t>MI</w:t>
            </w:r>
          </w:p>
        </w:tc>
        <w:tc>
          <w:tcPr>
            <w:tcW w:w="980" w:type="dxa"/>
            <w:vAlign w:val="bottom"/>
          </w:tcPr>
          <w:p>
            <w:pPr>
              <w:spacing w:after="0"/>
              <w:rPr>
                <w:sz w:val="9"/>
                <w:szCs w:val="9"/>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49525</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RAPIDS</w:t>
            </w:r>
          </w:p>
        </w:tc>
        <w:tc>
          <w:tcPr>
            <w:tcW w:w="8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14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78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78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5"/>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3"/>
          </w:tcPr>
          <w:p>
            <w:pPr>
              <w:jc w:val="right"/>
              <w:ind w:right="281"/>
              <w:spacing w:after="0"/>
              <w:rPr>
                <w:sz w:val="20"/>
                <w:szCs w:val="20"/>
                <w:color w:val="auto"/>
              </w:rPr>
            </w:pPr>
            <w:r>
              <w:rPr>
                <w:rFonts w:ascii="Times New Roman" w:cs="Times New Roman" w:eastAsia="Times New Roman" w:hAnsi="Times New Roman"/>
                <w:sz w:val="17"/>
                <w:szCs w:val="17"/>
                <w:color w:val="0000FF"/>
              </w:rPr>
              <w:t>264,051</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Def.</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58,243</w:t>
            </w:r>
          </w:p>
        </w:tc>
        <w:tc>
          <w:tcPr>
            <w:tcW w:w="280" w:type="dxa"/>
            <w:vAlign w:val="bottom"/>
          </w:tcPr>
          <w:p>
            <w:pPr>
              <w:spacing w:after="0"/>
              <w:rPr>
                <w:sz w:val="18"/>
                <w:szCs w:val="18"/>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Comp</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Interest</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gridSpan w:val="2"/>
          </w:tcPr>
          <w:p>
            <w:pPr>
              <w:spacing w:after="0"/>
              <w:rPr>
                <w:sz w:val="8"/>
                <w:szCs w:val="8"/>
                <w:color w:val="auto"/>
              </w:rPr>
            </w:pPr>
          </w:p>
        </w:tc>
        <w:tc>
          <w:tcPr>
            <w:tcW w:w="17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5"/>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4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8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vMerge w:val="continue"/>
          </w:tcPr>
          <w:p>
            <w:pPr>
              <w:spacing w:after="0"/>
              <w:rPr>
                <w:sz w:val="5"/>
                <w:szCs w:val="5"/>
                <w:color w:val="auto"/>
              </w:rPr>
            </w:pPr>
          </w:p>
        </w:tc>
        <w:tc>
          <w:tcPr>
            <w:tcW w:w="980" w:type="dxa"/>
            <w:vAlign w:val="bottom"/>
            <w:vMerge w:val="restart"/>
          </w:tcPr>
          <w:p>
            <w:pPr>
              <w:ind w:left="200"/>
              <w:spacing w:after="0" w:line="144" w:lineRule="exact"/>
              <w:rPr>
                <w:sz w:val="20"/>
                <w:szCs w:val="20"/>
                <w:color w:val="auto"/>
              </w:rPr>
            </w:pPr>
            <w:r>
              <w:rPr>
                <w:rFonts w:ascii="Times New Roman" w:cs="Times New Roman" w:eastAsia="Times New Roman" w:hAnsi="Times New Roman"/>
                <w:sz w:val="13"/>
                <w:szCs w:val="13"/>
                <w:color w:val="0000FF"/>
              </w:rPr>
              <w:t>07/29/2022</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5"/>
                <w:szCs w:val="5"/>
                <w:color w:val="auto"/>
              </w:rPr>
            </w:pPr>
          </w:p>
        </w:tc>
        <w:tc>
          <w:tcPr>
            <w:tcW w:w="780" w:type="dxa"/>
            <w:vAlign w:val="bottom"/>
            <w:vMerge w:val="restart"/>
          </w:tcPr>
          <w:p>
            <w:pPr>
              <w:ind w:left="120"/>
              <w:spacing w:after="0" w:line="144" w:lineRule="exact"/>
              <w:rPr>
                <w:sz w:val="20"/>
                <w:szCs w:val="20"/>
                <w:color w:val="auto"/>
              </w:rPr>
            </w:pPr>
            <w:r>
              <w:rPr>
                <w:rFonts w:ascii="Times New Roman" w:cs="Times New Roman" w:eastAsia="Times New Roman" w:hAnsi="Times New Roman"/>
                <w:sz w:val="13"/>
                <w:szCs w:val="13"/>
                <w:color w:val="0000FF"/>
              </w:rPr>
              <w:t>15</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14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92.21</w:t>
            </w:r>
          </w:p>
        </w:tc>
        <w:tc>
          <w:tcPr>
            <w:tcW w:w="880" w:type="dxa"/>
            <w:vAlign w:val="bottom"/>
            <w:gridSpan w:val="2"/>
            <w:vMerge w:val="restart"/>
          </w:tcPr>
          <w:p>
            <w:pPr>
              <w:ind w:left="200"/>
              <w:spacing w:after="0" w:line="144" w:lineRule="exact"/>
              <w:rPr>
                <w:sz w:val="20"/>
                <w:szCs w:val="20"/>
                <w:color w:val="auto"/>
              </w:rPr>
            </w:pPr>
            <w:r>
              <w:rPr>
                <w:rFonts w:ascii="Times New Roman" w:cs="Times New Roman" w:eastAsia="Times New Roman" w:hAnsi="Times New Roman"/>
                <w:sz w:val="13"/>
                <w:szCs w:val="13"/>
                <w:color w:val="0000FF"/>
              </w:rPr>
              <w:t>123,128</w:t>
            </w: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 for 1</w:t>
      </w:r>
    </w:p>
    <w:p>
      <w:pPr>
        <w:spacing w:after="0" w:line="45" w:lineRule="exact"/>
        <w:rPr>
          <w:rFonts w:ascii="Times New Roman" w:cs="Times New Roman" w:eastAsia="Times New Roman" w:hAnsi="Times New Roman"/>
          <w:sz w:val="13"/>
          <w:szCs w:val="13"/>
          <w:color w:val="008000"/>
        </w:rPr>
      </w:pPr>
    </w:p>
    <w:p>
      <w:pPr>
        <w:ind w:left="40" w:right="74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were accrued under the Company's Deferred Compensation Plan and are payable in shares of the Company's common stock until the reporting person's death, disabiity or retirement.</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Katherine L. Karel, Attorney-</w:t>
            </w:r>
          </w:p>
        </w:tc>
        <w:tc>
          <w:tcPr>
            <w:tcW w:w="12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08/02/2022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14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in-Fact for Patrick M. Webster</w:t>
            </w:r>
          </w:p>
        </w:tc>
        <w:tc>
          <w:tcPr>
            <w:tcW w:w="6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40" w:type="dxa"/>
            <w:vAlign w:val="bottom"/>
            <w:gridSpan w:val="3"/>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6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20"/>
                <w:szCs w:val="20"/>
                <w:color w:val="auto"/>
              </w:rPr>
            </w:pPr>
          </w:p>
        </w:tc>
        <w:tc>
          <w:tcPr>
            <w:tcW w:w="860" w:type="dxa"/>
            <w:vAlign w:val="bottom"/>
            <w:gridSpan w:val="3"/>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ind w:left="620"/>
        <w:spacing w:after="0"/>
        <w:rPr>
          <w:sz w:val="20"/>
          <w:szCs w:val="20"/>
          <w:color w:val="auto"/>
        </w:rPr>
      </w:pPr>
      <w:r>
        <w:rPr>
          <w:rFonts w:ascii="Courier New" w:cs="Courier New" w:eastAsia="Courier New" w:hAnsi="Courier New"/>
          <w:sz w:val="17"/>
          <w:szCs w:val="17"/>
          <w:color w:val="auto"/>
        </w:rPr>
        <w:t>POWER OF ATTORNEY</w:t>
      </w:r>
    </w:p>
    <w:p>
      <w:pPr>
        <w:spacing w:after="0" w:line="198" w:lineRule="exact"/>
        <w:rPr>
          <w:sz w:val="20"/>
          <w:szCs w:val="20"/>
          <w:color w:val="auto"/>
        </w:rPr>
      </w:pPr>
    </w:p>
    <w:p>
      <w:pPr>
        <w:ind w:right="1959"/>
        <w:spacing w:after="0" w:line="301" w:lineRule="auto"/>
        <w:rPr>
          <w:sz w:val="20"/>
          <w:szCs w:val="20"/>
          <w:color w:val="auto"/>
        </w:rPr>
      </w:pPr>
      <w:r>
        <w:rPr>
          <w:rFonts w:ascii="Courier New" w:cs="Courier New" w:eastAsia="Courier New" w:hAnsi="Courier New"/>
          <w:sz w:val="17"/>
          <w:szCs w:val="17"/>
          <w:color w:val="auto"/>
        </w:rPr>
        <w:t>KNOW ALL PERSONS BY THESE PRESENTS, that the undersigned hereby constitutes and appoints David A. Tutas, Katherine L. Karel, and Michael G. Wooldridge, or any of them, the undersigned's true and lawful attorney-in-fact to:</w:t>
      </w:r>
    </w:p>
    <w:p>
      <w:pPr>
        <w:spacing w:after="0" w:line="57" w:lineRule="exact"/>
        <w:rPr>
          <w:sz w:val="20"/>
          <w:szCs w:val="20"/>
          <w:color w:val="auto"/>
        </w:rPr>
      </w:pPr>
    </w:p>
    <w:p>
      <w:pPr>
        <w:ind w:right="1559" w:firstLine="4"/>
        <w:spacing w:after="0" w:line="278" w:lineRule="auto"/>
        <w:tabs>
          <w:tab w:leader="none" w:pos="81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UFP Industries, Inc. (the "Company"), Forms 3,</w:t>
      </w:r>
    </w:p>
    <w:p>
      <w:pPr>
        <w:spacing w:after="0" w:line="1" w:lineRule="exact"/>
        <w:rPr>
          <w:rFonts w:ascii="Courier New" w:cs="Courier New" w:eastAsia="Courier New" w:hAnsi="Courier New"/>
          <w:sz w:val="16"/>
          <w:szCs w:val="16"/>
          <w:color w:val="auto"/>
        </w:rPr>
      </w:pPr>
    </w:p>
    <w:p>
      <w:pPr>
        <w:ind w:right="1859"/>
        <w:spacing w:after="0" w:line="321"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4, and 5 in accordance with Section 16(a) of the Securities Exchange Act of 1934 and the rules thereunder;</w:t>
      </w:r>
    </w:p>
    <w:p>
      <w:pPr>
        <w:spacing w:after="0" w:line="41" w:lineRule="exact"/>
        <w:rPr>
          <w:rFonts w:ascii="Courier New" w:cs="Courier New" w:eastAsia="Courier New" w:hAnsi="Courier New"/>
          <w:sz w:val="16"/>
          <w:szCs w:val="16"/>
          <w:color w:val="auto"/>
        </w:rPr>
      </w:pPr>
    </w:p>
    <w:p>
      <w:pPr>
        <w:ind w:right="1659" w:firstLine="4"/>
        <w:spacing w:after="0" w:line="282" w:lineRule="auto"/>
        <w:tabs>
          <w:tab w:leader="none" w:pos="81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to complete and execute any such Form 4 or 5 and timely file such form with the United States Securities and Exchange Commission and any stock exchange or similar authority; and</w:t>
      </w:r>
    </w:p>
    <w:p>
      <w:pPr>
        <w:spacing w:after="0" w:line="72" w:lineRule="exact"/>
        <w:rPr>
          <w:rFonts w:ascii="Courier New" w:cs="Courier New" w:eastAsia="Courier New" w:hAnsi="Courier New"/>
          <w:sz w:val="17"/>
          <w:szCs w:val="17"/>
          <w:color w:val="auto"/>
        </w:rPr>
      </w:pPr>
    </w:p>
    <w:p>
      <w:pPr>
        <w:ind w:right="1859" w:firstLine="4"/>
        <w:spacing w:after="0" w:line="262" w:lineRule="auto"/>
        <w:tabs>
          <w:tab w:leader="none" w:pos="81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2" w:lineRule="exact"/>
        <w:rPr>
          <w:sz w:val="20"/>
          <w:szCs w:val="20"/>
          <w:color w:val="auto"/>
        </w:rPr>
      </w:pPr>
    </w:p>
    <w:p>
      <w:pPr>
        <w:ind w:right="1859"/>
        <w:spacing w:after="0" w:line="255"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95" w:lineRule="exact"/>
        <w:rPr>
          <w:sz w:val="20"/>
          <w:szCs w:val="20"/>
          <w:color w:val="auto"/>
        </w:rPr>
      </w:pPr>
    </w:p>
    <w:p>
      <w:pPr>
        <w:ind w:right="1959"/>
        <w:spacing w:after="0" w:line="27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1" w:lineRule="exact"/>
        <w:rPr>
          <w:sz w:val="20"/>
          <w:szCs w:val="20"/>
          <w:color w:val="auto"/>
        </w:rPr>
      </w:pPr>
    </w:p>
    <w:p>
      <w:pPr>
        <w:ind w:right="2379"/>
        <w:spacing w:after="0" w:line="32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20th day of July 2022. /s/ Patrick M. Webster</w:t>
      </w:r>
    </w:p>
    <w:p>
      <w:pPr>
        <w:spacing w:after="0" w:line="267"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CONFIRMING STATEMENT</w:t>
      </w:r>
    </w:p>
    <w:p>
      <w:pPr>
        <w:spacing w:after="0" w:line="198" w:lineRule="exact"/>
        <w:rPr>
          <w:sz w:val="20"/>
          <w:szCs w:val="20"/>
          <w:color w:val="auto"/>
        </w:rPr>
      </w:pPr>
    </w:p>
    <w:p>
      <w:pPr>
        <w:ind w:right="1859"/>
        <w:spacing w:after="0" w:line="252" w:lineRule="auto"/>
        <w:rPr>
          <w:sz w:val="20"/>
          <w:szCs w:val="20"/>
          <w:color w:val="auto"/>
        </w:rPr>
      </w:pPr>
      <w:r>
        <w:rPr>
          <w:rFonts w:ascii="Courier New" w:cs="Courier New" w:eastAsia="Courier New" w:hAnsi="Courier New"/>
          <w:sz w:val="17"/>
          <w:szCs w:val="17"/>
          <w:color w:val="auto"/>
        </w:rPr>
        <w:t>This Statement confirms that the undersigned has authorized and designated David A. Tutas, Katherine L. Karel, and Michael G. Wooldridge, or either of them, 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UFP Industries, Inc. The authority of David A. Tutas, Katherine L. Karel, and Michael G. Wooldridge under this Statement shall continue until the undersigned is no longer required to file Forms 3, 4, and 5 with regard to the undersigned's ownership of or transactions in securities of UFP Industries, Inc., unless earlier revoked in writing. The undersigned acknowledges that David A. Tutas, Katherine L. Karel, and Michael G. Wooldridge are not assuming, nor is UFP Industries, Inc. assuming, any of the undersigned's responsibilities to comply with Section 16 of the Securities Exchange Act of 1934.</w:t>
      </w:r>
    </w:p>
    <w:p>
      <w:pPr>
        <w:spacing w:after="0" w:line="1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Patrick M. Webster</w:t>
      </w:r>
    </w:p>
    <w:p>
      <w:pPr>
        <w:sectPr>
          <w:pgSz w:w="11900" w:h="16838" w:orient="portrait"/>
          <w:cols w:equalWidth="0" w:num="1">
            <w:col w:w="9999"/>
          </w:cols>
          <w:pgMar w:left="460" w:top="112" w:right="1440" w:bottom="1440" w:gutter="0" w:footer="0" w:header="0"/>
        </w:sectPr>
      </w:pPr>
    </w:p>
    <w:p>
      <w:pPr>
        <w:spacing w:after="0" w:line="198" w:lineRule="exact"/>
        <w:rPr>
          <w:sz w:val="20"/>
          <w:szCs w:val="20"/>
          <w:color w:val="auto"/>
        </w:rPr>
      </w:pPr>
    </w:p>
    <w:p>
      <w:pPr>
        <w:ind w:right="1200"/>
        <w:spacing w:after="0" w:line="358" w:lineRule="auto"/>
        <w:rPr>
          <w:sz w:val="20"/>
          <w:szCs w:val="20"/>
          <w:color w:val="auto"/>
        </w:rPr>
      </w:pPr>
      <w:r>
        <w:rPr>
          <w:rFonts w:ascii="Courier New" w:cs="Courier New" w:eastAsia="Courier New" w:hAnsi="Courier New"/>
          <w:sz w:val="17"/>
          <w:szCs w:val="17"/>
          <w:color w:val="auto"/>
        </w:rPr>
        <w:t>Dated: July 20, 2022 Securities/ag-power-edgar.doc</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2">
        <w:col w:w="4160" w:space="720"/>
        <w:col w:w="5119"/>
      </w:cols>
      <w:pgMar w:left="460" w:top="1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05589"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2022-08-02T13:42:59Z</dcterms:created>
  <dcterms:modified xsi:type="dcterms:W3CDTF">2022-08-02T13:42:59Z</dcterms:modified>
</cp:coreProperties>
</file>