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5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5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-238125</wp:posOffset>
            </wp:positionV>
            <wp:extent cx="124460" cy="12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76200</wp:posOffset>
            </wp:positionV>
            <wp:extent cx="124460" cy="124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3 Holdings Reported.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102235</wp:posOffset>
            </wp:positionV>
            <wp:extent cx="124460" cy="124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4 Transactions Reported.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-403860</wp:posOffset>
            </wp:positionV>
            <wp:extent cx="124460" cy="12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0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05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5277485</wp:posOffset>
            </wp:positionH>
            <wp:positionV relativeFrom="paragraph">
              <wp:posOffset>-634365</wp:posOffset>
            </wp:positionV>
            <wp:extent cx="58420" cy="6477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4000500</wp:posOffset>
            </wp:positionH>
            <wp:positionV relativeFrom="paragraph">
              <wp:posOffset>-634365</wp:posOffset>
            </wp:positionV>
            <wp:extent cx="58420" cy="6477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center"/>
        <w:ind w:right="2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746760</wp:posOffset>
            </wp:positionV>
            <wp:extent cx="7045960" cy="47028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02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7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5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Guerre Robert Paul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AVE NE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6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Statement for Issuer's Fiscal Year Ended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Sec, Dir of Corp Compliance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12/27/2025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254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92.83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20" w:firstLine="4"/>
        <w:spacing w:after="0" w:line="260" w:lineRule="auto"/>
        <w:tabs>
          <w:tab w:leader="none" w:pos="171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upon the reporting person's death, disability, or retirement.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02/02/2026</w:t>
            </w:r>
          </w:p>
        </w:tc>
      </w:tr>
      <w:tr>
        <w:trPr>
          <w:trHeight w:val="231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00" w:firstLine="4"/>
        <w:spacing w:after="0" w:line="314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hyperlink" Target="http://www.sec.gov/cgi-bin/browse-edgar?action=getcompany&amp;CIK=0002058079" TargetMode="External"/><Relationship Id="rId16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2026-02-02T11:13:58Z</dcterms:created>
  <dcterms:modified xsi:type="dcterms:W3CDTF">2026-02-02T11:13:58Z</dcterms:modified>
</cp:coreProperties>
</file>