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April 21, 2022</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2" w:lineRule="exact"/>
        <w:rPr>
          <w:sz w:val="24"/>
          <w:szCs w:val="24"/>
          <w:color w:val="auto"/>
        </w:rPr>
      </w:pPr>
    </w:p>
    <w:tbl>
      <w:tblPr>
        <w:tblLayout w:type="fixed"/>
        <w:tblInd w:w="440" w:type="dxa"/>
        <w:tblCellMar>
          <w:top w:w="0" w:type="dxa"/>
          <w:left w:w="0" w:type="dxa"/>
          <w:bottom w:w="0" w:type="dxa"/>
          <w:right w:w="0" w:type="dxa"/>
        </w:tblCellMar>
      </w:tblPr>
      <w:tr>
        <w:trPr>
          <w:trHeight w:val="219"/>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1"/>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left="60" w:right="79"/>
        <w:spacing w:after="0" w:line="319"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jc w:val="both"/>
        <w:ind w:left="60" w:right="439"/>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588010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47625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81915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 w:name="page2"/>
    <w:bookmarkEnd w:id="1"/>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8"/>
          <w:szCs w:val="18"/>
          <w:b w:val="1"/>
          <w:bCs w:val="1"/>
          <w:color w:val="auto"/>
        </w:rPr>
        <w:t>Results of Operations and Financial Condition</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On April 21, 2022, the Registrant issued a press release announcing its financial results for the quarter-ended March 26, 2022. A copy of the Registrant’s press release is attached as Exhibit 99(a) to this Current Report.</w:t>
      </w:r>
    </w:p>
    <w:p>
      <w:pPr>
        <w:spacing w:after="0" w:line="158" w:lineRule="exact"/>
        <w:rPr>
          <w:sz w:val="20"/>
          <w:szCs w:val="20"/>
          <w:color w:val="auto"/>
        </w:rPr>
      </w:pPr>
    </w:p>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Pro Forma Financial Information, and Exhibits</w:t>
      </w:r>
    </w:p>
    <w:p>
      <w:pPr>
        <w:spacing w:after="0" w:line="324" w:lineRule="exact"/>
        <w:rPr>
          <w:sz w:val="20"/>
          <w:szCs w:val="20"/>
          <w:color w:val="auto"/>
        </w:rPr>
      </w:pPr>
    </w:p>
    <w:p>
      <w:pPr>
        <w:ind w:left="1280" w:hanging="582"/>
        <w:spacing w:after="0"/>
        <w:tabs>
          <w:tab w:leader="none" w:pos="1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9" w:lineRule="exact"/>
        <w:rPr>
          <w:sz w:val="20"/>
          <w:szCs w:val="20"/>
          <w:color w:val="auto"/>
        </w:rPr>
      </w:pPr>
    </w:p>
    <w:p>
      <w:pPr>
        <w:ind w:left="700"/>
        <w:spacing w:after="0"/>
        <w:tabs>
          <w:tab w:leader="none" w:pos="1260" w:val="left"/>
        </w:tabs>
        <w:rPr>
          <w:sz w:val="20"/>
          <w:szCs w:val="20"/>
          <w:color w:val="auto"/>
        </w:rPr>
      </w:pPr>
      <w:r>
        <w:rPr>
          <w:rFonts w:ascii="Times New Roman" w:cs="Times New Roman" w:eastAsia="Times New Roman" w:hAnsi="Times New Roman"/>
          <w:sz w:val="18"/>
          <w:szCs w:val="18"/>
          <w:color w:val="auto"/>
        </w:rPr>
        <w:t>99(a)</w:t>
      </w:r>
      <w:r>
        <w:rPr>
          <w:sz w:val="20"/>
          <w:szCs w:val="20"/>
          <w:color w:val="auto"/>
        </w:rPr>
        <w:tab/>
      </w:r>
      <w:r>
        <w:rPr>
          <w:rFonts w:ascii="Times New Roman" w:cs="Times New Roman" w:eastAsia="Times New Roman" w:hAnsi="Times New Roman"/>
          <w:sz w:val="18"/>
          <w:szCs w:val="18"/>
          <w:u w:val="single" w:color="auto"/>
          <w:color w:val="0000EE"/>
        </w:rPr>
        <w:t>Press Release dated April 21, 2022</w:t>
      </w:r>
    </w:p>
    <w:p>
      <w:pPr>
        <w:spacing w:after="0" w:line="225" w:lineRule="exact"/>
        <w:rPr>
          <w:sz w:val="20"/>
          <w:szCs w:val="20"/>
          <w:color w:val="auto"/>
        </w:rPr>
      </w:pPr>
    </w:p>
    <w:p>
      <w:pPr>
        <w:ind w:left="1280" w:hanging="582"/>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File (the cover page XBRL tags are embedded 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 w:name="page3"/>
    <w:bookmarkEnd w:id="2"/>
    <w:tbl>
      <w:tblPr>
        <w:tblLayout w:type="fixed"/>
        <w:tblInd w:w="4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1"/>
        </w:trPr>
        <w:tc>
          <w:tcPr>
            <w:tcW w:w="1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00" w:type="dxa"/>
            <w:vAlign w:val="bottom"/>
          </w:tcPr>
          <w:p>
            <w:pPr>
              <w:spacing w:after="0"/>
              <w:rPr>
                <w:sz w:val="24"/>
                <w:szCs w:val="24"/>
                <w:color w:val="auto"/>
              </w:rPr>
            </w:pPr>
          </w:p>
        </w:tc>
        <w:tc>
          <w:tcPr>
            <w:tcW w:w="1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Borders>
              <w:top w:val="single" w:sz="8" w:color="auto"/>
              <w:bottom w:val="single" w:sz="8" w:color="auto"/>
            </w:tcBorders>
            <w:gridSpan w:val="2"/>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r>
      <w:tr>
        <w:trPr>
          <w:trHeight w:val="290"/>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99(a)</w:t>
            </w:r>
          </w:p>
        </w:tc>
        <w:tc>
          <w:tcPr>
            <w:tcW w:w="26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April 21, 2022.</w:t>
            </w:r>
          </w:p>
        </w:tc>
        <w:tc>
          <w:tcPr>
            <w:tcW w:w="4480" w:type="dxa"/>
            <w:vAlign w:val="bottom"/>
            <w:gridSpan w:val="2"/>
          </w:tcPr>
          <w:p>
            <w:pPr>
              <w:spacing w:after="0"/>
              <w:rPr>
                <w:sz w:val="24"/>
                <w:szCs w:val="24"/>
                <w:color w:val="auto"/>
              </w:rPr>
            </w:pPr>
          </w:p>
        </w:tc>
      </w:tr>
      <w:tr>
        <w:trPr>
          <w:trHeight w:val="340"/>
        </w:trPr>
        <w:tc>
          <w:tcPr>
            <w:tcW w:w="1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40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w:t>
            </w:r>
          </w:p>
        </w:tc>
      </w:tr>
      <w:tr>
        <w:trPr>
          <w:trHeight w:val="234"/>
        </w:trPr>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07"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left="60" w:right="7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48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UNIVERSAL FOREST PRODUCTS, INC.</w:t>
            </w:r>
          </w:p>
        </w:tc>
      </w:tr>
      <w:tr>
        <w:trPr>
          <w:trHeight w:val="256"/>
        </w:trPr>
        <w:tc>
          <w:tcPr>
            <w:tcW w:w="296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31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(Registrant)</w:t>
            </w:r>
          </w:p>
        </w:tc>
      </w:tr>
      <w:tr>
        <w:trPr>
          <w:trHeight w:val="513"/>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Dated: April 21, 2022</w:t>
            </w:r>
          </w:p>
        </w:tc>
        <w:tc>
          <w:tcPr>
            <w:tcW w:w="482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rPr>
              <w:t>By:  /s/ Michael R. Cole</w:t>
            </w:r>
          </w:p>
        </w:tc>
      </w:tr>
      <w:tr>
        <w:trPr>
          <w:trHeight w:val="40"/>
        </w:trPr>
        <w:tc>
          <w:tcPr>
            <w:tcW w:w="2960" w:type="dxa"/>
            <w:vAlign w:val="bottom"/>
          </w:tcPr>
          <w:p>
            <w:pPr>
              <w:spacing w:after="0"/>
              <w:rPr>
                <w:sz w:val="3"/>
                <w:szCs w:val="3"/>
                <w:color w:val="auto"/>
              </w:rPr>
            </w:pPr>
          </w:p>
        </w:tc>
        <w:tc>
          <w:tcPr>
            <w:tcW w:w="172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r>
      <w:tr>
        <w:trPr>
          <w:trHeight w:val="218"/>
        </w:trPr>
        <w:tc>
          <w:tcPr>
            <w:tcW w:w="29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r>
      <w:tr>
        <w:trPr>
          <w:trHeight w:val="234"/>
        </w:trPr>
        <w:tc>
          <w:tcPr>
            <w:tcW w:w="29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Principal Financial Officer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16"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142875</wp:posOffset>
            </wp:positionV>
            <wp:extent cx="649795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5143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156845</wp:posOffset>
            </wp:positionV>
            <wp:extent cx="2632075" cy="4540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320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9"/>
          <w:szCs w:val="29"/>
          <w:b w:val="1"/>
          <w:bCs w:val="1"/>
          <w:color w:val="auto"/>
        </w:rPr>
        <w:t>News release</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---------------AT THE COMPANY---------------</w:t>
      </w:r>
    </w:p>
    <w:p>
      <w:pPr>
        <w:spacing w:after="0" w:line="2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Dick Gauthier</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VP, Communications and Investor Relations</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(616) 365-1555</w:t>
      </w:r>
    </w:p>
    <w:p>
      <w:pPr>
        <w:spacing w:after="0" w:line="1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0"/>
          <w:szCs w:val="20"/>
          <w:b w:val="1"/>
          <w:bCs w:val="1"/>
          <w:color w:val="auto"/>
        </w:rPr>
        <w:t>Thursday, April 21, 2022</w:t>
      </w:r>
    </w:p>
    <w:p>
      <w:pPr>
        <w:spacing w:after="0" w:line="200" w:lineRule="exact"/>
        <w:rPr>
          <w:sz w:val="20"/>
          <w:szCs w:val="20"/>
          <w:color w:val="auto"/>
        </w:rPr>
      </w:pPr>
    </w:p>
    <w:p>
      <w:pPr>
        <w:spacing w:after="0" w:line="25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UFP Industries Reports Record First Quarter Results</w:t>
      </w:r>
    </w:p>
    <w:p>
      <w:pPr>
        <w:spacing w:after="0" w:line="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Strong sales growth and continued execution results in year-over-year increases in diluted EPS of 80 percent and quarterly</w:t>
      </w:r>
    </w:p>
    <w:p>
      <w:pPr>
        <w:spacing w:after="0" w:line="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dividend of 67 percent</w:t>
      </w:r>
    </w:p>
    <w:p>
      <w:pPr>
        <w:spacing w:after="0" w:line="261" w:lineRule="exact"/>
        <w:rPr>
          <w:sz w:val="20"/>
          <w:szCs w:val="20"/>
          <w:color w:val="auto"/>
        </w:rPr>
      </w:pPr>
    </w:p>
    <w:p>
      <w:pPr>
        <w:ind w:left="320" w:right="260"/>
        <w:spacing w:after="0" w:line="383" w:lineRule="auto"/>
        <w:rPr>
          <w:sz w:val="20"/>
          <w:szCs w:val="20"/>
          <w:color w:val="auto"/>
        </w:rPr>
      </w:pPr>
      <w:r>
        <w:rPr>
          <w:rFonts w:ascii="Times New Roman" w:cs="Times New Roman" w:eastAsia="Times New Roman" w:hAnsi="Times New Roman"/>
          <w:sz w:val="18"/>
          <w:szCs w:val="18"/>
          <w:color w:val="auto"/>
        </w:rPr>
        <w:t>GRAND RAPIDS, Mich., Thursday, April 21, 2022 – UFP Industries, Inc. (Nasdaq: UFPI) today announced record net sales of $2.49 billion and net earnings of $190 million for the first quarter of 2022. The company also reported record earnings per diluted share of $3.00, an 80 percent increase over the first quarter of 2021.</w:t>
      </w:r>
    </w:p>
    <w:p>
      <w:pPr>
        <w:spacing w:after="0" w:line="184" w:lineRule="exact"/>
        <w:rPr>
          <w:sz w:val="20"/>
          <w:szCs w:val="20"/>
          <w:color w:val="auto"/>
        </w:rPr>
      </w:pPr>
    </w:p>
    <w:p>
      <w:pPr>
        <w:ind w:left="320" w:right="80"/>
        <w:spacing w:after="0" w:line="378" w:lineRule="auto"/>
        <w:rPr>
          <w:sz w:val="20"/>
          <w:szCs w:val="20"/>
          <w:color w:val="auto"/>
        </w:rPr>
      </w:pPr>
      <w:r>
        <w:rPr>
          <w:rFonts w:ascii="Times New Roman" w:cs="Times New Roman" w:eastAsia="Times New Roman" w:hAnsi="Times New Roman"/>
          <w:sz w:val="18"/>
          <w:szCs w:val="18"/>
          <w:color w:val="auto"/>
        </w:rPr>
        <w:t>“We cannot give enough credit to the entire UFP team for the significant progress they have made to add more value to our products and services to better serve our customers. Our long streak of record-breaking results is evidence of their hard work and success,” said CEO Matthew J. Missad. “Our impressive results also demonstrate the advantage of our balanced business model, which operates in diverse markets, positioning us for success even when some markets face uncertainty and challenges. The company’s reorganization in 2020 has given us a deeper level of focus and expertise in our diverse markets. We are increasingly the supplier of choice because we are unmatched in providing the value-added products and services businesses need to lower their costs and reduce their labor needs. We remain optimistic as this transformation is still underway and will continue to benefit our customers and company in the years to come.”</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2022 Highlights (comparisons on a year-over-year basis):</w:t>
      </w:r>
    </w:p>
    <w:p>
      <w:pPr>
        <w:spacing w:after="0" w:line="229" w:lineRule="exact"/>
        <w:rPr>
          <w:sz w:val="20"/>
          <w:szCs w:val="20"/>
          <w:color w:val="auto"/>
        </w:rPr>
      </w:pPr>
    </w:p>
    <w:p>
      <w:pPr>
        <w:ind w:left="960" w:right="60" w:hanging="322"/>
        <w:spacing w:after="0" w:line="375"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$2.49 billion increased 36 percent due to a 26 percent increase in lumber prices, a 3 percent increase in organic unit sales, and a 7 percent increase in unit sales from acquisitions.</w:t>
      </w:r>
    </w:p>
    <w:p>
      <w:pPr>
        <w:spacing w:after="0" w:line="1" w:lineRule="exact"/>
        <w:rPr>
          <w:rFonts w:ascii="Times New Roman" w:cs="Times New Roman" w:eastAsia="Times New Roman" w:hAnsi="Times New Roman"/>
          <w:sz w:val="18"/>
          <w:szCs w:val="18"/>
          <w:color w:val="auto"/>
        </w:rPr>
      </w:pPr>
    </w:p>
    <w:p>
      <w:pPr>
        <w:ind w:left="960" w:hanging="322"/>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from operations of $259 million increased 88 percent. Acquisitions contributed $10 million to earnings.</w:t>
      </w:r>
    </w:p>
    <w:p>
      <w:pPr>
        <w:spacing w:after="0" w:line="117" w:lineRule="exact"/>
        <w:rPr>
          <w:rFonts w:ascii="Times New Roman" w:cs="Times New Roman" w:eastAsia="Times New Roman" w:hAnsi="Times New Roman"/>
          <w:sz w:val="18"/>
          <w:szCs w:val="18"/>
          <w:color w:val="auto"/>
        </w:rPr>
      </w:pPr>
    </w:p>
    <w:p>
      <w:pPr>
        <w:ind w:left="960" w:right="180" w:hanging="322"/>
        <w:spacing w:after="0" w:line="375"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SG&amp;A of $70 million, or 47 percent, is largely attributable to increases in bonus and sales incentive compensation expenses ($46 million) resulting from increased profitability, increases in wages and benefits ($10 million), and recent acquisitions ($5 million). SG&amp;A as a percentage of gross profit fell from 52 percent to 46 percent.</w:t>
      </w:r>
    </w:p>
    <w:p>
      <w:pPr>
        <w:spacing w:after="0" w:line="1" w:lineRule="exact"/>
        <w:rPr>
          <w:rFonts w:ascii="Times New Roman" w:cs="Times New Roman" w:eastAsia="Times New Roman" w:hAnsi="Times New Roman"/>
          <w:sz w:val="18"/>
          <w:szCs w:val="18"/>
          <w:color w:val="auto"/>
        </w:rPr>
      </w:pPr>
    </w:p>
    <w:p>
      <w:pPr>
        <w:ind w:left="960" w:right="20" w:hanging="322"/>
        <w:spacing w:after="0" w:line="375"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sales of $151 million increased 58 percent. This does not include new products sales of $80 million during the first quarter of 2021 that no longer meet our criteria of being a new product.</w:t>
      </w:r>
    </w:p>
    <w:p>
      <w:pPr>
        <w:spacing w:after="0" w:line="1" w:lineRule="exact"/>
        <w:rPr>
          <w:rFonts w:ascii="Times New Roman" w:cs="Times New Roman" w:eastAsia="Times New Roman" w:hAnsi="Times New Roman"/>
          <w:sz w:val="18"/>
          <w:szCs w:val="18"/>
          <w:color w:val="auto"/>
        </w:rPr>
      </w:pPr>
    </w:p>
    <w:p>
      <w:pPr>
        <w:ind w:left="960" w:right="120" w:hanging="322"/>
        <w:spacing w:after="0" w:line="407"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$292.2 million increased 80 percent, and adjusted EBITDA margin improved by 280 basis points to 11.7 percent. Acquisitions contributed $12 million to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285750</wp:posOffset>
            </wp:positionV>
            <wp:extent cx="649795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20"/>
          </w:cols>
          <w:pgMar w:left="840" w:top="117" w:right="8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2</w:t>
      </w:r>
    </w:p>
    <w:p>
      <w:pPr>
        <w:spacing w:after="0" w:line="261" w:lineRule="exact"/>
        <w:rPr>
          <w:sz w:val="20"/>
          <w:szCs w:val="20"/>
          <w:color w:val="auto"/>
        </w:rPr>
      </w:pPr>
    </w:p>
    <w:p>
      <w:pPr>
        <w:ind w:left="320" w:right="300"/>
        <w:spacing w:after="0" w:line="407" w:lineRule="auto"/>
        <w:rPr>
          <w:sz w:val="20"/>
          <w:szCs w:val="20"/>
          <w:color w:val="auto"/>
        </w:rPr>
      </w:pPr>
      <w:r>
        <w:rPr>
          <w:rFonts w:ascii="Times New Roman" w:cs="Times New Roman" w:eastAsia="Times New Roman" w:hAnsi="Times New Roman"/>
          <w:sz w:val="18"/>
          <w:szCs w:val="18"/>
          <w:color w:val="auto"/>
        </w:rPr>
        <w:t>UFP Industries maintains a strong balance sheet, with $445 million of liquidity at the end of March 2022. The company’s diversified approach to capital allocation includes the following:</w:t>
      </w:r>
    </w:p>
    <w:p>
      <w:pPr>
        <w:spacing w:after="0" w:line="148" w:lineRule="exact"/>
        <w:rPr>
          <w:sz w:val="20"/>
          <w:szCs w:val="20"/>
          <w:color w:val="auto"/>
        </w:rPr>
      </w:pPr>
    </w:p>
    <w:p>
      <w:pPr>
        <w:ind w:left="1000" w:hanging="321"/>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targeted $175-225 million for capital expenditures in 2022, an increase over the $151 million spent in 2021.</w:t>
      </w:r>
    </w:p>
    <w:p>
      <w:pPr>
        <w:spacing w:after="0" w:line="117" w:lineRule="exact"/>
        <w:rPr>
          <w:rFonts w:ascii="Times New Roman" w:cs="Times New Roman" w:eastAsia="Times New Roman" w:hAnsi="Times New Roman"/>
          <w:sz w:val="18"/>
          <w:szCs w:val="18"/>
          <w:color w:val="auto"/>
        </w:rPr>
      </w:pPr>
    </w:p>
    <w:p>
      <w:pPr>
        <w:ind w:left="1000" w:right="40" w:hanging="321"/>
        <w:spacing w:after="0" w:line="375"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the Board of Directors of UFP Industries authorized an increase in the company’s share repurchase program of up to 2.6 million shares, and the company purchased approximately 800,000 shares at an average price of $77.53 in March and April 2022 under its 10b51 share repurchase plan.</w:t>
      </w:r>
    </w:p>
    <w:p>
      <w:pPr>
        <w:spacing w:after="0" w:line="1" w:lineRule="exact"/>
        <w:rPr>
          <w:rFonts w:ascii="Times New Roman" w:cs="Times New Roman" w:eastAsia="Times New Roman" w:hAnsi="Times New Roman"/>
          <w:sz w:val="18"/>
          <w:szCs w:val="18"/>
          <w:color w:val="auto"/>
        </w:rPr>
      </w:pPr>
    </w:p>
    <w:p>
      <w:pPr>
        <w:ind w:left="1000" w:right="400" w:hanging="321"/>
        <w:spacing w:after="0" w:line="375"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20, 2022, the Board approved an increase in its quarterly dividend payment to $0.25 per share, an increase of 25 percent over the dividend paid on March 15, 2022, and 67 percent higher than the dividend paid on June 15, 2021. The dividend is payable on June 15, 2022, to shareholders of record on June 1, 2022.</w:t>
      </w:r>
    </w:p>
    <w:p>
      <w:pPr>
        <w:spacing w:after="0" w:line="1" w:lineRule="exact"/>
        <w:rPr>
          <w:rFonts w:ascii="Times New Roman" w:cs="Times New Roman" w:eastAsia="Times New Roman" w:hAnsi="Times New Roman"/>
          <w:sz w:val="18"/>
          <w:szCs w:val="18"/>
          <w:color w:val="auto"/>
        </w:rPr>
      </w:pPr>
    </w:p>
    <w:p>
      <w:pPr>
        <w:ind w:left="1000" w:right="240" w:hanging="321"/>
        <w:spacing w:after="0" w:line="407"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seek opportunities to invest in companies that represent a strong strategic fit and allow it to drive new growth, enhance its capabilities, and create more value for its customers and shareholders.</w:t>
      </w:r>
    </w:p>
    <w:p>
      <w:pPr>
        <w:spacing w:after="0" w:line="162" w:lineRule="exact"/>
        <w:rPr>
          <w:sz w:val="20"/>
          <w:szCs w:val="20"/>
          <w:color w:val="auto"/>
        </w:rPr>
      </w:pPr>
    </w:p>
    <w:p>
      <w:pPr>
        <w:ind w:left="320" w:right="20"/>
        <w:spacing w:after="0" w:line="386" w:lineRule="auto"/>
        <w:rPr>
          <w:sz w:val="20"/>
          <w:szCs w:val="20"/>
          <w:color w:val="auto"/>
        </w:rPr>
      </w:pPr>
      <w:r>
        <w:rPr>
          <w:rFonts w:ascii="Times New Roman" w:cs="Times New Roman" w:eastAsia="Times New Roman" w:hAnsi="Times New Roman"/>
          <w:sz w:val="18"/>
          <w:szCs w:val="18"/>
          <w:color w:val="auto"/>
        </w:rPr>
        <w:t>“We continue to invest in and build upon the successful transformation of UFP Industries into a value-added solutions provider to our customers, which has led to impressive operating results and returns on investment,” added Missad. “We’ll continue to invest our capital wisely for long-term growth and focus on opportunities that generate attractive returns. We anticipate continuing to use cash for share buybacks, as we think UFP Industries is a great investment, while also rewarding shareholders with increased dividends.”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By business segment, the company reported the following first quarter 2022 results:</w:t>
      </w:r>
    </w:p>
    <w:p>
      <w:pPr>
        <w:spacing w:after="0" w:line="3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UFP Retail Solutions</w:t>
      </w:r>
    </w:p>
    <w:p>
      <w:pPr>
        <w:spacing w:after="0" w:line="337" w:lineRule="exact"/>
        <w:rPr>
          <w:sz w:val="20"/>
          <w:szCs w:val="20"/>
          <w:color w:val="auto"/>
        </w:rPr>
      </w:pPr>
    </w:p>
    <w:p>
      <w:pPr>
        <w:ind w:left="320"/>
        <w:spacing w:after="0" w:line="381" w:lineRule="auto"/>
        <w:rPr>
          <w:sz w:val="20"/>
          <w:szCs w:val="20"/>
          <w:color w:val="auto"/>
        </w:rPr>
      </w:pPr>
      <w:r>
        <w:rPr>
          <w:rFonts w:ascii="Times New Roman" w:cs="Times New Roman" w:eastAsia="Times New Roman" w:hAnsi="Times New Roman"/>
          <w:sz w:val="18"/>
          <w:szCs w:val="18"/>
          <w:color w:val="auto"/>
        </w:rPr>
        <w:t>$993 million in net sales, up 31 percent over the first quarter of 2021 due to a 19 percent increase in selling prices, a 14 percent increase in unit sales from the acquisitions of Sunbelt Forest Products and Spartanburg Forest Products, and a 2 percent decline in organic unit sales. The company transferred certain concrete forming products from the retail segment to the construction segment during the quarter, which accounted for a 3 percent decline in organic unit sales.</w:t>
      </w:r>
    </w:p>
    <w:p>
      <w:pPr>
        <w:spacing w:after="0" w:line="184" w:lineRule="exact"/>
        <w:rPr>
          <w:sz w:val="20"/>
          <w:szCs w:val="20"/>
          <w:color w:val="auto"/>
        </w:rPr>
      </w:pPr>
    </w:p>
    <w:p>
      <w:pPr>
        <w:ind w:left="320" w:right="40"/>
        <w:spacing w:after="0" w:line="379" w:lineRule="auto"/>
        <w:rPr>
          <w:sz w:val="20"/>
          <w:szCs w:val="20"/>
          <w:color w:val="auto"/>
        </w:rPr>
      </w:pPr>
      <w:r>
        <w:rPr>
          <w:rFonts w:ascii="Times New Roman" w:cs="Times New Roman" w:eastAsia="Times New Roman" w:hAnsi="Times New Roman"/>
          <w:sz w:val="18"/>
          <w:szCs w:val="18"/>
          <w:color w:val="auto"/>
        </w:rPr>
        <w:t>An organic unit sales decline in several product lines is largely attributable to the return to more normal consumer buying habits in 2022 after the unusually high pandemic-related sales of pressure-treated lumber in the first quarter of 2021. Organic unit sales fell 7 percent for Deckorators, primarily because of a 13 percent drop in sales of decking accessories, while composite decking sales rose 5 percent. Organic unit sales also fell 2 percent for both Outdoor Essentials and ProWood but were up 7 percent for UFP-Edge due to expanded capacity and market share gains.</w:t>
      </w:r>
    </w:p>
    <w:p>
      <w:pPr>
        <w:spacing w:after="0" w:line="188" w:lineRule="exact"/>
        <w:rPr>
          <w:sz w:val="20"/>
          <w:szCs w:val="20"/>
          <w:color w:val="auto"/>
        </w:rPr>
      </w:pPr>
    </w:p>
    <w:p>
      <w:pPr>
        <w:ind w:left="320" w:right="20"/>
        <w:spacing w:after="0" w:line="407" w:lineRule="auto"/>
        <w:rPr>
          <w:sz w:val="20"/>
          <w:szCs w:val="20"/>
          <w:color w:val="auto"/>
        </w:rPr>
      </w:pPr>
      <w:r>
        <w:rPr>
          <w:rFonts w:ascii="Times New Roman" w:cs="Times New Roman" w:eastAsia="Times New Roman" w:hAnsi="Times New Roman"/>
          <w:sz w:val="18"/>
          <w:szCs w:val="18"/>
          <w:color w:val="auto"/>
        </w:rPr>
        <w:t>Gross profit for the retail segment rose 34 percent to $134 million, primarily due to acquisitions and increased sales of UFP-Edge. Gross profit margin rose to 13.5 percent in 2022 from 13.2 percent in 2021.</w:t>
      </w:r>
    </w:p>
    <w:p>
      <w:pPr>
        <w:spacing w:after="0" w:line="15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UFP Industrial</w:t>
      </w:r>
    </w:p>
    <w:p>
      <w:pPr>
        <w:spacing w:after="0" w:line="337" w:lineRule="exact"/>
        <w:rPr>
          <w:sz w:val="20"/>
          <w:szCs w:val="20"/>
          <w:color w:val="auto"/>
        </w:rPr>
      </w:pPr>
    </w:p>
    <w:p>
      <w:pPr>
        <w:ind w:left="320" w:right="80"/>
        <w:spacing w:after="0" w:line="381" w:lineRule="auto"/>
        <w:rPr>
          <w:sz w:val="20"/>
          <w:szCs w:val="20"/>
          <w:color w:val="auto"/>
        </w:rPr>
      </w:pPr>
      <w:r>
        <w:rPr>
          <w:rFonts w:ascii="Times New Roman" w:cs="Times New Roman" w:eastAsia="Times New Roman" w:hAnsi="Times New Roman"/>
          <w:sz w:val="18"/>
          <w:szCs w:val="18"/>
          <w:color w:val="auto"/>
        </w:rPr>
        <w:t>$611 million in net sales, up 36 percent from the first quarter of 2021 due to a 39 percent increase in selling prices, a 1 percent increase in unit sales from acquisitions, and a 4 percent decline in organic unit growth. The organic unit sales decline is attributable to an intentional change in product mix, as the segment focuses more on higher-margin products while being more selective in taking on new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299720</wp:posOffset>
            </wp:positionV>
            <wp:extent cx="649795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160"/>
          </w:cols>
          <w:pgMar w:left="840" w:top="509" w:right="8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3</w:t>
      </w:r>
    </w:p>
    <w:p>
      <w:pPr>
        <w:spacing w:after="0" w:line="261" w:lineRule="exact"/>
        <w:rPr>
          <w:sz w:val="20"/>
          <w:szCs w:val="20"/>
          <w:color w:val="auto"/>
        </w:rPr>
      </w:pPr>
    </w:p>
    <w:p>
      <w:pPr>
        <w:ind w:left="320" w:right="220"/>
        <w:spacing w:after="0" w:line="407" w:lineRule="auto"/>
        <w:rPr>
          <w:sz w:val="20"/>
          <w:szCs w:val="20"/>
          <w:color w:val="auto"/>
        </w:rPr>
      </w:pPr>
      <w:r>
        <w:rPr>
          <w:rFonts w:ascii="Times New Roman" w:cs="Times New Roman" w:eastAsia="Times New Roman" w:hAnsi="Times New Roman"/>
          <w:sz w:val="18"/>
          <w:szCs w:val="18"/>
          <w:color w:val="auto"/>
        </w:rPr>
        <w:t>Gross profit rose 87 percent to $150 million, primarily due to better pricing discipline that includes the impact of higher lumber, labor and transportation costs, and the value the company provides to customers.</w:t>
      </w:r>
    </w:p>
    <w:p>
      <w:pPr>
        <w:spacing w:after="0" w:line="1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UFP Construction</w:t>
      </w:r>
    </w:p>
    <w:p>
      <w:pPr>
        <w:spacing w:after="0" w:line="337" w:lineRule="exact"/>
        <w:rPr>
          <w:sz w:val="20"/>
          <w:szCs w:val="20"/>
          <w:color w:val="auto"/>
        </w:rPr>
      </w:pPr>
    </w:p>
    <w:p>
      <w:pPr>
        <w:ind w:left="320" w:right="20"/>
        <w:spacing w:after="0" w:line="386" w:lineRule="auto"/>
        <w:rPr>
          <w:sz w:val="20"/>
          <w:szCs w:val="20"/>
          <w:color w:val="auto"/>
        </w:rPr>
      </w:pPr>
      <w:r>
        <w:rPr>
          <w:rFonts w:ascii="Times New Roman" w:cs="Times New Roman" w:eastAsia="Times New Roman" w:hAnsi="Times New Roman"/>
          <w:sz w:val="18"/>
          <w:szCs w:val="18"/>
          <w:color w:val="auto"/>
        </w:rPr>
        <w:t>$786 million in net sales, up 41 percent over the first quarter of 2021, due to a 26 percent increase in selling prices, an 11 percent increase in organic unit growth, 3 percent growth from the transfer of certain concrete forming products from retail, and a 1 percent increase in unit sales from acquisitions. Unit sales increased to these markets: commercial (up 30 percent), manufactured housing (up 16 percent), concrete forming (up 13 percent), and residential (up 2 percent).</w:t>
      </w:r>
    </w:p>
    <w:p>
      <w:pPr>
        <w:spacing w:after="0" w:line="180" w:lineRule="exact"/>
        <w:rPr>
          <w:sz w:val="20"/>
          <w:szCs w:val="20"/>
          <w:color w:val="auto"/>
        </w:rPr>
      </w:pPr>
    </w:p>
    <w:p>
      <w:pPr>
        <w:ind w:left="320" w:right="60"/>
        <w:spacing w:after="0" w:line="407" w:lineRule="auto"/>
        <w:rPr>
          <w:sz w:val="20"/>
          <w:szCs w:val="20"/>
          <w:color w:val="auto"/>
        </w:rPr>
      </w:pPr>
      <w:r>
        <w:rPr>
          <w:rFonts w:ascii="Times New Roman" w:cs="Times New Roman" w:eastAsia="Times New Roman" w:hAnsi="Times New Roman"/>
          <w:sz w:val="18"/>
          <w:szCs w:val="18"/>
          <w:color w:val="auto"/>
        </w:rPr>
        <w:t>Gross profit increased 83 percent to $161 million in the first quarter, due to increased unit sales, the company’s ability to better leverage fixed costs, and better pricing discipline.</w:t>
      </w:r>
    </w:p>
    <w:p>
      <w:pPr>
        <w:spacing w:after="0" w:line="148" w:lineRule="exact"/>
        <w:rPr>
          <w:sz w:val="20"/>
          <w:szCs w:val="20"/>
          <w:color w:val="auto"/>
        </w:rPr>
      </w:pPr>
    </w:p>
    <w:p>
      <w:pPr>
        <w:ind w:left="320" w:right="220"/>
        <w:spacing w:after="0" w:line="391" w:lineRule="auto"/>
        <w:rPr>
          <w:sz w:val="20"/>
          <w:szCs w:val="20"/>
          <w:color w:val="auto"/>
        </w:rPr>
      </w:pPr>
      <w:r>
        <w:rPr>
          <w:rFonts w:ascii="Times New Roman" w:cs="Times New Roman" w:eastAsia="Times New Roman" w:hAnsi="Times New Roman"/>
          <w:sz w:val="18"/>
          <w:szCs w:val="18"/>
          <w:color w:val="auto"/>
        </w:rPr>
        <w:t>More than 75 percent of the company’s residential construction sales were in areas such as Texas and the Mid-Atlantic, Southeast and Mountain West regions, which have experienced significant population growth and are forecast to continue to grow. As such, our customers are better insulated from downturns in the housing market.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337" w:lineRule="exact"/>
        <w:rPr>
          <w:sz w:val="20"/>
          <w:szCs w:val="20"/>
          <w:color w:val="auto"/>
        </w:rPr>
      </w:pPr>
    </w:p>
    <w:p>
      <w:pPr>
        <w:ind w:left="320"/>
        <w:spacing w:after="0" w:line="379" w:lineRule="auto"/>
        <w:rPr>
          <w:sz w:val="20"/>
          <w:szCs w:val="20"/>
          <w:color w:val="auto"/>
        </w:rPr>
      </w:pPr>
      <w:r>
        <w:rPr>
          <w:rFonts w:ascii="Times New Roman" w:cs="Times New Roman" w:eastAsia="Times New Roman" w:hAnsi="Times New Roman"/>
          <w:sz w:val="18"/>
          <w:szCs w:val="18"/>
          <w:color w:val="auto"/>
        </w:rPr>
        <w:t>UFP Industries will conduct a conference call to discuss information included in this news release and related matters at 4:30 p.m. ET on Thursday, April 21, 2022. The call will be hosted by CEO Matthew J. Missad and CFO Michael Cole, and will be available for analysts and institutional investors domestically at 866-518-4547 and internationally at 213-660-0879. Use conference pass code 4287318. The conference call will be available simultaneously and in its entirety to all interested investors and news media through a webcast at http://www.ufpi.com. A replay of the call will be available through April 23, 2022, at 855-859-2056 or 404-537-3406.</w:t>
      </w:r>
    </w:p>
    <w:p>
      <w:pPr>
        <w:spacing w:after="0" w:line="1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37" w:lineRule="exact"/>
        <w:rPr>
          <w:sz w:val="20"/>
          <w:szCs w:val="20"/>
          <w:color w:val="auto"/>
        </w:rPr>
      </w:pPr>
    </w:p>
    <w:p>
      <w:pPr>
        <w:ind w:left="320"/>
        <w:spacing w:after="0" w:line="381" w:lineRule="auto"/>
        <w:rPr>
          <w:sz w:val="20"/>
          <w:szCs w:val="20"/>
          <w:color w:val="auto"/>
        </w:rPr>
      </w:pPr>
      <w:r>
        <w:rPr>
          <w:rFonts w:ascii="Times New Roman" w:cs="Times New Roman" w:eastAsia="Times New Roman" w:hAnsi="Times New Roman"/>
          <w:sz w:val="18"/>
          <w:szCs w:val="18"/>
          <w:color w:val="auto"/>
        </w:rPr>
        <w:t>UFP Industries is a holding company whose operating subsidiaries – UFP Industrial, UFP Construction and UFP Retail Solutions – manufacture, distribute and sell a wide variety of value-added products used in residential and commercial construction, packaging and other industrial applications worldwide. Founded in 1955, the company is headquartered in Grand Rapids, Mich., with affiliates in North America, Europe, Asia and Australia. For more about UFP Industries, go to www.ufpi.com.</w:t>
      </w:r>
    </w:p>
    <w:p>
      <w:pPr>
        <w:spacing w:after="0" w:line="70" w:lineRule="exact"/>
        <w:rPr>
          <w:sz w:val="20"/>
          <w:szCs w:val="20"/>
          <w:color w:val="auto"/>
        </w:rPr>
      </w:pPr>
    </w:p>
    <w:p>
      <w:pPr>
        <w:ind w:left="320" w:right="60"/>
        <w:spacing w:after="0" w:line="390" w:lineRule="auto"/>
        <w:rPr>
          <w:sz w:val="20"/>
          <w:szCs w:val="20"/>
          <w:color w:val="auto"/>
        </w:rPr>
      </w:pPr>
      <w:r>
        <w:rPr>
          <w:rFonts w:ascii="Times New Roman" w:cs="Times New Roman" w:eastAsia="Times New Roman" w:hAnsi="Times New Roman"/>
          <w:sz w:val="14"/>
          <w:szCs w:val="14"/>
          <w:i w:val="1"/>
          <w:iCs w:val="1"/>
          <w:color w:val="auto"/>
        </w:rPr>
        <w:t>This press release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694690</wp:posOffset>
            </wp:positionV>
            <wp:extent cx="6497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160"/>
          </w:cols>
          <w:pgMar w:left="840" w:top="509" w:right="8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Page 4</w:t>
      </w:r>
    </w:p>
    <w:p>
      <w:pPr>
        <w:spacing w:after="0" w:line="2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Non-GAAP Financial Information</w:t>
      </w:r>
    </w:p>
    <w:p>
      <w:pPr>
        <w:spacing w:after="0" w:line="204" w:lineRule="exact"/>
        <w:rPr>
          <w:sz w:val="20"/>
          <w:szCs w:val="20"/>
          <w:color w:val="auto"/>
        </w:rPr>
      </w:pPr>
    </w:p>
    <w:p>
      <w:pPr>
        <w:ind w:left="320"/>
        <w:spacing w:after="0" w:line="404" w:lineRule="auto"/>
        <w:rPr>
          <w:sz w:val="20"/>
          <w:szCs w:val="20"/>
          <w:color w:val="auto"/>
        </w:rPr>
      </w:pPr>
      <w:r>
        <w:rPr>
          <w:rFonts w:ascii="Times New Roman" w:cs="Times New Roman" w:eastAsia="Times New Roman" w:hAnsi="Times New Roman"/>
          <w:sz w:val="14"/>
          <w:szCs w:val="14"/>
          <w:i w:val="1"/>
          <w:iCs w:val="1"/>
          <w:color w:val="auto"/>
        </w:rPr>
        <w:t>This release includes certain financial information not prepared in accordance with U.S. GAAP. Because not all companies calculate non-GAAP financial information identically (or at all), the presentations herein may not be comparable to other similarly titled measures used by other companies. Management considers Adjusted EBITDA, a non-GAAP measure, an alternative performance measure which may provide useful information to investors.</w:t>
      </w:r>
    </w:p>
    <w:p>
      <w:pPr>
        <w:spacing w:after="0" w:line="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Net earnings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i w:val="1"/>
          <w:iCs w:val="1"/>
          <w:color w:val="auto"/>
        </w:rPr>
        <w:t>Net earnings refers to net earnings attributable to controlling interest unless specifically noted.</w:t>
      </w:r>
    </w:p>
    <w:p>
      <w:pPr>
        <w:spacing w:after="0" w:line="2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805815</wp:posOffset>
            </wp:positionV>
            <wp:extent cx="649795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9900"/>
          </w:cols>
          <w:pgMar w:left="840" w:top="509" w:right="1159" w:bottom="1440" w:gutter="0" w:footer="0" w:header="0"/>
        </w:sectPr>
      </w:pPr>
    </w:p>
    <w:bookmarkStart w:id="8" w:name="page9"/>
    <w:bookmarkEnd w:id="8"/>
    <w:p>
      <w:pPr>
        <w:ind w:left="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AND COMPREHENSIVE INCOME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2022/2021</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1600" w:type="dxa"/>
            <w:vAlign w:val="bottom"/>
            <w:tcBorders>
              <w:top w:val="single" w:sz="8" w:color="auto"/>
              <w:left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3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right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3240" w:type="dxa"/>
            <w:vAlign w:val="bottom"/>
            <w:tcBorders>
              <w:top w:val="single" w:sz="8" w:color="auto"/>
              <w:bottom w:val="single" w:sz="8" w:color="auto"/>
            </w:tcBorders>
            <w:gridSpan w:val="11"/>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Quarter Period and Year to Date</w:t>
            </w:r>
          </w:p>
        </w:tc>
        <w:tc>
          <w:tcPr>
            <w:tcW w:w="78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500" w:type="dxa"/>
            <w:vAlign w:val="bottom"/>
            <w:tcBorders>
              <w:left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2021</w:t>
            </w:r>
          </w:p>
        </w:tc>
        <w:tc>
          <w:tcPr>
            <w:tcW w:w="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tcBorders>
              <w:left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5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2,489,313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right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1,825,004</w:t>
            </w: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5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2,010,950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220" w:type="dxa"/>
            <w:vAlign w:val="bottom"/>
            <w:tcBorders>
              <w:right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1,538,450</w:t>
            </w: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84.3</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5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478,363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286,554</w:t>
            </w: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 ADMINISTRATIVE EXPENSES</w:t>
            </w:r>
          </w:p>
        </w:tc>
        <w:tc>
          <w:tcPr>
            <w:tcW w:w="5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220,150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2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150,098</w:t>
            </w: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OTHER (GAINS) LOSSES, NET</w:t>
            </w:r>
          </w:p>
        </w:tc>
        <w:tc>
          <w:tcPr>
            <w:tcW w:w="5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(812)</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(1,031)</w:t>
            </w:r>
          </w:p>
        </w:tc>
        <w:tc>
          <w:tcPr>
            <w:tcW w:w="78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96"/>
        </w:trPr>
        <w:tc>
          <w:tcPr>
            <w:tcW w:w="1600" w:type="dxa"/>
            <w:vAlign w:val="bottom"/>
            <w:tcBorders>
              <w:top w:val="single" w:sz="8" w:color="CCEEFF"/>
              <w:lef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FROM OPERATIONS</w:t>
            </w:r>
          </w:p>
        </w:tc>
        <w:tc>
          <w:tcPr>
            <w:tcW w:w="5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259,025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2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137,487</w:t>
            </w:r>
          </w:p>
        </w:tc>
        <w:tc>
          <w:tcPr>
            <w:tcW w:w="160" w:type="dxa"/>
            <w:vAlign w:val="bottom"/>
          </w:tcPr>
          <w:p>
            <w:pPr>
              <w:spacing w:after="0"/>
              <w:rPr>
                <w:sz w:val="17"/>
                <w:szCs w:val="17"/>
                <w:color w:val="auto"/>
              </w:rPr>
            </w:pPr>
          </w:p>
        </w:tc>
        <w:tc>
          <w:tcPr>
            <w:tcW w:w="78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OTHER INTEREST AND EXPENSE, NET</w:t>
            </w:r>
          </w:p>
        </w:tc>
        <w:tc>
          <w:tcPr>
            <w:tcW w:w="5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4,910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Borders>
              <w:bottom w:val="single" w:sz="8" w:color="CCEEFF"/>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BEFORE INCOME TAXES</w:t>
            </w:r>
          </w:p>
        </w:tc>
        <w:tc>
          <w:tcPr>
            <w:tcW w:w="5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254,115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136,002</w:t>
            </w:r>
          </w:p>
        </w:tc>
        <w:tc>
          <w:tcPr>
            <w:tcW w:w="160" w:type="dxa"/>
            <w:vAlign w:val="bottom"/>
          </w:tcPr>
          <w:p>
            <w:pPr>
              <w:spacing w:after="0"/>
              <w:rPr>
                <w:sz w:val="17"/>
                <w:szCs w:val="17"/>
                <w:color w:val="auto"/>
              </w:rPr>
            </w:pPr>
          </w:p>
        </w:tc>
        <w:tc>
          <w:tcPr>
            <w:tcW w:w="78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58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right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60,984</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Borders>
              <w:bottom w:val="single" w:sz="8" w:color="CCEEFF"/>
              <w:right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31,751</w:t>
            </w: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196"/>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w:t>
            </w:r>
          </w:p>
        </w:tc>
        <w:tc>
          <w:tcPr>
            <w:tcW w:w="5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193,131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2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104,251</w:t>
            </w:r>
          </w:p>
        </w:tc>
        <w:tc>
          <w:tcPr>
            <w:tcW w:w="160" w:type="dxa"/>
            <w:vAlign w:val="bottom"/>
          </w:tcPr>
          <w:p>
            <w:pPr>
              <w:spacing w:after="0"/>
              <w:rPr>
                <w:sz w:val="17"/>
                <w:szCs w:val="17"/>
                <w:color w:val="auto"/>
              </w:rPr>
            </w:pPr>
          </w:p>
        </w:tc>
        <w:tc>
          <w:tcPr>
            <w:tcW w:w="78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1820" w:type="dxa"/>
            <w:vAlign w:val="bottom"/>
            <w:tcBorders>
              <w:right w:val="single" w:sz="8" w:color="auto"/>
            </w:tcBorders>
            <w:gridSpan w:val="3"/>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tcBorders>
              <w:right w:val="single" w:sz="8" w:color="auto"/>
            </w:tcBorders>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Borders>
              <w:left w:val="single" w:sz="8" w:color="auto"/>
              <w:right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LESS NET EARNINGS ATTRIBUTABLE TO NONCONTROLLING INTEREST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(3,428)</w:t>
            </w:r>
          </w:p>
        </w:tc>
        <w:tc>
          <w:tcPr>
            <w:tcW w:w="140" w:type="dxa"/>
            <w:vAlign w:val="bottom"/>
          </w:tcPr>
          <w:p>
            <w:pPr>
              <w:spacing w:after="0"/>
              <w:rPr>
                <w:sz w:val="17"/>
                <w:szCs w:val="17"/>
                <w:color w:val="auto"/>
              </w:rPr>
            </w:pPr>
          </w:p>
        </w:tc>
        <w:tc>
          <w:tcPr>
            <w:tcW w:w="660" w:type="dxa"/>
            <w:vAlign w:val="bottom"/>
            <w:tcBorders>
              <w:right w:val="single" w:sz="8" w:color="auto"/>
            </w:tcBorders>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tcPr>
          <w:p>
            <w:pPr>
              <w:spacing w:after="0"/>
              <w:rPr>
                <w:sz w:val="17"/>
                <w:szCs w:val="17"/>
                <w:color w:val="auto"/>
              </w:rPr>
            </w:pP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(940)</w:t>
            </w:r>
          </w:p>
        </w:tc>
        <w:tc>
          <w:tcPr>
            <w:tcW w:w="780" w:type="dxa"/>
            <w:vAlign w:val="bottom"/>
            <w:tcBorders>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196"/>
        </w:trPr>
        <w:tc>
          <w:tcPr>
            <w:tcW w:w="1600" w:type="dxa"/>
            <w:vAlign w:val="bottom"/>
            <w:tcBorders>
              <w:top w:val="single" w:sz="8" w:color="CCEEFF"/>
              <w:lef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80" w:type="dxa"/>
            <w:vAlign w:val="bottom"/>
            <w:tcBorders>
              <w:left w:val="single" w:sz="8" w:color="auto"/>
              <w:bottom w:val="single" w:sz="8" w:color="CCEEFF"/>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ATTRIBUTABLE TO CONTROLLING INTEREST</w:t>
            </w:r>
          </w:p>
        </w:tc>
        <w:tc>
          <w:tcPr>
            <w:tcW w:w="880" w:type="dxa"/>
            <w:vAlign w:val="bottom"/>
            <w:tcBorders>
              <w:bottom w:val="single" w:sz="8" w:color="CCEEFF"/>
              <w:right w:val="single" w:sz="8" w:color="auto"/>
            </w:tcBorders>
          </w:tcPr>
          <w:p>
            <w:pPr>
              <w:spacing w:after="0"/>
              <w:rPr>
                <w:sz w:val="21"/>
                <w:szCs w:val="21"/>
                <w:color w:val="auto"/>
              </w:rPr>
            </w:pPr>
          </w:p>
        </w:tc>
        <w:tc>
          <w:tcPr>
            <w:tcW w:w="26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189,703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220" w:type="dxa"/>
            <w:vAlign w:val="bottom"/>
            <w:tcBorders>
              <w:bottom w:val="single" w:sz="8" w:color="CCEEFF"/>
              <w:right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103,311</w:t>
            </w:r>
          </w:p>
        </w:tc>
        <w:tc>
          <w:tcPr>
            <w:tcW w:w="16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320" w:type="dxa"/>
            <w:vAlign w:val="bottom"/>
            <w:tcBorders>
              <w:righ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tcBorders>
              <w:right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BASIC</w:t>
            </w:r>
          </w:p>
        </w:tc>
        <w:tc>
          <w:tcPr>
            <w:tcW w:w="5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SHARE - DILUTED</w:t>
            </w:r>
          </w:p>
        </w:tc>
        <w:tc>
          <w:tcPr>
            <w:tcW w:w="5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580" w:type="dxa"/>
            <w:vAlign w:val="bottom"/>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196,315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102,055</w:t>
            </w:r>
          </w:p>
        </w:tc>
        <w:tc>
          <w:tcPr>
            <w:tcW w:w="160" w:type="dxa"/>
            <w:vAlign w:val="bottom"/>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tcBorders>
              <w:right w:val="single" w:sz="8" w:color="CCEEFF"/>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tcBorders>
              <w:right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50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LESS COMPREHENSIVE INCOME ATTRIBUTABLE TO</w:t>
            </w:r>
          </w:p>
        </w:tc>
        <w:tc>
          <w:tcPr>
            <w:tcW w:w="5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500" w:type="dxa"/>
            <w:vAlign w:val="bottom"/>
            <w:tcBorders>
              <w:left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 INTEREST</w:t>
            </w:r>
          </w:p>
        </w:tc>
        <w:tc>
          <w:tcPr>
            <w:tcW w:w="5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(4,377)</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4"/>
          </w:tcPr>
          <w:p>
            <w:pPr>
              <w:jc w:val="right"/>
              <w:ind w:right="140"/>
              <w:spacing w:after="0"/>
              <w:rPr>
                <w:sz w:val="20"/>
                <w:szCs w:val="20"/>
                <w:color w:val="auto"/>
              </w:rPr>
            </w:pPr>
            <w:r>
              <w:rPr>
                <w:rFonts w:ascii="Times New Roman" w:cs="Times New Roman" w:eastAsia="Times New Roman" w:hAnsi="Times New Roman"/>
                <w:sz w:val="16"/>
                <w:szCs w:val="16"/>
                <w:color w:val="auto"/>
              </w:rPr>
              <w:t>(414)</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1600" w:type="dxa"/>
            <w:vAlign w:val="bottom"/>
            <w:tcBorders>
              <w:top w:val="single" w:sz="8" w:color="CCEEFF"/>
              <w:lef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320" w:type="dxa"/>
            <w:vAlign w:val="bottom"/>
            <w:tcBorders>
              <w:top w:val="single" w:sz="8" w:color="CCEEFF"/>
              <w:right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right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080" w:type="dxa"/>
            <w:vAlign w:val="bottom"/>
            <w:tcBorders>
              <w:left w:val="single" w:sz="8" w:color="auto"/>
            </w:tcBorders>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ATTRIBUTABLE TO CONTROLLING</w:t>
            </w:r>
          </w:p>
        </w:tc>
        <w:tc>
          <w:tcPr>
            <w:tcW w:w="880" w:type="dxa"/>
            <w:vAlign w:val="bottom"/>
            <w:tcBorders>
              <w:right w:val="single" w:sz="8" w:color="auto"/>
            </w:tcBorders>
          </w:tcPr>
          <w:p>
            <w:pPr>
              <w:spacing w:after="0"/>
              <w:rPr>
                <w:sz w:val="16"/>
                <w:szCs w:val="16"/>
                <w:color w:val="auto"/>
              </w:rPr>
            </w:pPr>
          </w:p>
        </w:tc>
        <w:tc>
          <w:tcPr>
            <w:tcW w:w="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191,938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101,641</w:t>
            </w:r>
          </w:p>
        </w:tc>
        <w:tc>
          <w:tcPr>
            <w:tcW w:w="160" w:type="dxa"/>
            <w:vAlign w:val="bottom"/>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500" w:type="dxa"/>
            <w:vAlign w:val="bottom"/>
            <w:tcBorders>
              <w:left w:val="single" w:sz="8" w:color="auto"/>
              <w:bottom w:val="single" w:sz="8" w:color="CCEEFF"/>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58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right w:val="single" w:sz="8" w:color="auto"/>
            </w:tcBorders>
          </w:tcPr>
          <w:p>
            <w:pPr>
              <w:spacing w:after="0"/>
              <w:rPr>
                <w:sz w:val="21"/>
                <w:szCs w:val="21"/>
                <w:color w:val="auto"/>
              </w:rPr>
            </w:pPr>
          </w:p>
        </w:tc>
        <w:tc>
          <w:tcPr>
            <w:tcW w:w="260" w:type="dxa"/>
            <w:vAlign w:val="bottom"/>
            <w:tcBorders>
              <w:bottom w:val="single" w:sz="8" w:color="auto"/>
            </w:tcBorders>
            <w:gridSpan w:val="2"/>
            <w:vMerge w:val="continue"/>
          </w:tcPr>
          <w:p>
            <w:pPr>
              <w:spacing w:after="0"/>
              <w:rPr>
                <w:sz w:val="21"/>
                <w:szCs w:val="21"/>
                <w:color w:val="auto"/>
              </w:rPr>
            </w:pPr>
          </w:p>
        </w:tc>
        <w:tc>
          <w:tcPr>
            <w:tcW w:w="940" w:type="dxa"/>
            <w:vAlign w:val="bottom"/>
            <w:tcBorders>
              <w:bottom w:val="single" w:sz="8" w:color="auto"/>
            </w:tcBorders>
            <w:gridSpan w:val="2"/>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right w:val="single" w:sz="8" w:color="auto"/>
            </w:tcBorders>
          </w:tcPr>
          <w:p>
            <w:pPr>
              <w:spacing w:after="0"/>
              <w:rPr>
                <w:sz w:val="21"/>
                <w:szCs w:val="21"/>
                <w:color w:val="auto"/>
              </w:rPr>
            </w:pPr>
          </w:p>
        </w:tc>
        <w:tc>
          <w:tcPr>
            <w:tcW w:w="140" w:type="dxa"/>
            <w:vAlign w:val="bottom"/>
            <w:tcBorders>
              <w:bottom w:val="single" w:sz="8" w:color="auto"/>
            </w:tcBorders>
            <w:vMerge w:val="continue"/>
          </w:tcPr>
          <w:p>
            <w:pPr>
              <w:spacing w:after="0"/>
              <w:rPr>
                <w:sz w:val="21"/>
                <w:szCs w:val="21"/>
                <w:color w:val="auto"/>
              </w:rPr>
            </w:pPr>
          </w:p>
        </w:tc>
        <w:tc>
          <w:tcPr>
            <w:tcW w:w="1080" w:type="dxa"/>
            <w:vAlign w:val="bottom"/>
            <w:tcBorders>
              <w:bottom w:val="single" w:sz="8" w:color="auto"/>
            </w:tcBorders>
            <w:gridSpan w:val="3"/>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2320" w:type="dxa"/>
            <w:vAlign w:val="bottom"/>
            <w:tcBorders>
              <w:bottom w:val="single" w:sz="8" w:color="auto"/>
              <w:right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right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right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2"/>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4500" w:type="dxa"/>
            <w:vAlign w:val="bottom"/>
            <w:tcBorders>
              <w:left w:val="single" w:sz="8" w:color="auto"/>
            </w:tcBorders>
            <w:gridSpan w:val="4"/>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SUPPLEMENTAL DATA</w:t>
            </w: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auto"/>
              <w:left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500" w:type="dxa"/>
            <w:vAlign w:val="bottom"/>
            <w:tcBorders>
              <w:left w:val="single" w:sz="8" w:color="auto"/>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gridSpan w:val="11"/>
          </w:tcPr>
          <w:p>
            <w:pPr>
              <w:jc w:val="right"/>
              <w:ind w:right="960"/>
              <w:spacing w:after="0"/>
              <w:rPr>
                <w:sz w:val="20"/>
                <w:szCs w:val="20"/>
                <w:color w:val="auto"/>
              </w:rPr>
            </w:pPr>
            <w:r>
              <w:rPr>
                <w:rFonts w:ascii="Times New Roman" w:cs="Times New Roman" w:eastAsia="Times New Roman" w:hAnsi="Times New Roman"/>
                <w:sz w:val="16"/>
                <w:szCs w:val="16"/>
                <w:b w:val="1"/>
                <w:bCs w:val="1"/>
                <w:color w:val="auto"/>
                <w:w w:val="99"/>
              </w:rPr>
              <w:t>Quarter Period and Year to Date</w:t>
            </w:r>
          </w:p>
        </w:tc>
        <w:tc>
          <w:tcPr>
            <w:tcW w:w="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4140" w:type="dxa"/>
            <w:vAlign w:val="bottom"/>
            <w:tcBorders>
              <w:left w:val="single" w:sz="8" w:color="auto"/>
              <w:right w:val="single" w:sz="8" w:color="auto"/>
            </w:tcBorders>
            <w:gridSpan w:val="3"/>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Segment Classification</w:t>
            </w: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jc w:val="right"/>
              <w:ind w:right="459"/>
              <w:spacing w:after="0" w:line="155"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right w:val="single" w:sz="8" w:color="auto"/>
            </w:tcBorders>
            <w:gridSpan w:val="3"/>
          </w:tcPr>
          <w:p>
            <w:pPr>
              <w:jc w:val="right"/>
              <w:ind w:right="199"/>
              <w:spacing w:after="0" w:line="155" w:lineRule="exact"/>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
        </w:trPr>
        <w:tc>
          <w:tcPr>
            <w:tcW w:w="1600" w:type="dxa"/>
            <w:vAlign w:val="bottom"/>
            <w:tcBorders>
              <w:top w:val="single" w:sz="8" w:color="auto"/>
              <w:left w:val="single" w:sz="8" w:color="auto"/>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right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14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Retail</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993,232</w:t>
            </w:r>
          </w:p>
        </w:tc>
        <w:tc>
          <w:tcPr>
            <w:tcW w:w="200" w:type="dxa"/>
            <w:vAlign w:val="bottom"/>
            <w:shd w:val="clear" w:color="auto" w:fill="CCEEFF"/>
          </w:tcPr>
          <w:p>
            <w:pPr>
              <w:spacing w:after="0"/>
              <w:rPr>
                <w:sz w:val="17"/>
                <w:szCs w:val="17"/>
                <w:color w:val="auto"/>
              </w:rPr>
            </w:pPr>
          </w:p>
        </w:tc>
        <w:tc>
          <w:tcPr>
            <w:tcW w:w="1060" w:type="dxa"/>
            <w:vAlign w:val="bottom"/>
            <w:gridSpan w:val="3"/>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759,021</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Industrial</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611,369</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448,874</w:t>
            </w: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Construction</w:t>
            </w: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786,471</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559,530</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bottom w:val="single" w:sz="8" w:color="CCEEFF"/>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36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98,241</w:t>
            </w: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57,579</w:t>
            </w: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196"/>
        </w:trPr>
        <w:tc>
          <w:tcPr>
            <w:tcW w:w="4140" w:type="dxa"/>
            <w:vAlign w:val="bottom"/>
            <w:tcBorders>
              <w:left w:val="single" w:sz="8" w:color="auto"/>
              <w:bottom w:val="single" w:sz="8" w:color="CCEEFF"/>
              <w:right w:val="single" w:sz="8" w:color="auto"/>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Sales</w:t>
            </w:r>
          </w:p>
        </w:tc>
        <w:tc>
          <w:tcPr>
            <w:tcW w:w="3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2,489,313</w:t>
            </w:r>
          </w:p>
        </w:tc>
        <w:tc>
          <w:tcPr>
            <w:tcW w:w="2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3"/>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1,825,004</w:t>
            </w:r>
          </w:p>
        </w:tc>
        <w:tc>
          <w:tcPr>
            <w:tcW w:w="2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0"/>
        </w:trPr>
        <w:tc>
          <w:tcPr>
            <w:tcW w:w="16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20" w:type="dxa"/>
            <w:vAlign w:val="bottom"/>
            <w:tcBorders>
              <w:righ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00" w:type="dxa"/>
            <w:vAlign w:val="bottom"/>
            <w:tcBorders>
              <w:lef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20" w:type="dxa"/>
            <w:vAlign w:val="bottom"/>
            <w:tcBorders>
              <w:right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gridSpan w:val="4"/>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 of Sales</w:t>
            </w:r>
          </w:p>
        </w:tc>
        <w:tc>
          <w:tcPr>
            <w:tcW w:w="4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tcBorders>
              <w:right w:val="single" w:sz="8" w:color="auto"/>
            </w:tcBorders>
            <w:gridSpan w:val="3"/>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 of Sales</w:t>
            </w:r>
          </w:p>
        </w:tc>
        <w:tc>
          <w:tcPr>
            <w:tcW w:w="0" w:type="dxa"/>
            <w:vAlign w:val="bottom"/>
          </w:tcPr>
          <w:p>
            <w:pPr>
              <w:spacing w:after="0"/>
              <w:rPr>
                <w:sz w:val="1"/>
                <w:szCs w:val="1"/>
                <w:color w:val="auto"/>
              </w:rPr>
            </w:pPr>
          </w:p>
        </w:tc>
      </w:tr>
      <w:tr>
        <w:trPr>
          <w:trHeight w:val="236"/>
        </w:trPr>
        <w:tc>
          <w:tcPr>
            <w:tcW w:w="4140" w:type="dxa"/>
            <w:vAlign w:val="bottom"/>
            <w:tcBorders>
              <w:left w:val="single" w:sz="8" w:color="auto"/>
              <w:bottom w:val="single" w:sz="8" w:color="CCEEFF"/>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SG&amp;A</w:t>
            </w:r>
          </w:p>
        </w:tc>
        <w:tc>
          <w:tcPr>
            <w:tcW w:w="360" w:type="dxa"/>
            <w:vAlign w:val="bottom"/>
            <w:tcBorders>
              <w:bottom w:val="single" w:sz="8" w:color="CCEEFF"/>
            </w:tcBorders>
          </w:tcPr>
          <w:p>
            <w:pPr>
              <w:spacing w:after="0"/>
              <w:rPr>
                <w:sz w:val="20"/>
                <w:szCs w:val="20"/>
                <w:color w:val="auto"/>
              </w:rPr>
            </w:pPr>
          </w:p>
        </w:tc>
        <w:tc>
          <w:tcPr>
            <w:tcW w:w="58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220,150</w:t>
            </w:r>
          </w:p>
        </w:tc>
        <w:tc>
          <w:tcPr>
            <w:tcW w:w="20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CCEEFF"/>
            </w:tcBorders>
          </w:tcPr>
          <w:p>
            <w:pPr>
              <w:spacing w:after="0"/>
              <w:rPr>
                <w:sz w:val="20"/>
                <w:szCs w:val="20"/>
                <w:color w:val="auto"/>
              </w:rPr>
            </w:pPr>
          </w:p>
        </w:tc>
        <w:tc>
          <w:tcPr>
            <w:tcW w:w="20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4"/>
                <w:szCs w:val="4"/>
                <w:color w:val="auto"/>
                <w:w w:val="71"/>
              </w:rPr>
              <w:t>8.8%</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150,098</w:t>
            </w:r>
          </w:p>
        </w:tc>
        <w:tc>
          <w:tcPr>
            <w:tcW w:w="2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780" w:type="dxa"/>
            <w:vAlign w:val="bottom"/>
            <w:tcBorders>
              <w:top w:val="single" w:sz="8" w:color="auto"/>
              <w:bottom w:val="single" w:sz="8" w:color="CCEEFF"/>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183"/>
        </w:trPr>
        <w:tc>
          <w:tcPr>
            <w:tcW w:w="1600" w:type="dxa"/>
            <w:vAlign w:val="bottom"/>
            <w:tcBorders>
              <w:left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320" w:type="dxa"/>
            <w:vAlign w:val="bottom"/>
            <w:tcBorders>
              <w:right w:val="single" w:sz="8" w:color="auto"/>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8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2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4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SG&amp;A as a Percentage of Gross Profit</w:t>
            </w:r>
          </w:p>
        </w:tc>
        <w:tc>
          <w:tcPr>
            <w:tcW w:w="3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88"/>
        </w:trPr>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09" w:right="83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6</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EARNINGS BY SEGMENT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2022/2021</w:t>
      </w:r>
    </w:p>
    <w:p>
      <w:pPr>
        <w:spacing w:after="0" w:line="84"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36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2580" w:type="dxa"/>
            <w:vAlign w:val="bottom"/>
            <w:tcBorders>
              <w:top w:val="single" w:sz="8" w:color="auto"/>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Quarter Period and Year to Date</w:t>
            </w:r>
          </w:p>
        </w:tc>
        <w:tc>
          <w:tcPr>
            <w:tcW w:w="1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2"/>
                <w:szCs w:val="12"/>
                <w:color w:val="auto"/>
              </w:rPr>
            </w:pPr>
          </w:p>
        </w:tc>
        <w:tc>
          <w:tcPr>
            <w:tcW w:w="110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20" w:type="dxa"/>
            <w:vAlign w:val="bottom"/>
          </w:tcPr>
          <w:p>
            <w:pPr>
              <w:spacing w:after="0"/>
              <w:rPr>
                <w:sz w:val="12"/>
                <w:szCs w:val="12"/>
                <w:color w:val="auto"/>
              </w:rPr>
            </w:pPr>
          </w:p>
        </w:tc>
        <w:tc>
          <w:tcPr>
            <w:tcW w:w="98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2"/>
                <w:szCs w:val="12"/>
                <w:color w:val="auto"/>
              </w:rPr>
            </w:pPr>
          </w:p>
        </w:tc>
        <w:tc>
          <w:tcPr>
            <w:tcW w:w="116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2"/>
                <w:szCs w:val="12"/>
                <w:color w:val="auto"/>
              </w:rPr>
            </w:pPr>
          </w:p>
        </w:tc>
        <w:tc>
          <w:tcPr>
            <w:tcW w:w="940" w:type="dxa"/>
            <w:vAlign w:val="bottom"/>
            <w:tcBorders>
              <w:right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360" w:type="dxa"/>
            <w:vAlign w:val="bottom"/>
            <w:tcBorders>
              <w:top w:val="single" w:sz="8" w:color="auto"/>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993,232</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611,369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786,471</w:t>
            </w: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95,567</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2,489,313</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858,895</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461,815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625,059</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64,024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2,010,950</w:t>
            </w: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134,337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161,412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478,363</w:t>
            </w:r>
          </w:p>
        </w:tc>
        <w:tc>
          <w:tcPr>
            <w:tcW w:w="0" w:type="dxa"/>
            <w:vAlign w:val="bottom"/>
          </w:tcPr>
          <w:p>
            <w:pPr>
              <w:spacing w:after="0"/>
              <w:rPr>
                <w:sz w:val="1"/>
                <w:szCs w:val="1"/>
                <w:color w:val="auto"/>
              </w:rPr>
            </w:pPr>
          </w:p>
        </w:tc>
      </w:tr>
      <w:tr>
        <w:trPr>
          <w:trHeight w:val="187"/>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62,668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67,231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82,337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(8,711)</w:t>
            </w:r>
          </w:p>
        </w:tc>
        <w:tc>
          <w:tcPr>
            <w:tcW w:w="24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220,150</w:t>
            </w:r>
          </w:p>
        </w:tc>
        <w:tc>
          <w:tcPr>
            <w:tcW w:w="0" w:type="dxa"/>
            <w:vAlign w:val="bottom"/>
          </w:tcPr>
          <w:p>
            <w:pPr>
              <w:spacing w:after="0"/>
              <w:rPr>
                <w:sz w:val="1"/>
                <w:szCs w:val="1"/>
                <w:color w:val="auto"/>
              </w:rPr>
            </w:pPr>
          </w:p>
        </w:tc>
      </w:tr>
      <w:tr>
        <w:trPr>
          <w:trHeight w:val="218"/>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(1,376)</w:t>
            </w: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0" w:type="dxa"/>
            <w:vAlign w:val="bottom"/>
          </w:tcPr>
          <w:p>
            <w:pPr>
              <w:spacing w:after="0"/>
              <w:rPr>
                <w:sz w:val="1"/>
                <w:szCs w:val="1"/>
                <w:color w:val="auto"/>
              </w:rPr>
            </w:pPr>
          </w:p>
        </w:tc>
      </w:tr>
      <w:tr>
        <w:trPr>
          <w:trHeight w:val="167"/>
        </w:trPr>
        <w:tc>
          <w:tcPr>
            <w:tcW w:w="2360" w:type="dxa"/>
            <w:vAlign w:val="bottom"/>
            <w:tcBorders>
              <w:left w:val="single" w:sz="8" w:color="auto"/>
              <w:right w:val="single" w:sz="8" w:color="auto"/>
            </w:tcBorders>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EARNINGS FROM</w:t>
            </w:r>
          </w:p>
        </w:tc>
        <w:tc>
          <w:tcPr>
            <w:tcW w:w="220" w:type="dxa"/>
            <w:vAlign w:val="bottom"/>
            <w:tcBorders>
              <w:top w:val="single" w:sz="8" w:color="auto"/>
            </w:tcBorders>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71,397</w:t>
            </w:r>
          </w:p>
        </w:tc>
        <w:tc>
          <w:tcPr>
            <w:tcW w:w="22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82,391</w:t>
            </w:r>
          </w:p>
        </w:tc>
        <w:tc>
          <w:tcPr>
            <w:tcW w:w="2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78,818</w:t>
            </w:r>
          </w:p>
        </w:tc>
        <w:tc>
          <w:tcPr>
            <w:tcW w:w="40" w:type="dxa"/>
            <w:vAlign w:val="bottom"/>
            <w:tcBorders>
              <w:top w:val="single" w:sz="8" w:color="auto"/>
            </w:tcBorders>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2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11,604</w:t>
            </w:r>
          </w:p>
        </w:tc>
        <w:tc>
          <w:tcPr>
            <w:tcW w:w="2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259,025</w:t>
            </w:r>
          </w:p>
        </w:tc>
        <w:tc>
          <w:tcPr>
            <w:tcW w:w="0" w:type="dxa"/>
            <w:vAlign w:val="bottom"/>
          </w:tcPr>
          <w:p>
            <w:pPr>
              <w:spacing w:after="0"/>
              <w:rPr>
                <w:sz w:val="1"/>
                <w:szCs w:val="1"/>
                <w:color w:val="auto"/>
              </w:rPr>
            </w:pPr>
          </w:p>
        </w:tc>
      </w:tr>
      <w:tr>
        <w:trPr>
          <w:trHeight w:val="245"/>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2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36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gridSpan w:val="6"/>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360" w:type="dxa"/>
            <w:vAlign w:val="bottom"/>
            <w:tcBorders>
              <w:left w:val="single" w:sz="8" w:color="auto"/>
              <w:bottom w:val="single" w:sz="8" w:color="auto"/>
              <w:right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6"/>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Quarter Period and Year to Date</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60" w:type="dxa"/>
            <w:vAlign w:val="bottom"/>
            <w:tcBorders>
              <w:left w:val="single" w:sz="8" w:color="auto"/>
              <w:right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4"/>
                <w:szCs w:val="14"/>
                <w:color w:val="auto"/>
              </w:rPr>
            </w:pPr>
          </w:p>
        </w:tc>
        <w:tc>
          <w:tcPr>
            <w:tcW w:w="1100" w:type="dxa"/>
            <w:vAlign w:val="bottom"/>
            <w:gridSpan w:val="2"/>
          </w:tcPr>
          <w:p>
            <w:pPr>
              <w:jc w:val="right"/>
              <w:ind w:right="600"/>
              <w:spacing w:after="0" w:line="142" w:lineRule="exact"/>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Industrial</w:t>
            </w:r>
          </w:p>
        </w:tc>
        <w:tc>
          <w:tcPr>
            <w:tcW w:w="120" w:type="dxa"/>
            <w:vAlign w:val="bottom"/>
          </w:tcPr>
          <w:p>
            <w:pPr>
              <w:spacing w:after="0"/>
              <w:rPr>
                <w:sz w:val="14"/>
                <w:szCs w:val="14"/>
                <w:color w:val="auto"/>
              </w:rPr>
            </w:pPr>
          </w:p>
        </w:tc>
        <w:tc>
          <w:tcPr>
            <w:tcW w:w="980" w:type="dxa"/>
            <w:vAlign w:val="bottom"/>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Construction</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4"/>
                <w:szCs w:val="14"/>
                <w:color w:val="auto"/>
              </w:rPr>
            </w:pPr>
          </w:p>
        </w:tc>
        <w:tc>
          <w:tcPr>
            <w:tcW w:w="1160" w:type="dxa"/>
            <w:vAlign w:val="bottom"/>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240" w:type="dxa"/>
            <w:vAlign w:val="bottom"/>
          </w:tcPr>
          <w:p>
            <w:pPr>
              <w:spacing w:after="0"/>
              <w:rPr>
                <w:sz w:val="14"/>
                <w:szCs w:val="14"/>
                <w:color w:val="auto"/>
              </w:rPr>
            </w:pPr>
          </w:p>
        </w:tc>
        <w:tc>
          <w:tcPr>
            <w:tcW w:w="940" w:type="dxa"/>
            <w:vAlign w:val="bottom"/>
            <w:tcBorders>
              <w:right w:val="single" w:sz="8" w:color="auto"/>
            </w:tcBorders>
          </w:tcPr>
          <w:p>
            <w:pPr>
              <w:jc w:val="right"/>
              <w:ind w:right="353"/>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360" w:type="dxa"/>
            <w:vAlign w:val="bottom"/>
            <w:tcBorders>
              <w:top w:val="single" w:sz="8" w:color="auto"/>
              <w:left w:val="single" w:sz="8" w:color="auto"/>
              <w:right w:val="single" w:sz="8" w:color="auto"/>
            </w:tcBorders>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top w:val="single" w:sz="8" w:color="auto"/>
            </w:tcBorders>
            <w:shd w:val="clear" w:color="auto" w:fill="CCEEFF"/>
          </w:tcPr>
          <w:p>
            <w:pPr>
              <w:jc w:val="right"/>
              <w:ind w:right="5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759,021</w:t>
            </w:r>
          </w:p>
        </w:tc>
        <w:tc>
          <w:tcPr>
            <w:tcW w:w="2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448,874</w:t>
            </w:r>
          </w:p>
        </w:tc>
        <w:tc>
          <w:tcPr>
            <w:tcW w:w="2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559,530</w:t>
            </w: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55,577</w:t>
            </w:r>
          </w:p>
        </w:tc>
        <w:tc>
          <w:tcPr>
            <w:tcW w:w="2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jc w:val="right"/>
              <w:ind w:right="1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2,002</w:t>
            </w:r>
          </w:p>
        </w:tc>
        <w:tc>
          <w:tcPr>
            <w:tcW w:w="2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1,825,004</w:t>
            </w: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658,548</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368,549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470,846</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38,026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1,538,450</w:t>
            </w:r>
          </w:p>
        </w:tc>
        <w:tc>
          <w:tcPr>
            <w:tcW w:w="0" w:type="dxa"/>
            <w:vAlign w:val="bottom"/>
          </w:tcPr>
          <w:p>
            <w:pPr>
              <w:spacing w:after="0"/>
              <w:rPr>
                <w:sz w:val="1"/>
                <w:szCs w:val="1"/>
                <w:color w:val="auto"/>
              </w:rPr>
            </w:pPr>
          </w:p>
        </w:tc>
      </w:tr>
      <w:tr>
        <w:trPr>
          <w:trHeight w:val="209"/>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88,684</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286,554</w:t>
            </w:r>
          </w:p>
        </w:tc>
        <w:tc>
          <w:tcPr>
            <w:tcW w:w="0" w:type="dxa"/>
            <w:vAlign w:val="bottom"/>
          </w:tcPr>
          <w:p>
            <w:pPr>
              <w:spacing w:after="0"/>
              <w:rPr>
                <w:sz w:val="1"/>
                <w:szCs w:val="1"/>
                <w:color w:val="auto"/>
              </w:rPr>
            </w:pPr>
          </w:p>
        </w:tc>
      </w:tr>
      <w:tr>
        <w:trPr>
          <w:trHeight w:val="187"/>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SELLING, GENERAL AND</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ADMINISTRATIVE</w:t>
            </w:r>
          </w:p>
        </w:tc>
        <w:tc>
          <w:tcPr>
            <w:tcW w:w="22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47,100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40,113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55,545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10,421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(3,081)</w:t>
            </w:r>
          </w:p>
        </w:tc>
        <w:tc>
          <w:tcPr>
            <w:tcW w:w="240" w:type="dxa"/>
            <w:vAlign w:val="bottom"/>
          </w:tcPr>
          <w:p>
            <w:pPr>
              <w:spacing w:after="0"/>
              <w:rPr>
                <w:sz w:val="17"/>
                <w:szCs w:val="17"/>
                <w:color w:val="auto"/>
              </w:rPr>
            </w:pPr>
          </w:p>
        </w:tc>
        <w:tc>
          <w:tcPr>
            <w:tcW w:w="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150,098</w:t>
            </w:r>
          </w:p>
        </w:tc>
        <w:tc>
          <w:tcPr>
            <w:tcW w:w="0" w:type="dxa"/>
            <w:vAlign w:val="bottom"/>
          </w:tcPr>
          <w:p>
            <w:pPr>
              <w:spacing w:after="0"/>
              <w:rPr>
                <w:sz w:val="1"/>
                <w:szCs w:val="1"/>
                <w:color w:val="auto"/>
              </w:rPr>
            </w:pPr>
          </w:p>
        </w:tc>
      </w:tr>
      <w:tr>
        <w:trPr>
          <w:trHeight w:val="218"/>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(848)</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167"/>
        </w:trPr>
        <w:tc>
          <w:tcPr>
            <w:tcW w:w="2360" w:type="dxa"/>
            <w:vAlign w:val="bottom"/>
            <w:tcBorders>
              <w:left w:val="single" w:sz="8" w:color="auto"/>
              <w:right w:val="single" w:sz="8" w:color="auto"/>
            </w:tcBorders>
          </w:tcPr>
          <w:p>
            <w:pPr>
              <w:ind w:left="20"/>
              <w:spacing w:after="0" w:line="167" w:lineRule="exact"/>
              <w:rPr>
                <w:sz w:val="20"/>
                <w:szCs w:val="20"/>
                <w:color w:val="auto"/>
              </w:rPr>
            </w:pPr>
            <w:r>
              <w:rPr>
                <w:rFonts w:ascii="Times New Roman" w:cs="Times New Roman" w:eastAsia="Times New Roman" w:hAnsi="Times New Roman"/>
                <w:sz w:val="16"/>
                <w:szCs w:val="16"/>
                <w:b w:val="1"/>
                <w:bCs w:val="1"/>
                <w:color w:val="auto"/>
              </w:rPr>
              <w:t>EARNINGS FROM</w:t>
            </w:r>
          </w:p>
        </w:tc>
        <w:tc>
          <w:tcPr>
            <w:tcW w:w="220" w:type="dxa"/>
            <w:vAlign w:val="bottom"/>
            <w:tcBorders>
              <w:top w:val="single" w:sz="8" w:color="auto"/>
            </w:tcBorders>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53,545</w:t>
            </w:r>
          </w:p>
        </w:tc>
        <w:tc>
          <w:tcPr>
            <w:tcW w:w="220" w:type="dxa"/>
            <w:vAlign w:val="bottom"/>
          </w:tcPr>
          <w:p>
            <w:pPr>
              <w:spacing w:after="0"/>
              <w:rPr>
                <w:sz w:val="14"/>
                <w:szCs w:val="14"/>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40,410</w:t>
            </w:r>
          </w:p>
        </w:tc>
        <w:tc>
          <w:tcPr>
            <w:tcW w:w="20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33,018</w:t>
            </w:r>
          </w:p>
        </w:tc>
        <w:tc>
          <w:tcPr>
            <w:tcW w:w="40" w:type="dxa"/>
            <w:vAlign w:val="bottom"/>
            <w:tcBorders>
              <w:top w:val="single" w:sz="8" w:color="auto"/>
            </w:tcBorders>
            <w:vMerge w:val="restart"/>
          </w:tcPr>
          <w:p>
            <w:pPr>
              <w:spacing w:after="0"/>
              <w:rPr>
                <w:sz w:val="14"/>
                <w:szCs w:val="14"/>
                <w:color w:val="auto"/>
              </w:rPr>
            </w:pPr>
          </w:p>
        </w:tc>
        <w:tc>
          <w:tcPr>
            <w:tcW w:w="200" w:type="dxa"/>
            <w:vAlign w:val="bottom"/>
            <w:vMerge w:val="restart"/>
          </w:tcPr>
          <w:p>
            <w:pPr>
              <w:spacing w:after="0"/>
              <w:rPr>
                <w:sz w:val="14"/>
                <w:szCs w:val="14"/>
                <w:color w:val="auto"/>
              </w:rPr>
            </w:pPr>
          </w:p>
        </w:tc>
        <w:tc>
          <w:tcPr>
            <w:tcW w:w="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200" w:type="dxa"/>
            <w:vAlign w:val="bottom"/>
          </w:tcPr>
          <w:p>
            <w:pPr>
              <w:spacing w:after="0"/>
              <w:rPr>
                <w:sz w:val="14"/>
                <w:szCs w:val="14"/>
                <w:color w:val="auto"/>
              </w:rPr>
            </w:pPr>
          </w:p>
        </w:tc>
        <w:tc>
          <w:tcPr>
            <w:tcW w:w="180" w:type="dxa"/>
            <w:vAlign w:val="bottom"/>
            <w:tcBorders>
              <w:top w:val="single" w:sz="8" w:color="auto"/>
            </w:tcBorders>
            <w:vMerge w:val="restart"/>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200" w:type="dxa"/>
            <w:vAlign w:val="bottom"/>
          </w:tcPr>
          <w:p>
            <w:pPr>
              <w:spacing w:after="0"/>
              <w:rPr>
                <w:sz w:val="14"/>
                <w:szCs w:val="14"/>
                <w:color w:val="auto"/>
              </w:rPr>
            </w:pP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right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137,487</w:t>
            </w:r>
          </w:p>
        </w:tc>
        <w:tc>
          <w:tcPr>
            <w:tcW w:w="0" w:type="dxa"/>
            <w:vAlign w:val="bottom"/>
          </w:tcPr>
          <w:p>
            <w:pPr>
              <w:spacing w:after="0"/>
              <w:rPr>
                <w:sz w:val="1"/>
                <w:szCs w:val="1"/>
                <w:color w:val="auto"/>
              </w:rPr>
            </w:pPr>
          </w:p>
        </w:tc>
      </w:tr>
      <w:tr>
        <w:trPr>
          <w:trHeight w:val="210"/>
        </w:trPr>
        <w:tc>
          <w:tcPr>
            <w:tcW w:w="236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OPERATIONS</w:t>
            </w:r>
          </w:p>
        </w:tc>
        <w:tc>
          <w:tcPr>
            <w:tcW w:w="22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940" w:type="dxa"/>
            <w:vAlign w:val="bottom"/>
            <w:tcBorders>
              <w:bottom w:val="single" w:sz="8" w:color="auto"/>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360" w:type="dxa"/>
            <w:vAlign w:val="bottom"/>
            <w:tcBorders>
              <w:lef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360" w:type="dxa"/>
            <w:vAlign w:val="bottom"/>
            <w:tcBorders>
              <w:left w:val="single" w:sz="8" w:color="auto"/>
              <w:bottom w:val="single" w:sz="8" w:color="auto"/>
              <w:right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405"/>
        </w:trPr>
        <w:tc>
          <w:tcPr>
            <w:tcW w:w="2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09" w:right="8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2022/2021</w:t>
      </w:r>
    </w:p>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2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399"/>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73,783</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44,399</w:t>
            </w:r>
          </w:p>
        </w:tc>
        <w:tc>
          <w:tcPr>
            <w:tcW w:w="180" w:type="dxa"/>
            <w:vAlign w:val="bottom"/>
            <w:tcBorders>
              <w:right w:val="single" w:sz="8" w:color="auto"/>
            </w:tcBorders>
            <w:shd w:val="clear" w:color="auto" w:fill="CCEEFF"/>
          </w:tcPr>
          <w:p>
            <w:pPr>
              <w:spacing w:after="0"/>
              <w:rPr>
                <w:sz w:val="19"/>
                <w:szCs w:val="19"/>
                <w:color w:val="auto"/>
              </w:rPr>
            </w:pPr>
          </w:p>
        </w:tc>
        <w:tc>
          <w:tcPr>
            <w:tcW w:w="276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Overdraft</w:t>
            </w: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61,711</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47,140</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729</w:t>
            </w:r>
          </w:p>
        </w:tc>
        <w:tc>
          <w:tcPr>
            <w:tcW w:w="180" w:type="dxa"/>
            <w:vAlign w:val="bottom"/>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425,956</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299,398</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Investments</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35,465</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31,439</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liabilities</w:t>
            </w: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372,640</w:t>
            </w: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264,384</w:t>
            </w:r>
          </w:p>
        </w:tc>
        <w:tc>
          <w:tcPr>
            <w:tcW w:w="0" w:type="dxa"/>
            <w:vAlign w:val="bottom"/>
          </w:tcPr>
          <w:p>
            <w:pPr>
              <w:spacing w:after="0"/>
              <w:rPr>
                <w:sz w:val="1"/>
                <w:szCs w:val="1"/>
                <w:color w:val="auto"/>
              </w:rPr>
            </w:pPr>
          </w:p>
        </w:tc>
      </w:tr>
      <w:tr>
        <w:trPr>
          <w:trHeight w:val="213"/>
        </w:trPr>
        <w:tc>
          <w:tcPr>
            <w:tcW w:w="2780" w:type="dxa"/>
            <w:vAlign w:val="bottom"/>
            <w:tcBorders>
              <w:left w:val="single" w:sz="8" w:color="auto"/>
              <w:bottom w:val="single" w:sz="8" w:color="CCEEFF"/>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1,095,362</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808,105</w:t>
            </w:r>
          </w:p>
        </w:tc>
        <w:tc>
          <w:tcPr>
            <w:tcW w:w="180" w:type="dxa"/>
            <w:vAlign w:val="bottom"/>
            <w:tcBorders>
              <w:bottom w:val="single" w:sz="8" w:color="CCEEFF"/>
              <w:right w:val="single" w:sz="8" w:color="auto"/>
            </w:tcBorders>
          </w:tcPr>
          <w:p>
            <w:pPr>
              <w:spacing w:after="0"/>
              <w:rPr>
                <w:sz w:val="18"/>
                <w:szCs w:val="18"/>
                <w:color w:val="auto"/>
              </w:rPr>
            </w:pPr>
          </w:p>
        </w:tc>
        <w:tc>
          <w:tcPr>
            <w:tcW w:w="2760" w:type="dxa"/>
            <w:vAlign w:val="bottom"/>
            <w:tcBorders>
              <w:bottom w:val="single" w:sz="8" w:color="CCEEFF"/>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Current portion of debt</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42,895</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199"/>
        </w:trPr>
        <w:tc>
          <w:tcPr>
            <w:tcW w:w="278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1,230,351</w:t>
            </w: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823,414</w:t>
            </w: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bottom w:val="single" w:sz="8" w:color="CCEEFF"/>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36,727</w:t>
            </w: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29,072</w:t>
            </w:r>
          </w:p>
        </w:tc>
        <w:tc>
          <w:tcPr>
            <w:tcW w:w="180" w:type="dxa"/>
            <w:vAlign w:val="bottom"/>
            <w:tcBorders>
              <w:bottom w:val="single" w:sz="8" w:color="CCEEFF"/>
              <w:right w:val="single" w:sz="8" w:color="auto"/>
            </w:tcBorders>
          </w:tcPr>
          <w:p>
            <w:pPr>
              <w:spacing w:after="0"/>
              <w:rPr>
                <w:sz w:val="17"/>
                <w:szCs w:val="17"/>
                <w:color w:val="auto"/>
              </w:rPr>
            </w:pPr>
          </w:p>
        </w:tc>
        <w:tc>
          <w:tcPr>
            <w:tcW w:w="2760" w:type="dxa"/>
            <w:vAlign w:val="bottom"/>
            <w:tcBorders>
              <w:bottom w:val="single" w:sz="8" w:color="CCEEFF"/>
              <w:right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right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2,472,417</w:t>
            </w:r>
          </w:p>
        </w:tc>
        <w:tc>
          <w:tcPr>
            <w:tcW w:w="180" w:type="dxa"/>
            <w:vAlign w:val="bottom"/>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1,737,058</w:t>
            </w: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20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903,202</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611,031</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18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155,438</w:t>
            </w:r>
          </w:p>
        </w:tc>
        <w:tc>
          <w:tcPr>
            <w:tcW w:w="180" w:type="dxa"/>
            <w:vAlign w:val="bottom"/>
          </w:tcPr>
          <w:p>
            <w:pPr>
              <w:spacing w:after="0"/>
              <w:rPr>
                <w:sz w:val="17"/>
                <w:szCs w:val="17"/>
                <w:color w:val="auto"/>
              </w:rPr>
            </w:pPr>
          </w:p>
        </w:tc>
        <w:tc>
          <w:tcPr>
            <w:tcW w:w="8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145,261</w:t>
            </w: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780" w:type="dxa"/>
            <w:vAlign w:val="bottom"/>
            <w:tcBorders>
              <w:left w:val="single" w:sz="8" w:color="auto"/>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LONG-TERM DEBT AND</w:t>
            </w: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INTANGIBLE ASSETS, NET</w:t>
            </w:r>
          </w:p>
        </w:tc>
        <w:tc>
          <w:tcPr>
            <w:tcW w:w="18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445,232</w:t>
            </w:r>
          </w:p>
        </w:tc>
        <w:tc>
          <w:tcPr>
            <w:tcW w:w="18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415,402</w:t>
            </w:r>
          </w:p>
        </w:tc>
        <w:tc>
          <w:tcPr>
            <w:tcW w:w="180" w:type="dxa"/>
            <w:vAlign w:val="bottom"/>
            <w:tcBorders>
              <w:right w:val="single" w:sz="8" w:color="auto"/>
            </w:tcBorders>
            <w:shd w:val="clear" w:color="auto" w:fill="CCEEFF"/>
          </w:tcPr>
          <w:p>
            <w:pPr>
              <w:spacing w:after="0"/>
              <w:rPr>
                <w:sz w:val="18"/>
                <w:szCs w:val="18"/>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FINANCE LEASE OBLIGATIONS</w:t>
            </w:r>
          </w:p>
        </w:tc>
        <w:tc>
          <w:tcPr>
            <w:tcW w:w="200" w:type="dxa"/>
            <w:vAlign w:val="bottom"/>
            <w:shd w:val="clear" w:color="auto" w:fill="CCEEFF"/>
          </w:tcPr>
          <w:p>
            <w:pPr>
              <w:spacing w:after="0"/>
              <w:rPr>
                <w:sz w:val="18"/>
                <w:szCs w:val="18"/>
                <w:color w:val="auto"/>
              </w:rPr>
            </w:pPr>
          </w:p>
        </w:tc>
        <w:tc>
          <w:tcPr>
            <w:tcW w:w="1020" w:type="dxa"/>
            <w:vAlign w:val="bottom"/>
            <w:tcBorders>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379,015</w:t>
            </w:r>
          </w:p>
        </w:tc>
        <w:tc>
          <w:tcPr>
            <w:tcW w:w="180" w:type="dxa"/>
            <w:vAlign w:val="bottom"/>
            <w:shd w:val="clear" w:color="auto" w:fill="CCEEFF"/>
          </w:tcPr>
          <w:p>
            <w:pPr>
              <w:spacing w:after="0"/>
              <w:rPr>
                <w:sz w:val="18"/>
                <w:szCs w:val="18"/>
                <w:color w:val="auto"/>
              </w:rPr>
            </w:pPr>
          </w:p>
        </w:tc>
        <w:tc>
          <w:tcPr>
            <w:tcW w:w="900" w:type="dxa"/>
            <w:vAlign w:val="bottom"/>
            <w:tcBorders>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426,310</w:t>
            </w: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00" w:type="dxa"/>
            <w:vAlign w:val="bottom"/>
          </w:tcPr>
          <w:p>
            <w:pPr>
              <w:spacing w:after="0"/>
              <w:rPr>
                <w:sz w:val="17"/>
                <w:szCs w:val="17"/>
                <w:color w:val="auto"/>
              </w:rPr>
            </w:pPr>
          </w:p>
        </w:tc>
        <w:tc>
          <w:tcPr>
            <w:tcW w:w="1020" w:type="dxa"/>
            <w:vAlign w:val="bottom"/>
            <w:tcBorders>
              <w:right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173,577</w:t>
            </w:r>
          </w:p>
        </w:tc>
        <w:tc>
          <w:tcPr>
            <w:tcW w:w="180" w:type="dxa"/>
            <w:vAlign w:val="bottom"/>
          </w:tcPr>
          <w:p>
            <w:pPr>
              <w:spacing w:after="0"/>
              <w:rPr>
                <w:sz w:val="17"/>
                <w:szCs w:val="17"/>
                <w:color w:val="auto"/>
              </w:rPr>
            </w:pPr>
          </w:p>
        </w:tc>
        <w:tc>
          <w:tcPr>
            <w:tcW w:w="90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162,204</w:t>
            </w:r>
          </w:p>
        </w:tc>
        <w:tc>
          <w:tcPr>
            <w:tcW w:w="0" w:type="dxa"/>
            <w:vAlign w:val="bottom"/>
          </w:tcPr>
          <w:p>
            <w:pPr>
              <w:spacing w:after="0"/>
              <w:rPr>
                <w:sz w:val="1"/>
                <w:szCs w:val="1"/>
                <w:color w:val="auto"/>
              </w:rPr>
            </w:pPr>
          </w:p>
        </w:tc>
      </w:tr>
      <w:tr>
        <w:trPr>
          <w:trHeight w:val="187"/>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w:t>
            </w:r>
          </w:p>
        </w:tc>
        <w:tc>
          <w:tcPr>
            <w:tcW w:w="18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2760" w:type="dxa"/>
            <w:vAlign w:val="bottom"/>
            <w:tcBorders>
              <w:right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78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EQUIPMENT, NET</w:t>
            </w: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600,879</w:t>
            </w: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488,367</w:t>
            </w:r>
          </w:p>
        </w:tc>
        <w:tc>
          <w:tcPr>
            <w:tcW w:w="180" w:type="dxa"/>
            <w:vAlign w:val="bottom"/>
            <w:tcBorders>
              <w:right w:val="single" w:sz="8" w:color="auto"/>
            </w:tcBorders>
            <w:shd w:val="clear" w:color="auto" w:fill="CCEEFF"/>
          </w:tcPr>
          <w:p>
            <w:pPr>
              <w:spacing w:after="0"/>
              <w:rPr>
                <w:sz w:val="18"/>
                <w:szCs w:val="18"/>
                <w:color w:val="auto"/>
              </w:rPr>
            </w:pPr>
          </w:p>
        </w:tc>
        <w:tc>
          <w:tcPr>
            <w:tcW w:w="276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right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2,218,172</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1,586,543</w:t>
            </w:r>
          </w:p>
        </w:tc>
        <w:tc>
          <w:tcPr>
            <w:tcW w:w="0" w:type="dxa"/>
            <w:vAlign w:val="bottom"/>
          </w:tcPr>
          <w:p>
            <w:pPr>
              <w:spacing w:after="0"/>
              <w:rPr>
                <w:sz w:val="1"/>
                <w:szCs w:val="1"/>
                <w:color w:val="auto"/>
              </w:rPr>
            </w:pPr>
          </w:p>
        </w:tc>
      </w:tr>
      <w:tr>
        <w:trPr>
          <w:trHeight w:val="199"/>
        </w:trPr>
        <w:tc>
          <w:tcPr>
            <w:tcW w:w="2780" w:type="dxa"/>
            <w:vAlign w:val="bottom"/>
            <w:tcBorders>
              <w:left w:val="single" w:sz="8" w:color="auto"/>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Borders>
              <w:right w:val="single" w:sz="8" w:color="auto"/>
            </w:tcBorders>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276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Borders>
              <w:left w:val="single" w:sz="8" w:color="auto"/>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right w:val="single" w:sz="8" w:color="auto"/>
            </w:tcBorders>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276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tcBorders>
              <w:right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780" w:type="dxa"/>
            <w:vAlign w:val="bottom"/>
            <w:tcBorders>
              <w:left w:val="single" w:sz="8" w:color="auto"/>
              <w:right w:val="single" w:sz="8" w:color="auto"/>
            </w:tcBorders>
          </w:tcPr>
          <w:p>
            <w:pPr>
              <w:spacing w:after="0"/>
              <w:rPr>
                <w:sz w:val="16"/>
                <w:szCs w:val="16"/>
                <w:color w:val="auto"/>
              </w:rPr>
            </w:pP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3,673,966</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2,786,088</w:t>
            </w:r>
          </w:p>
        </w:tc>
        <w:tc>
          <w:tcPr>
            <w:tcW w:w="180" w:type="dxa"/>
            <w:vAlign w:val="bottom"/>
            <w:tcBorders>
              <w:right w:val="single" w:sz="8" w:color="auto"/>
            </w:tcBorders>
          </w:tcPr>
          <w:p>
            <w:pPr>
              <w:spacing w:after="0"/>
              <w:rPr>
                <w:sz w:val="16"/>
                <w:szCs w:val="16"/>
                <w:color w:val="auto"/>
              </w:rPr>
            </w:pPr>
          </w:p>
        </w:tc>
        <w:tc>
          <w:tcPr>
            <w:tcW w:w="27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TOTAL LIABILITIES AND</w:t>
            </w:r>
          </w:p>
        </w:tc>
        <w:tc>
          <w:tcPr>
            <w:tcW w:w="2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right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rPr>
              <w:t>3,673,966</w:t>
            </w:r>
          </w:p>
        </w:tc>
        <w:tc>
          <w:tcPr>
            <w:tcW w:w="1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right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2,786,088</w:t>
            </w:r>
          </w:p>
        </w:tc>
        <w:tc>
          <w:tcPr>
            <w:tcW w:w="0" w:type="dxa"/>
            <w:vAlign w:val="bottom"/>
          </w:tcPr>
          <w:p>
            <w:pPr>
              <w:spacing w:after="0"/>
              <w:rPr>
                <w:sz w:val="1"/>
                <w:szCs w:val="1"/>
                <w:color w:val="auto"/>
              </w:rPr>
            </w:pPr>
          </w:p>
        </w:tc>
      </w:tr>
      <w:tr>
        <w:trPr>
          <w:trHeight w:val="245"/>
        </w:trPr>
        <w:tc>
          <w:tcPr>
            <w:tcW w:w="27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right w:val="single" w:sz="8" w:color="auto"/>
            </w:tcBorders>
          </w:tcPr>
          <w:p>
            <w:pPr>
              <w:spacing w:after="0"/>
              <w:rPr>
                <w:sz w:val="21"/>
                <w:szCs w:val="21"/>
                <w:color w:val="auto"/>
              </w:rPr>
            </w:pP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200" w:type="dxa"/>
            <w:vAlign w:val="bottom"/>
            <w:tcBorders>
              <w:bottom w:val="single" w:sz="8" w:color="auto"/>
            </w:tcBorders>
            <w:vMerge w:val="continue"/>
          </w:tcPr>
          <w:p>
            <w:pPr>
              <w:spacing w:after="0"/>
              <w:rPr>
                <w:sz w:val="21"/>
                <w:szCs w:val="21"/>
                <w:color w:val="auto"/>
              </w:rPr>
            </w:pPr>
          </w:p>
        </w:tc>
        <w:tc>
          <w:tcPr>
            <w:tcW w:w="1020" w:type="dxa"/>
            <w:vAlign w:val="bottom"/>
            <w:tcBorders>
              <w:bottom w:val="single" w:sz="8" w:color="auto"/>
              <w:right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175"/>
        </w:trPr>
        <w:tc>
          <w:tcPr>
            <w:tcW w:w="2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40"/>
          </w:cols>
          <w:pgMar w:left="820" w:top="509" w:right="839" w:bottom="1440" w:gutter="0" w:footer="0" w:header="0"/>
        </w:sectPr>
      </w:pPr>
    </w:p>
    <w:bookmarkStart w:id="11" w:name="page12"/>
    <w:bookmarkEnd w:id="11"/>
    <w:p>
      <w:pPr>
        <w:ind w:left="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2022/2021</w:t>
      </w:r>
    </w:p>
    <w:p>
      <w:pPr>
        <w:spacing w:after="0" w:line="9"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7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6"/>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earnings</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193,131</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104,251</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earnings to net cash from operating activities: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21,842</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18,733</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4,672</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3,998</w:t>
            </w:r>
          </w:p>
        </w:tc>
      </w:tr>
      <w:tr>
        <w:trPr>
          <w:trHeight w:val="202"/>
        </w:trPr>
        <w:tc>
          <w:tcPr>
            <w:tcW w:w="72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Expense associated with share-based and grant compensation arrangements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6,931</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2,981</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101</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142</w:t>
            </w: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Unrealized loss (gain) on investment and other</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1,601</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(1,754)</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in earnings of investee</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515</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630</w:t>
            </w:r>
          </w:p>
        </w:tc>
      </w:tr>
      <w:tr>
        <w:trPr>
          <w:trHeight w:val="203"/>
        </w:trPr>
        <w:tc>
          <w:tcPr>
            <w:tcW w:w="7220" w:type="dxa"/>
            <w:vAlign w:val="bottom"/>
            <w:tcBorders>
              <w:left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6"/>
                <w:szCs w:val="16"/>
                <w:color w:val="auto"/>
              </w:rPr>
              <w:t>Net gain on sale and disposition of assets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(306)</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(532)</w:t>
            </w:r>
          </w:p>
        </w:tc>
      </w:tr>
      <w:tr>
        <w:trPr>
          <w:trHeight w:val="203"/>
        </w:trPr>
        <w:tc>
          <w:tcPr>
            <w:tcW w:w="7220" w:type="dxa"/>
            <w:vAlign w:val="bottom"/>
            <w:tcBorders>
              <w:left w:val="single" w:sz="8" w:color="auto"/>
              <w:right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Changes in:</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(352,928)</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(253,323)</w:t>
            </w:r>
          </w:p>
        </w:tc>
      </w:tr>
      <w:tr>
        <w:trPr>
          <w:trHeight w:val="203"/>
        </w:trPr>
        <w:tc>
          <w:tcPr>
            <w:tcW w:w="7220" w:type="dxa"/>
            <w:vAlign w:val="bottom"/>
            <w:tcBorders>
              <w:left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(258,019)</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(207,768)</w:t>
            </w:r>
          </w:p>
        </w:tc>
      </w:tr>
      <w:tr>
        <w:trPr>
          <w:trHeight w:val="203"/>
        </w:trPr>
        <w:tc>
          <w:tcPr>
            <w:tcW w:w="72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rPr>
              <w:t>Accounts payable and cash overdraft</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143,895</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121,892</w:t>
            </w:r>
          </w:p>
        </w:tc>
      </w:tr>
      <w:tr>
        <w:trPr>
          <w:trHeight w:val="203"/>
        </w:trPr>
        <w:tc>
          <w:tcPr>
            <w:tcW w:w="7220" w:type="dxa"/>
            <w:vAlign w:val="bottom"/>
            <w:tcBorders>
              <w:left w:val="single" w:sz="8" w:color="auto"/>
              <w:right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liabilities and other</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(9,722)</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14,090</w:t>
            </w:r>
          </w:p>
        </w:tc>
      </w:tr>
      <w:tr>
        <w:trPr>
          <w:trHeight w:val="196"/>
        </w:trPr>
        <w:tc>
          <w:tcPr>
            <w:tcW w:w="7220" w:type="dxa"/>
            <w:vAlign w:val="bottom"/>
            <w:tcBorders>
              <w:left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(248,287)</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(196,660)</w:t>
            </w:r>
          </w:p>
        </w:tc>
      </w:tr>
      <w:tr>
        <w:trPr>
          <w:trHeight w:val="203"/>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(28,816)</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(34,656)</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Proceeds from sale of property, plant and equipment</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1,207</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5,062</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and purchase of noncontrolling interest, net of cash received</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(24,571)</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(261,133)</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(6,030)</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(8,738)</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4,725</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3,381</w:t>
            </w: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(2,995)</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(414)</w:t>
            </w:r>
          </w:p>
        </w:tc>
      </w:tr>
      <w:tr>
        <w:trPr>
          <w:trHeight w:val="196"/>
        </w:trPr>
        <w:tc>
          <w:tcPr>
            <w:tcW w:w="7220" w:type="dxa"/>
            <w:vAlign w:val="bottom"/>
            <w:tcBorders>
              <w:left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(56,480)</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(296,498)</w:t>
            </w:r>
          </w:p>
        </w:tc>
      </w:tr>
      <w:tr>
        <w:trPr>
          <w:trHeight w:val="203"/>
        </w:trPr>
        <w:tc>
          <w:tcPr>
            <w:tcW w:w="722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Borrowings under revolving credit facilities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242,950</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236,280</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under revolving credit facilities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(141,438)</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(121,570)</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Repayments of debt</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(199)</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 and other</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(551)</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(627)</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663</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363</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paid to shareholders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(12,541)</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(9,274)</w:t>
            </w: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(2,053)</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(2,914)</w:t>
            </w: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rPr>
              <w:t>(501)</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(331)</w:t>
            </w:r>
          </w:p>
        </w:tc>
      </w:tr>
      <w:tr>
        <w:trPr>
          <w:trHeight w:val="196"/>
        </w:trPr>
        <w:tc>
          <w:tcPr>
            <w:tcW w:w="7220" w:type="dxa"/>
            <w:vAlign w:val="bottom"/>
            <w:tcBorders>
              <w:left w:val="single" w:sz="8" w:color="auto"/>
              <w:right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NET CASH FROM FINANCING ACTIVITIES</w:t>
            </w: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86,330</w:t>
            </w: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101,927</w:t>
            </w:r>
          </w:p>
        </w:tc>
      </w:tr>
      <w:tr>
        <w:trPr>
          <w:trHeight w:val="203"/>
        </w:trPr>
        <w:tc>
          <w:tcPr>
            <w:tcW w:w="722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1,726</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right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(349)</w:t>
            </w:r>
          </w:p>
        </w:tc>
      </w:tr>
      <w:tr>
        <w:trPr>
          <w:trHeight w:val="196"/>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320" w:type="dxa"/>
            <w:vAlign w:val="bottom"/>
          </w:tcPr>
          <w:p>
            <w:pPr>
              <w:spacing w:after="0"/>
              <w:rPr>
                <w:sz w:val="17"/>
                <w:szCs w:val="17"/>
                <w:color w:val="auto"/>
              </w:rPr>
            </w:pPr>
          </w:p>
        </w:tc>
        <w:tc>
          <w:tcPr>
            <w:tcW w:w="1320" w:type="dxa"/>
            <w:vAlign w:val="bottom"/>
            <w:tcBorders>
              <w:right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(216,711)</w:t>
            </w:r>
          </w:p>
        </w:tc>
        <w:tc>
          <w:tcPr>
            <w:tcW w:w="320" w:type="dxa"/>
            <w:vAlign w:val="bottom"/>
          </w:tcPr>
          <w:p>
            <w:pPr>
              <w:spacing w:after="0"/>
              <w:rPr>
                <w:sz w:val="17"/>
                <w:szCs w:val="17"/>
                <w:color w:val="auto"/>
              </w:rPr>
            </w:pPr>
          </w:p>
        </w:tc>
        <w:tc>
          <w:tcPr>
            <w:tcW w:w="1060" w:type="dxa"/>
            <w:vAlign w:val="bottom"/>
            <w:tcBorders>
              <w:right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(391,580)</w:t>
            </w:r>
          </w:p>
        </w:tc>
      </w:tr>
      <w:tr>
        <w:trPr>
          <w:trHeight w:val="203"/>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 CASH AND CASH EQUIVALENTS, BEGINNING OF PERIOD</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291,223</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436,608</w:t>
            </w:r>
          </w:p>
        </w:tc>
      </w:tr>
      <w:tr>
        <w:trPr>
          <w:trHeight w:val="196"/>
        </w:trPr>
        <w:tc>
          <w:tcPr>
            <w:tcW w:w="7220" w:type="dxa"/>
            <w:vAlign w:val="bottom"/>
            <w:tcBorders>
              <w:left w:val="single" w:sz="8" w:color="auto"/>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tcBorders>
              <w:right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tcBorders>
              <w:right w:val="single" w:sz="8" w:color="auto"/>
            </w:tcBorders>
            <w:shd w:val="clear" w:color="auto" w:fill="CCEEFF"/>
          </w:tcPr>
          <w:p>
            <w:pPr>
              <w:spacing w:after="0"/>
              <w:rPr>
                <w:sz w:val="17"/>
                <w:szCs w:val="17"/>
                <w:color w:val="auto"/>
              </w:rPr>
            </w:pPr>
          </w:p>
        </w:tc>
      </w:tr>
      <w:tr>
        <w:trPr>
          <w:trHeight w:val="24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ALL CASH AND CASH EQUIVALENTS, END OF PERIOD</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74,512</w:t>
            </w:r>
          </w:p>
        </w:tc>
        <w:tc>
          <w:tcPr>
            <w:tcW w:w="3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45,028</w:t>
            </w:r>
          </w:p>
        </w:tc>
      </w:tr>
      <w:tr>
        <w:trPr>
          <w:trHeight w:val="183"/>
        </w:trPr>
        <w:tc>
          <w:tcPr>
            <w:tcW w:w="7220" w:type="dxa"/>
            <w:vAlign w:val="bottom"/>
            <w:tcBorders>
              <w:left w:val="single" w:sz="8" w:color="auto"/>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320" w:type="dxa"/>
            <w:vAlign w:val="bottom"/>
            <w:tcBorders>
              <w:right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tcBorders>
              <w:right w:val="single" w:sz="8" w:color="auto"/>
            </w:tcBorders>
            <w:shd w:val="clear" w:color="auto" w:fill="CCEEFF"/>
          </w:tcPr>
          <w:p>
            <w:pPr>
              <w:spacing w:after="0"/>
              <w:rPr>
                <w:sz w:val="15"/>
                <w:szCs w:val="15"/>
                <w:color w:val="auto"/>
              </w:rPr>
            </w:pPr>
          </w:p>
        </w:tc>
      </w:tr>
      <w:tr>
        <w:trPr>
          <w:trHeight w:val="203"/>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cash and cash equivalents and restricted cash:</w:t>
            </w: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2"/>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286,662</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436,507</w:t>
            </w: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Restricted cash, beginning of period</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4,561</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101</w:t>
            </w:r>
          </w:p>
        </w:tc>
      </w:tr>
      <w:tr>
        <w:trPr>
          <w:trHeight w:val="196"/>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cash and cash equivalents, beginning of period</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291,223</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436,608</w:t>
            </w:r>
          </w:p>
        </w:tc>
      </w:tr>
      <w:tr>
        <w:trPr>
          <w:trHeight w:val="203"/>
        </w:trPr>
        <w:tc>
          <w:tcPr>
            <w:tcW w:w="7220" w:type="dxa"/>
            <w:vAlign w:val="bottom"/>
            <w:tcBorders>
              <w:left w:val="single" w:sz="8" w:color="auto"/>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r>
      <w:tr>
        <w:trPr>
          <w:trHeight w:val="203"/>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73,783</w:t>
            </w:r>
          </w:p>
        </w:tc>
        <w:tc>
          <w:tcPr>
            <w:tcW w:w="3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44,399</w:t>
            </w:r>
          </w:p>
        </w:tc>
      </w:tr>
      <w:tr>
        <w:trPr>
          <w:trHeight w:val="203"/>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Restricted cash, end of period</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right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rPr>
              <w:t>729</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629</w:t>
            </w:r>
          </w:p>
        </w:tc>
      </w:tr>
      <w:tr>
        <w:trPr>
          <w:trHeight w:val="196"/>
        </w:trPr>
        <w:tc>
          <w:tcPr>
            <w:tcW w:w="722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cash and cash equivalents, end of period</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right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74,512</w:t>
            </w:r>
          </w:p>
        </w:tc>
        <w:tc>
          <w:tcPr>
            <w:tcW w:w="32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bottom w:val="single" w:sz="8" w:color="auto"/>
              <w:right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45,028</w:t>
            </w:r>
          </w:p>
        </w:tc>
      </w:tr>
      <w:tr>
        <w:trPr>
          <w:trHeight w:val="20"/>
        </w:trPr>
        <w:tc>
          <w:tcPr>
            <w:tcW w:w="7220" w:type="dxa"/>
            <w:vAlign w:val="bottom"/>
            <w:tcBorders>
              <w:lef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right w:val="single" w:sz="8" w:color="auto"/>
            </w:tcBorders>
          </w:tcPr>
          <w:p>
            <w:pPr>
              <w:spacing w:after="0" w:line="20" w:lineRule="exact"/>
              <w:rPr>
                <w:sz w:val="1"/>
                <w:szCs w:val="1"/>
                <w:color w:val="auto"/>
              </w:rPr>
            </w:pPr>
          </w:p>
        </w:tc>
      </w:tr>
      <w:tr>
        <w:trPr>
          <w:trHeight w:val="183"/>
        </w:trPr>
        <w:tc>
          <w:tcPr>
            <w:tcW w:w="7220" w:type="dxa"/>
            <w:vAlign w:val="bottom"/>
            <w:tcBorders>
              <w:left w:val="single" w:sz="8" w:color="auto"/>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320" w:type="dxa"/>
            <w:vAlign w:val="bottom"/>
            <w:tcBorders>
              <w:bottom w:val="single" w:sz="8" w:color="auto"/>
              <w:right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right w:val="single" w:sz="8" w:color="auto"/>
            </w:tcBorders>
          </w:tcPr>
          <w:p>
            <w:pPr>
              <w:spacing w:after="0"/>
              <w:rPr>
                <w:sz w:val="15"/>
                <w:szCs w:val="15"/>
                <w:color w:val="auto"/>
              </w:rPr>
            </w:pPr>
          </w:p>
        </w:tc>
      </w:tr>
      <w:tr>
        <w:trPr>
          <w:trHeight w:val="1188"/>
        </w:trPr>
        <w:tc>
          <w:tcPr>
            <w:tcW w:w="7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509" w:right="83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8"/>
          <w:szCs w:val="18"/>
          <w:b w:val="1"/>
          <w:bCs w:val="1"/>
          <w:color w:val="auto"/>
        </w:rPr>
        <w:t>UFP Industries,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Page 9</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 RECONCILIATION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2022/2021</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7220" w:type="dxa"/>
            <w:vAlign w:val="bottom"/>
            <w:tcBorders>
              <w:top w:val="single" w:sz="8" w:color="auto"/>
              <w:left w:val="single" w:sz="8" w:color="auto"/>
              <w:bottom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2860" w:type="dxa"/>
            <w:vAlign w:val="bottom"/>
            <w:tcBorders>
              <w:top w:val="single" w:sz="8" w:color="auto"/>
              <w:bottom w:val="single" w:sz="8" w:color="auto"/>
              <w:right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Quarter Period and Year to Date</w:t>
            </w: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CCEEFF"/>
              <w:right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193,131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104,251</w:t>
            </w:r>
          </w:p>
        </w:tc>
        <w:tc>
          <w:tcPr>
            <w:tcW w:w="0" w:type="dxa"/>
            <w:vAlign w:val="bottom"/>
          </w:tcPr>
          <w:p>
            <w:pPr>
              <w:spacing w:after="0"/>
              <w:rPr>
                <w:sz w:val="1"/>
                <w:szCs w:val="1"/>
                <w:color w:val="auto"/>
              </w:rPr>
            </w:pPr>
          </w:p>
        </w:tc>
      </w:tr>
      <w:tr>
        <w:trPr>
          <w:trHeight w:val="216"/>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0" w:type="dxa"/>
            <w:vAlign w:val="bottom"/>
          </w:tcPr>
          <w:p>
            <w:pPr>
              <w:spacing w:after="0"/>
              <w:rPr>
                <w:sz w:val="1"/>
                <w:szCs w:val="1"/>
                <w:color w:val="auto"/>
              </w:rPr>
            </w:pPr>
          </w:p>
        </w:tc>
      </w:tr>
      <w:tr>
        <w:trPr>
          <w:trHeight w:val="216"/>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(509)</w:t>
            </w:r>
          </w:p>
        </w:tc>
        <w:tc>
          <w:tcPr>
            <w:tcW w:w="32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31,751</w:t>
            </w:r>
          </w:p>
        </w:tc>
        <w:tc>
          <w:tcPr>
            <w:tcW w:w="0" w:type="dxa"/>
            <w:vAlign w:val="bottom"/>
          </w:tcPr>
          <w:p>
            <w:pPr>
              <w:spacing w:after="0"/>
              <w:rPr>
                <w:sz w:val="1"/>
                <w:szCs w:val="1"/>
                <w:color w:val="auto"/>
              </w:rPr>
            </w:pPr>
          </w:p>
        </w:tc>
      </w:tr>
      <w:tr>
        <w:trPr>
          <w:trHeight w:val="216"/>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 associated with share-based compensation arrangements</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16"/>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gain on disposition and impairment of assets</w:t>
            </w:r>
          </w:p>
        </w:tc>
        <w:tc>
          <w:tcPr>
            <w:tcW w:w="1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w:t>
            </w:r>
          </w:p>
        </w:tc>
        <w:tc>
          <w:tcPr>
            <w:tcW w:w="32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216"/>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earnings of investee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0" w:type="dxa"/>
            <w:vAlign w:val="bottom"/>
          </w:tcPr>
          <w:p>
            <w:pPr>
              <w:spacing w:after="0"/>
              <w:rPr>
                <w:sz w:val="1"/>
                <w:szCs w:val="1"/>
                <w:color w:val="auto"/>
              </w:rPr>
            </w:pPr>
          </w:p>
        </w:tc>
      </w:tr>
      <w:tr>
        <w:trPr>
          <w:trHeight w:val="216"/>
        </w:trPr>
        <w:tc>
          <w:tcPr>
            <w:tcW w:w="72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Unrealized loss (gain) on investments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0" w:type="dxa"/>
            <w:vAlign w:val="bottom"/>
          </w:tcPr>
          <w:p>
            <w:pPr>
              <w:spacing w:after="0"/>
              <w:rPr>
                <w:sz w:val="1"/>
                <w:szCs w:val="1"/>
                <w:color w:val="auto"/>
              </w:rPr>
            </w:pPr>
          </w:p>
        </w:tc>
      </w:tr>
      <w:tr>
        <w:trPr>
          <w:trHeight w:val="216"/>
        </w:trPr>
        <w:tc>
          <w:tcPr>
            <w:tcW w:w="7220" w:type="dxa"/>
            <w:vAlign w:val="bottom"/>
            <w:tcBorders>
              <w:left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18,733</w:t>
            </w:r>
          </w:p>
        </w:tc>
        <w:tc>
          <w:tcPr>
            <w:tcW w:w="0" w:type="dxa"/>
            <w:vAlign w:val="bottom"/>
          </w:tcPr>
          <w:p>
            <w:pPr>
              <w:spacing w:after="0"/>
              <w:rPr>
                <w:sz w:val="1"/>
                <w:szCs w:val="1"/>
                <w:color w:val="auto"/>
              </w:rPr>
            </w:pPr>
          </w:p>
        </w:tc>
      </w:tr>
      <w:tr>
        <w:trPr>
          <w:trHeight w:val="216"/>
        </w:trPr>
        <w:tc>
          <w:tcPr>
            <w:tcW w:w="7220" w:type="dxa"/>
            <w:vAlign w:val="bottom"/>
            <w:tcBorders>
              <w:left w:val="single" w:sz="8" w:color="auto"/>
              <w:bottom w:val="single" w:sz="8" w:color="CCEEFF"/>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10"/>
        </w:trPr>
        <w:tc>
          <w:tcPr>
            <w:tcW w:w="7220" w:type="dxa"/>
            <w:vAlign w:val="bottom"/>
            <w:tcBorders>
              <w:left w:val="single" w:sz="8" w:color="auto"/>
              <w:bottom w:val="single" w:sz="8" w:color="CCEEFF"/>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292,164</w:t>
            </w:r>
          </w:p>
        </w:tc>
        <w:tc>
          <w:tcPr>
            <w:tcW w:w="1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162,667</w:t>
            </w:r>
          </w:p>
        </w:tc>
        <w:tc>
          <w:tcPr>
            <w:tcW w:w="0" w:type="dxa"/>
            <w:vAlign w:val="bottom"/>
          </w:tcPr>
          <w:p>
            <w:pPr>
              <w:spacing w:after="0"/>
              <w:rPr>
                <w:sz w:val="1"/>
                <w:szCs w:val="1"/>
                <w:color w:val="auto"/>
              </w:rPr>
            </w:pPr>
          </w:p>
        </w:tc>
      </w:tr>
      <w:tr>
        <w:trPr>
          <w:trHeight w:val="20"/>
        </w:trPr>
        <w:tc>
          <w:tcPr>
            <w:tcW w:w="7220" w:type="dxa"/>
            <w:vAlign w:val="bottom"/>
            <w:tcBorders>
              <w:lef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20" w:type="dxa"/>
            <w:vAlign w:val="bottom"/>
            <w:tcBorders>
              <w:left w:val="single" w:sz="8" w:color="auto"/>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 as a Percentage of Net Sales</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756"/>
        </w:trPr>
        <w:tc>
          <w:tcPr>
            <w:tcW w:w="7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40"/>
      </w:cols>
      <w:pgMar w:left="820" w:top="509"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3"/>
    </w:lvl>
  </w:abstractNum>
  <w:abstractNum w:abstractNumId="2">
    <w:nsid w:val="625558EC"/>
    <w:multiLevelType w:val="hybridMultilevel"/>
    <w:lvl w:ilvl="0">
      <w:lvlJc w:val="left"/>
      <w:lvlText w:val="%1"/>
      <w:numFmt w:val="decimal"/>
      <w:start w:val="104"/>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2022-04-21T15:28:49Z</dcterms:created>
  <dcterms:modified xsi:type="dcterms:W3CDTF">2022-04-21T15:28:49Z</dcterms:modified>
</cp:coreProperties>
</file>