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-629920</wp:posOffset>
            </wp:positionV>
            <wp:extent cx="58420" cy="643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3989070</wp:posOffset>
            </wp:positionH>
            <wp:positionV relativeFrom="paragraph">
              <wp:posOffset>-629920</wp:posOffset>
            </wp:positionV>
            <wp:extent cx="58420" cy="643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748665</wp:posOffset>
            </wp:positionV>
            <wp:extent cx="7045960" cy="4670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670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WALKER BRIAN C</w:t>
              </w:r>
            </w:hyperlink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UFP INDUSTRIES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UFPI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02/03/2025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2801 EAST BELTLINE NE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920" w:type="dxa"/>
            <w:vAlign w:val="bottom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1"/>
        </w:trPr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02/03/2025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292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292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115.32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31,721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Units credited as part of Director Compensation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issuable following termination of service as a director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80 shares credited to account based on dividends paid on December 16, 2024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Katherine L. Karel,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-8255</wp:posOffset>
            </wp:positionV>
            <wp:extent cx="9601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01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Brian C.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02/05/2025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-15240</wp:posOffset>
            </wp:positionV>
            <wp:extent cx="18878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7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Walker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-15240</wp:posOffset>
            </wp:positionV>
            <wp:extent cx="3067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6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202922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2025-02-05T14:37:44Z</dcterms:created>
  <dcterms:modified xsi:type="dcterms:W3CDTF">2025-02-05T14:37:44Z</dcterms:modified>
</cp:coreProperties>
</file>