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jc w:val="center"/>
        <w:ind w:right="1759"/>
        <w:spacing w:after="0" w:line="238" w:lineRule="auto"/>
        <w:rPr>
          <w:sz w:val="20"/>
          <w:szCs w:val="20"/>
          <w:color w:val="auto"/>
        </w:rPr>
      </w:pPr>
      <w:r>
        <w:rPr>
          <w:rFonts w:ascii="Courier New" w:cs="Courier New" w:eastAsia="Courier New" w:hAnsi="Courier New"/>
          <w:sz w:val="18"/>
          <w:szCs w:val="18"/>
          <w:color w:val="auto"/>
        </w:rPr>
        <w:t>UNITED STATES SECURITIES AND EXCHANGE COMMISSION</w:t>
      </w:r>
    </w:p>
    <w:p>
      <w:pPr>
        <w:jc w:val="center"/>
        <w:ind w:right="175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ind w:left="2440"/>
        <w:spacing w:after="0" w:line="238" w:lineRule="auto"/>
        <w:rPr>
          <w:sz w:val="20"/>
          <w:szCs w:val="20"/>
          <w:color w:val="auto"/>
        </w:rPr>
      </w:pPr>
      <w:r>
        <w:rPr>
          <w:rFonts w:ascii="Courier New" w:cs="Courier New" w:eastAsia="Courier New" w:hAnsi="Courier New"/>
          <w:sz w:val="18"/>
          <w:szCs w:val="18"/>
          <w:color w:val="auto"/>
        </w:rPr>
        <w:t>Pursuant to Section 13 or 15(d) of</w:t>
      </w:r>
    </w:p>
    <w:p>
      <w:pPr>
        <w:ind w:left="2440"/>
        <w:spacing w:after="0"/>
        <w:rPr>
          <w:sz w:val="20"/>
          <w:szCs w:val="20"/>
          <w:color w:val="auto"/>
        </w:rPr>
      </w:pPr>
      <w:r>
        <w:rPr>
          <w:rFonts w:ascii="Courier New" w:cs="Courier New" w:eastAsia="Courier New" w:hAnsi="Courier New"/>
          <w:sz w:val="18"/>
          <w:szCs w:val="18"/>
          <w:color w:val="auto"/>
        </w:rPr>
        <w:t>The Securities Exchange Act of 1934</w:t>
      </w:r>
    </w:p>
    <w:p>
      <w:pPr>
        <w:spacing w:after="0" w:line="200" w:lineRule="exact"/>
        <w:rPr>
          <w:sz w:val="24"/>
          <w:szCs w:val="24"/>
          <w:color w:val="auto"/>
        </w:rPr>
      </w:pPr>
    </w:p>
    <w:p>
      <w:pPr>
        <w:spacing w:after="0" w:line="209" w:lineRule="exact"/>
        <w:rPr>
          <w:sz w:val="24"/>
          <w:szCs w:val="24"/>
          <w:color w:val="auto"/>
        </w:rPr>
      </w:pPr>
    </w:p>
    <w:p>
      <w:pPr>
        <w:ind w:left="960"/>
        <w:spacing w:after="0"/>
        <w:rPr>
          <w:sz w:val="20"/>
          <w:szCs w:val="20"/>
          <w:color w:val="auto"/>
        </w:rPr>
      </w:pPr>
      <w:r>
        <w:rPr>
          <w:rFonts w:ascii="Courier New" w:cs="Courier New" w:eastAsia="Courier New" w:hAnsi="Courier New"/>
          <w:sz w:val="16"/>
          <w:szCs w:val="16"/>
          <w:color w:val="auto"/>
        </w:rPr>
        <w:t>DATE OF REPORT (DATE OF EARLIEST EVENT REPORTED): JUNE 14, 2001</w:t>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UNIVERSAL FOREST PRODUCTS, INC.</w:t>
      </w:r>
    </w:p>
    <w:p>
      <w:pPr>
        <w:jc w:val="center"/>
        <w:ind w:right="175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44"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MICHIGAN</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w:t>
      </w:r>
    </w:p>
    <w:p>
      <w:pPr>
        <w:spacing w:after="0" w:line="1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00-22684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38-1465835</w:t>
      </w:r>
    </w:p>
    <w:p>
      <w:pPr>
        <w:ind w:left="30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3">
            <w:col w:w="2960" w:space="520"/>
            <w:col w:w="2240" w:space="720"/>
            <w:col w:w="3779"/>
          </w:cols>
          <w:pgMar w:left="240" w:top="244" w:right="1440" w:bottom="1440" w:gutter="0" w:footer="0" w:header="0"/>
          <w:type w:val="continuous"/>
        </w:sectPr>
      </w:pPr>
    </w:p>
    <w:p>
      <w:pPr>
        <w:spacing w:after="0" w:line="209" w:lineRule="exact"/>
        <w:rPr>
          <w:sz w:val="24"/>
          <w:szCs w:val="24"/>
          <w:color w:val="auto"/>
        </w:rPr>
      </w:pPr>
    </w:p>
    <w:p>
      <w:pPr>
        <w:ind w:left="540" w:right="1060" w:hanging="315"/>
        <w:spacing w:after="0" w:line="290" w:lineRule="auto"/>
        <w:rPr>
          <w:sz w:val="20"/>
          <w:szCs w:val="20"/>
          <w:color w:val="auto"/>
        </w:rPr>
      </w:pPr>
      <w:r>
        <w:rPr>
          <w:rFonts w:ascii="Courier New" w:cs="Courier New" w:eastAsia="Courier New" w:hAnsi="Courier New"/>
          <w:sz w:val="16"/>
          <w:szCs w:val="16"/>
          <w:color w:val="auto"/>
        </w:rPr>
        <w:t>2801 EAST BELTLINE, N.E., GRAND RAPIDS, MICHIGAN (Address of Principal Executive Offices)</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49525</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54" w:lineRule="exact"/>
        <w:rPr>
          <w:sz w:val="24"/>
          <w:szCs w:val="24"/>
          <w:color w:val="auto"/>
        </w:rPr>
      </w:pPr>
    </w:p>
    <w:p>
      <w:pPr>
        <w:sectPr>
          <w:pgSz w:w="11900" w:h="16838" w:orient="portrait"/>
          <w:cols w:equalWidth="0" w:num="2">
            <w:col w:w="6340" w:space="720"/>
            <w:col w:w="3159"/>
          </w:cols>
          <w:pgMar w:left="240" w:top="244" w:right="1440" w:bottom="1440" w:gutter="0" w:footer="0" w:header="0"/>
          <w:type w:val="continuous"/>
        </w:sectPr>
      </w:pPr>
    </w:p>
    <w:p>
      <w:pPr>
        <w:spacing w:after="0" w:line="167"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(616) 364-6161</w:t>
      </w:r>
    </w:p>
    <w:p>
      <w:pPr>
        <w:jc w:val="center"/>
        <w:ind w:right="1779"/>
        <w:spacing w:after="0" w:line="238" w:lineRule="auto"/>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6"/>
          <w:szCs w:val="16"/>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Exhibit Index located on page E-1</w:t>
      </w:r>
    </w:p>
    <w:p>
      <w:pPr>
        <w:spacing w:after="0" w:line="201"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Page 1 of 4</w:t>
      </w:r>
    </w:p>
    <w:p>
      <w:pPr>
        <w:sectPr>
          <w:pgSz w:w="11900" w:h="16838" w:orient="portrait"/>
          <w:cols w:equalWidth="0" w:num="1">
            <w:col w:w="10219"/>
          </w:cols>
          <w:pgMar w:left="240" w:top="244"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CHANGES IN REGISTRANT'S CERTIFYING ACCOUNTANT.</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During the second quarter of 2001, the Registrant's management and Audit Committee obtained competitive proposals for audit services from a selected group of prominent accounting firms, including the Registrant's present independent accountant. On June 14, 2001, the Registrant's Board of Directors approved a change in its independent accountant from Deloitte &amp; Touche LLP ("D&amp;T") to Arthur Andersen LLP ("AA") based on the recommendation of the Audit Committee.</w:t>
      </w:r>
    </w:p>
    <w:p>
      <w:pPr>
        <w:spacing w:after="0" w:line="211"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D&amp;T's report on the Registrant's 1999 and 2000 financial statements did not contain an adverse opinion or a disclaimer of opinion and were not qualified or modified as to uncertainty, audit scope or accounting principles. During 1999, 2000 and the portion of 2001 preceding the Board's decision, there were no disagreements with D&amp;T on any matter of accounting principles or practices, financial statement disclosure, auditing scope or procedure which disagreement(s), if not resolved, would have caused D&amp;T to refer to the matter of the disagreement(s) in connection with its reports. There were no reportable events ("Reportable Events") as described in Item 304(a)(1)(v) of the Securities and Exchange Commission's (the "Commission") Regulation S-K.</w:t>
      </w:r>
    </w:p>
    <w:p>
      <w:pPr>
        <w:spacing w:after="0" w:line="215"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The Registrant has provided a copy of the foregoing statements to D&amp;T. Attached as Exhibit 16 hereto is D&amp;T's letter to the Commission stating its agreement with such statements.</w:t>
      </w:r>
    </w:p>
    <w:p>
      <w:pPr>
        <w:spacing w:after="0" w:line="209"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During 1999, 2000 and the portion of 2001 preceding the Board's decision, neither the Registrant nor anyone acting on its behalf consulted with AA regarding (i) either the application of accounting principles to a specified transaction, completed or proposed, or the type of audit opinion that might be rendered on the Registrant's financial statements; or (ii) any matter that was either the subject of a disagreement with D&amp;T or a Reportable Event with respect to D&amp;T.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FINANCIAL STATEMENTS AND EXHIBITS.</w:t>
      </w:r>
    </w:p>
    <w:p>
      <w:pPr>
        <w:spacing w:after="0" w:line="201" w:lineRule="exact"/>
        <w:rPr>
          <w:sz w:val="20"/>
          <w:szCs w:val="20"/>
          <w:color w:val="auto"/>
        </w:rPr>
      </w:pPr>
    </w:p>
    <w:p>
      <w:pPr>
        <w:ind w:left="1900" w:hanging="733"/>
        <w:spacing w:after="0"/>
        <w:tabs>
          <w:tab w:leader="none" w:pos="19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6" w:lineRule="exact"/>
        <w:rPr>
          <w:rFonts w:ascii="Courier New" w:cs="Courier New" w:eastAsia="Courier New" w:hAnsi="Courier New"/>
          <w:sz w:val="18"/>
          <w:szCs w:val="18"/>
          <w:color w:val="auto"/>
        </w:rPr>
      </w:pPr>
    </w:p>
    <w:p>
      <w:pPr>
        <w:ind w:left="2640" w:right="1999" w:hanging="737"/>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16Letter from Deloitte &amp; Touche LLP regarding change in certifying accountant.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879" w:firstLine="115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as amended, the Registrant has duly caused this report to be signed on its behalf by the undersigned hereunto duly authorized.</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14, 2001</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UNIVERSAL FOREST PRODUCTS, INC.</w:t>
      </w:r>
    </w:p>
    <w:p>
      <w:pPr>
        <w:spacing w:after="0" w:line="200" w:lineRule="exact"/>
        <w:rPr>
          <w:sz w:val="20"/>
          <w:szCs w:val="20"/>
          <w:color w:val="auto"/>
        </w:rPr>
      </w:pPr>
    </w:p>
    <w:p>
      <w:pPr>
        <w:sectPr>
          <w:pgSz w:w="11900" w:h="16838" w:orient="portrait"/>
          <w:cols w:equalWidth="0" w:num="3">
            <w:col w:w="640" w:space="220"/>
            <w:col w:w="2440" w:space="720"/>
            <w:col w:w="6199"/>
          </w:cols>
          <w:pgMar w:left="240" w:top="312" w:right="1440" w:bottom="144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By:/s/ Peter F. Secchia</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Peter F. Secchia, Chairman of the Board</w:t>
      </w:r>
    </w:p>
    <w:p>
      <w:pPr>
        <w:spacing w:after="0" w:line="21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/s/ William G. Currie</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William G. Currie, Vice Chairman of the</w:t>
      </w:r>
    </w:p>
    <w:p>
      <w:pPr>
        <w:spacing w:after="0" w:line="16"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Board and Chief Executive Officer</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/s/ Michael R. Cole</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Michael R. Cole, Chief Financial</w:t>
      </w:r>
    </w:p>
    <w:p>
      <w:pPr>
        <w:ind w:left="4320"/>
        <w:spacing w:after="0" w:line="238" w:lineRule="auto"/>
        <w:rPr>
          <w:sz w:val="20"/>
          <w:szCs w:val="20"/>
          <w:color w:val="auto"/>
        </w:rPr>
      </w:pPr>
      <w:r>
        <w:rPr>
          <w:rFonts w:ascii="Courier New" w:cs="Courier New" w:eastAsia="Courier New" w:hAnsi="Courier New"/>
          <w:sz w:val="18"/>
          <w:szCs w:val="18"/>
          <w:color w:val="auto"/>
        </w:rPr>
        <w:t>Officer and Treasurer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type w:val="continuous"/>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200" w:lineRule="exact"/>
        <w:rPr>
          <w:sz w:val="20"/>
          <w:szCs w:val="20"/>
          <w:color w:val="auto"/>
        </w:rPr>
      </w:pPr>
    </w:p>
    <w:p>
      <w:pPr>
        <w:sectPr>
          <w:pgSz w:w="11900" w:h="16838" w:orient="portrait"/>
          <w:cols w:equalWidth="0" w:num="2">
            <w:col w:w="1400" w:space="720"/>
            <w:col w:w="8099"/>
          </w:cols>
          <w:pgMar w:left="240" w:top="312"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16</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Letter from Deloitte &amp; Touche LLP regarding change in certifying accountant.</w:t>
      </w:r>
    </w:p>
    <w:p>
      <w:pPr>
        <w:spacing w:after="0" w:line="200" w:lineRule="exact"/>
        <w:rPr>
          <w:sz w:val="20"/>
          <w:szCs w:val="20"/>
          <w:color w:val="auto"/>
        </w:rPr>
      </w:pPr>
    </w:p>
    <w:p>
      <w:pPr>
        <w:sectPr>
          <w:pgSz w:w="11900" w:h="16838" w:orient="portrait"/>
          <w:cols w:equalWidth="0" w:num="2">
            <w:col w:w="1400" w:space="720"/>
            <w:col w:w="8099"/>
          </w:cols>
          <w:pgMar w:left="240" w:top="31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312" w:right="1440" w:bottom="1440" w:gutter="0" w:footer="0" w:header="0"/>
          <w:type w:val="continuous"/>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EXHIBIT 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June 14, 2001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Mail Stop 11-3</w:t>
      </w:r>
    </w:p>
    <w:p>
      <w:pPr>
        <w:spacing w:after="0"/>
        <w:rPr>
          <w:sz w:val="20"/>
          <w:szCs w:val="20"/>
          <w:color w:val="auto"/>
        </w:rPr>
      </w:pPr>
      <w:r>
        <w:rPr>
          <w:rFonts w:ascii="Courier New" w:cs="Courier New" w:eastAsia="Courier New" w:hAnsi="Courier New"/>
          <w:sz w:val="18"/>
          <w:szCs w:val="18"/>
          <w:color w:val="auto"/>
        </w:rPr>
        <w:t>450 5th Street, NW</w:t>
      </w:r>
    </w:p>
    <w:p>
      <w:pPr>
        <w:spacing w:after="0" w:line="237"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Sirs/Madams:</w:t>
      </w:r>
    </w:p>
    <w:p>
      <w:pPr>
        <w:spacing w:after="0" w:line="200" w:lineRule="exact"/>
        <w:rPr>
          <w:sz w:val="20"/>
          <w:szCs w:val="20"/>
          <w:color w:val="auto"/>
        </w:rPr>
      </w:pPr>
    </w:p>
    <w:p>
      <w:pPr>
        <w:spacing w:after="0" w:line="209" w:lineRule="exact"/>
        <w:rPr>
          <w:sz w:val="20"/>
          <w:szCs w:val="20"/>
          <w:color w:val="auto"/>
        </w:rPr>
      </w:pPr>
    </w:p>
    <w:p>
      <w:pPr>
        <w:jc w:val="both"/>
        <w:ind w:right="2319"/>
        <w:spacing w:after="0" w:line="236" w:lineRule="auto"/>
        <w:rPr>
          <w:sz w:val="20"/>
          <w:szCs w:val="20"/>
          <w:color w:val="auto"/>
        </w:rPr>
      </w:pPr>
      <w:r>
        <w:rPr>
          <w:rFonts w:ascii="Courier New" w:cs="Courier New" w:eastAsia="Courier New" w:hAnsi="Courier New"/>
          <w:sz w:val="18"/>
          <w:szCs w:val="18"/>
          <w:color w:val="auto"/>
        </w:rPr>
        <w:t>We have read and agree with the comments in Item 4 of Form 8-K of Universal Forest Products, Inc. dated June 14, 2001 insofar as the comments relate to us.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Yours truly,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Deloitte &amp; Touche LLP</w:t>
      </w:r>
    </w:p>
    <w:p>
      <w:pPr>
        <w:spacing w:after="0" w:line="238" w:lineRule="auto"/>
        <w:rPr>
          <w:sz w:val="20"/>
          <w:szCs w:val="20"/>
          <w:color w:val="auto"/>
        </w:rPr>
      </w:pPr>
      <w:r>
        <w:rPr>
          <w:rFonts w:ascii="Courier New" w:cs="Courier New" w:eastAsia="Courier New" w:hAnsi="Courier New"/>
          <w:sz w:val="18"/>
          <w:szCs w:val="18"/>
          <w:color w:val="auto"/>
        </w:rPr>
        <w:t>Deloitte &amp; Touche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E-1</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2019-12-14T01:34:33Z</dcterms:created>
  <dcterms:modified xsi:type="dcterms:W3CDTF">2019-12-14T01:34:33Z</dcterms:modified>
</cp:coreProperties>
</file>