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MISSAD MATTHEW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EAST BELTLINE, N.E.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84.52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95,757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Company's Deferred Compensation Plan and are payable in shares of the Company's common stock upon the reporting person's death, disability,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284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3258</Characters>
  <CharactersWithSpaces>3789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