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903605</wp:posOffset>
            </wp:positionH>
            <wp:positionV relativeFrom="page">
              <wp:posOffset>363220</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397510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18, 2017</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2940" w:type="dxa"/>
            <w:vAlign w:val="bottom"/>
          </w:tcPr>
          <w:p>
            <w:pPr>
              <w:jc w:val="center"/>
              <w:ind w:right="730"/>
              <w:spacing w:after="0"/>
              <w:rPr>
                <w:sz w:val="20"/>
                <w:szCs w:val="20"/>
                <w:color w:val="auto"/>
              </w:rPr>
            </w:pPr>
            <w:r>
              <w:rPr>
                <w:rFonts w:ascii="Arial" w:cs="Arial" w:eastAsia="Arial" w:hAnsi="Arial"/>
                <w:sz w:val="18"/>
                <w:szCs w:val="18"/>
                <w:b w:val="1"/>
                <w:bCs w:val="1"/>
                <w:color w:val="auto"/>
                <w:w w:val="92"/>
              </w:rPr>
              <w:t>Michigan</w:t>
            </w:r>
          </w:p>
        </w:tc>
        <w:tc>
          <w:tcPr>
            <w:tcW w:w="252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217"/>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2520" w:type="dxa"/>
            <w:vAlign w:val="bottom"/>
          </w:tcPr>
          <w:p>
            <w:pPr>
              <w:jc w:val="right"/>
              <w:ind w:right="990"/>
              <w:spacing w:after="0"/>
              <w:rPr>
                <w:sz w:val="20"/>
                <w:szCs w:val="20"/>
                <w:color w:val="auto"/>
              </w:rPr>
            </w:pPr>
            <w:r>
              <w:rPr>
                <w:rFonts w:ascii="Arial" w:cs="Arial" w:eastAsia="Arial" w:hAnsi="Arial"/>
                <w:sz w:val="18"/>
                <w:szCs w:val="18"/>
                <w:b w:val="1"/>
                <w:bCs w:val="1"/>
                <w:color w:val="auto"/>
              </w:rPr>
              <w:t>0-22684</w:t>
            </w:r>
          </w:p>
        </w:tc>
        <w:tc>
          <w:tcPr>
            <w:tcW w:w="2880" w:type="dxa"/>
            <w:vAlign w:val="bottom"/>
          </w:tcPr>
          <w:p>
            <w:pPr>
              <w:jc w:val="right"/>
              <w:ind w:right="710"/>
              <w:spacing w:after="0"/>
              <w:rPr>
                <w:sz w:val="20"/>
                <w:szCs w:val="20"/>
                <w:color w:val="auto"/>
              </w:rPr>
            </w:pPr>
            <w:r>
              <w:rPr>
                <w:rFonts w:ascii="Arial" w:cs="Arial" w:eastAsia="Arial" w:hAnsi="Arial"/>
                <w:sz w:val="18"/>
                <w:szCs w:val="18"/>
                <w:b w:val="1"/>
                <w:bCs w:val="1"/>
                <w:color w:val="auto"/>
              </w:rPr>
              <w:t>38-1465835</w:t>
            </w:r>
          </w:p>
        </w:tc>
      </w:tr>
      <w:tr>
        <w:trPr>
          <w:trHeight w:val="270"/>
        </w:trPr>
        <w:tc>
          <w:tcPr>
            <w:tcW w:w="2940" w:type="dxa"/>
            <w:vAlign w:val="bottom"/>
          </w:tcPr>
          <w:p>
            <w:pPr>
              <w:jc w:val="center"/>
              <w:ind w:right="730"/>
              <w:spacing w:after="0"/>
              <w:rPr>
                <w:sz w:val="20"/>
                <w:szCs w:val="20"/>
                <w:color w:val="auto"/>
              </w:rPr>
            </w:pPr>
            <w:r>
              <w:rPr>
                <w:rFonts w:ascii="Arial" w:cs="Arial" w:eastAsia="Arial" w:hAnsi="Arial"/>
                <w:sz w:val="18"/>
                <w:szCs w:val="18"/>
                <w:color w:val="auto"/>
                <w:w w:val="93"/>
              </w:rPr>
              <w:t>Incorporation)</w:t>
            </w:r>
          </w:p>
        </w:tc>
        <w:tc>
          <w:tcPr>
            <w:tcW w:w="2520" w:type="dxa"/>
            <w:vAlign w:val="bottom"/>
          </w:tcPr>
          <w:p>
            <w:pPr>
              <w:jc w:val="center"/>
              <w:ind w:right="170"/>
              <w:spacing w:after="0"/>
              <w:rPr>
                <w:sz w:val="20"/>
                <w:szCs w:val="20"/>
                <w:color w:val="auto"/>
              </w:rPr>
            </w:pPr>
            <w:r>
              <w:rPr>
                <w:rFonts w:ascii="Arial" w:cs="Arial" w:eastAsia="Arial" w:hAnsi="Arial"/>
                <w:sz w:val="18"/>
                <w:szCs w:val="18"/>
                <w:color w:val="auto"/>
                <w:w w:val="92"/>
              </w:rPr>
              <w:t>(Commission File Number)</w:t>
            </w:r>
          </w:p>
        </w:tc>
        <w:tc>
          <w:tcPr>
            <w:tcW w:w="2880" w:type="dxa"/>
            <w:vAlign w:val="bottom"/>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454"/>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1"/>
              </w:rPr>
              <w:t>2801 East Beltline, NE</w:t>
            </w:r>
          </w:p>
        </w:tc>
        <w:tc>
          <w:tcPr>
            <w:tcW w:w="25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0"/>
        </w:trPr>
        <w:tc>
          <w:tcPr>
            <w:tcW w:w="2940" w:type="dxa"/>
            <w:vAlign w:val="bottom"/>
          </w:tcPr>
          <w:p>
            <w:pPr>
              <w:jc w:val="center"/>
              <w:ind w:left="650"/>
              <w:spacing w:after="0"/>
              <w:rPr>
                <w:sz w:val="20"/>
                <w:szCs w:val="20"/>
                <w:color w:val="auto"/>
              </w:rPr>
            </w:pPr>
            <w:r>
              <w:rPr>
                <w:rFonts w:ascii="Arial" w:cs="Arial" w:eastAsia="Arial" w:hAnsi="Arial"/>
                <w:sz w:val="18"/>
                <w:szCs w:val="18"/>
                <w:b w:val="1"/>
                <w:bCs w:val="1"/>
                <w:color w:val="auto"/>
                <w:w w:val="93"/>
              </w:rPr>
              <w:t>Grand Rapids, Michigan</w:t>
            </w:r>
          </w:p>
        </w:tc>
        <w:tc>
          <w:tcPr>
            <w:tcW w:w="2520" w:type="dxa"/>
            <w:vAlign w:val="bottom"/>
          </w:tcPr>
          <w:p>
            <w:pPr>
              <w:spacing w:after="0"/>
              <w:rPr>
                <w:sz w:val="19"/>
                <w:szCs w:val="19"/>
                <w:color w:val="auto"/>
              </w:rPr>
            </w:pPr>
          </w:p>
        </w:tc>
        <w:tc>
          <w:tcPr>
            <w:tcW w:w="2880" w:type="dxa"/>
            <w:vAlign w:val="bottom"/>
          </w:tcPr>
          <w:p>
            <w:pPr>
              <w:jc w:val="right"/>
              <w:ind w:right="1630"/>
              <w:spacing w:after="0"/>
              <w:rPr>
                <w:sz w:val="20"/>
                <w:szCs w:val="20"/>
                <w:color w:val="auto"/>
              </w:rPr>
            </w:pPr>
            <w:r>
              <w:rPr>
                <w:rFonts w:ascii="Arial" w:cs="Arial" w:eastAsia="Arial" w:hAnsi="Arial"/>
                <w:sz w:val="18"/>
                <w:szCs w:val="18"/>
                <w:b w:val="1"/>
                <w:bCs w:val="1"/>
                <w:color w:val="auto"/>
              </w:rPr>
              <w:t>49525</w:t>
            </w:r>
          </w:p>
        </w:tc>
      </w:tr>
      <w:tr>
        <w:trPr>
          <w:trHeight w:val="230"/>
        </w:trPr>
        <w:tc>
          <w:tcPr>
            <w:tcW w:w="5460" w:type="dxa"/>
            <w:vAlign w:val="bottom"/>
            <w:gridSpan w:val="2"/>
          </w:tcPr>
          <w:p>
            <w:pPr>
              <w:jc w:val="center"/>
              <w:ind w:right="169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jc w:val="center"/>
              <w:ind w:right="910"/>
              <w:spacing w:after="0"/>
              <w:rPr>
                <w:sz w:val="20"/>
                <w:szCs w:val="20"/>
                <w:color w:val="auto"/>
              </w:rPr>
            </w:pPr>
            <w:r>
              <w:rPr>
                <w:rFonts w:ascii="Arial" w:cs="Arial" w:eastAsia="Arial" w:hAnsi="Arial"/>
                <w:sz w:val="18"/>
                <w:szCs w:val="18"/>
                <w:color w:val="auto"/>
                <w:w w:val="94"/>
              </w:rPr>
              <w:t>(Zip Code)</w:t>
            </w:r>
          </w:p>
        </w:tc>
      </w:tr>
    </w:tbl>
    <w:p>
      <w:pPr>
        <w:spacing w:after="0" w:line="184"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7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69" w:lineRule="exact"/>
        <w:rPr>
          <w:rFonts w:ascii="MS PGothic" w:cs="MS PGothic" w:eastAsia="MS PGothic" w:hAnsi="MS PGothic"/>
          <w:sz w:val="17"/>
          <w:szCs w:val="17"/>
          <w:color w:val="auto"/>
        </w:rPr>
      </w:pPr>
    </w:p>
    <w:p>
      <w:pPr>
        <w:ind w:left="520" w:hanging="517"/>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9"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778" w:right="141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18, 2017, the Registrant issued a press release announcing its financial results for the quarter ended April 1, 2017. A copy of the Registrant’s press release is attached as Exhibit 99(a) to this Current Report.</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83" w:lineRule="exact"/>
        <w:rPr>
          <w:sz w:val="20"/>
          <w:szCs w:val="20"/>
          <w:color w:val="auto"/>
        </w:rPr>
      </w:pPr>
    </w:p>
    <w:p>
      <w:pPr>
        <w:ind w:left="1320" w:hanging="669"/>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April 18,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UNIVERSAL FOREST PRODUCTS, INC.</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0"/>
        <w:spacing w:after="0"/>
        <w:tabs>
          <w:tab w:leader="none" w:pos="4380" w:val="left"/>
          <w:tab w:leader="none" w:pos="4900" w:val="left"/>
        </w:tabs>
        <w:rPr>
          <w:sz w:val="20"/>
          <w:szCs w:val="20"/>
          <w:color w:val="auto"/>
        </w:rPr>
      </w:pPr>
      <w:r>
        <w:rPr>
          <w:rFonts w:ascii="Arial" w:cs="Arial" w:eastAsia="Arial" w:hAnsi="Arial"/>
          <w:sz w:val="18"/>
          <w:szCs w:val="18"/>
          <w:color w:val="auto"/>
        </w:rPr>
        <w:t>Dated: April 18,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-130175</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7200" w:type="dxa"/>
            <w:vAlign w:val="bottom"/>
          </w:tcPr>
          <w:p>
            <w:pPr>
              <w:spacing w:after="0"/>
              <w:rPr>
                <w:sz w:val="20"/>
                <w:szCs w:val="20"/>
                <w:color w:val="auto"/>
              </w:rPr>
            </w:pPr>
            <w:r>
              <w:rPr>
                <w:rFonts w:ascii="Arial" w:cs="Arial" w:eastAsia="Arial" w:hAnsi="Arial"/>
                <w:sz w:val="18"/>
                <w:szCs w:val="18"/>
                <w:b w:val="1"/>
                <w:bCs w:val="1"/>
                <w:color w:val="auto"/>
              </w:rPr>
              <w:t>Document</w:t>
            </w:r>
          </w:p>
        </w:tc>
      </w:tr>
      <w:tr>
        <w:trPr>
          <w:trHeight w:val="224"/>
        </w:trPr>
        <w:tc>
          <w:tcPr>
            <w:tcW w:w="2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99(a)</w:t>
            </w:r>
          </w:p>
        </w:tc>
        <w:tc>
          <w:tcPr>
            <w:tcW w:w="420" w:type="dxa"/>
            <w:vAlign w:val="bottom"/>
          </w:tcPr>
          <w:p>
            <w:pPr>
              <w:spacing w:after="0"/>
              <w:rPr>
                <w:sz w:val="19"/>
                <w:szCs w:val="19"/>
                <w:color w:val="auto"/>
              </w:rPr>
            </w:pPr>
          </w:p>
        </w:tc>
        <w:tc>
          <w:tcPr>
            <w:tcW w:w="7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April 18, 2017.</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53" w:right="1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61225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514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154940</wp:posOffset>
            </wp:positionV>
            <wp:extent cx="1732280" cy="643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News release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---------------AT THE COMPANY---------------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Lynn Afendoulis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365-1502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Tuesday, April 18,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UFPI posts record first-quarter earnings and sales</w:t>
      </w:r>
    </w:p>
    <w:p>
      <w:pPr>
        <w:spacing w:after="0" w:line="2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GRAND RAPIDS, Mich., April 18, 2017 – Universal Forest Products, Inc. (Nasdaq: UFPI) today reported financial results for the first quarter ended April 1, 2017.</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employees of Universal delivered record first-quarter sales and profits, underscoring the success of our balanced business model and targeted approach to growing our business,” said CEO Matthew J. Missad. “Those records are even more impressive if you consider we did not have the same purchasing and weather advantages we enjoyed during the first quarter of 2016.”</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retail and construction markets had net sales increases of 15 and 21 percent, respectively. The industrial market grew 37 percent, largely because of the September 2016 acquisition of idX Corp.</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“While we are pleased with these results, we see opportunities to do much more. We’re focused on a number of opportunities to grow sales and create efficiencies among our recent acquisitions that we expect will benefit us in 2017 and beyond.”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2017 Highlights (comparisons on a year-over-year basis):</w:t>
      </w:r>
    </w:p>
    <w:p>
      <w:pPr>
        <w:spacing w:after="0" w:line="229" w:lineRule="exact"/>
        <w:rPr>
          <w:sz w:val="20"/>
          <w:szCs w:val="20"/>
          <w:color w:val="auto"/>
        </w:rPr>
      </w:pPr>
    </w:p>
    <w:p>
      <w:pPr>
        <w:ind w:left="460" w:hanging="145"/>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were $21.1 million, up 10 percent</w:t>
      </w:r>
    </w:p>
    <w:p>
      <w:pPr>
        <w:spacing w:after="0" w:line="11" w:lineRule="exact"/>
        <w:rPr>
          <w:rFonts w:ascii="Arial" w:cs="Arial" w:eastAsia="Arial" w:hAnsi="Arial"/>
          <w:sz w:val="18"/>
          <w:szCs w:val="18"/>
          <w:color w:val="auto"/>
        </w:rPr>
      </w:pPr>
    </w:p>
    <w:p>
      <w:pPr>
        <w:ind w:left="520" w:hanging="205"/>
        <w:spacing w:after="0" w:line="234"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were $1.03, up from $0.95</w:t>
      </w:r>
    </w:p>
    <w:p>
      <w:pPr>
        <w:ind w:left="460" w:hanging="145"/>
        <w:spacing w:after="0" w:line="23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of $846.1 million represent a 24 percent increase over net sales of $682.2 million</w:t>
      </w:r>
    </w:p>
    <w:p>
      <w:pPr>
        <w:ind w:left="440" w:hanging="125"/>
        <w:spacing w:after="0" w:line="23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 sales contributed to 17 percent of gross sales growth; higher lumber prices contributed 6 percent</w:t>
      </w:r>
    </w:p>
    <w:p>
      <w:pPr>
        <w:ind w:left="500" w:hanging="18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 sales were $74.6 million, up from $64.7 million</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Company’s earnings growth fell short of its unit sales growth in the first quarter of 2017 due to a number of common business factors that impacted several operations. They include the loss in 2017 of inventory cost advantages that the Company realized the previous year in the industrial market, inclement weather in many areas of the country and the cost of start-up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market, the Company posted the following first-quarter 2017 gross sales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$311.8 million, up 15 percent over the same period of 2016</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Sales to the retail market grew 15 percent due to a 6 percent increase in selling prices and a 9 percent increase in unit sales, led by a 19 percent increase in sales to big box customers. Net of acquisitions, unit sales grew 2 percent.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$267.8 million, up 21 percent over the same period of 2016</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Unit sales to the construction market rose 13 percent in the first quarter, led by gains of 16 percent to residential construction customers and 14 percent to manufactured housing customers. The Company remains focused on growing business selectively in areas where housing markets are the most stable.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$277.2 million, up 37 percent over the same period of 2016</w:t>
      </w:r>
    </w:p>
    <w:p>
      <w:pPr>
        <w:spacing w:after="0" w:line="225" w:lineRule="exact"/>
        <w:rPr>
          <w:sz w:val="20"/>
          <w:szCs w:val="20"/>
          <w:color w:val="auto"/>
        </w:rPr>
      </w:pPr>
    </w:p>
    <w:p>
      <w:pPr>
        <w:ind w:right="700"/>
        <w:spacing w:after="0" w:line="286" w:lineRule="auto"/>
        <w:rPr>
          <w:sz w:val="20"/>
          <w:szCs w:val="20"/>
          <w:color w:val="auto"/>
        </w:rPr>
      </w:pPr>
      <w:r>
        <w:rPr>
          <w:rFonts w:ascii="Arial" w:cs="Arial" w:eastAsia="Arial" w:hAnsi="Arial"/>
          <w:sz w:val="17"/>
          <w:szCs w:val="17"/>
          <w:color w:val="auto"/>
        </w:rPr>
        <w:t>The Company’s growth in this market is primarily due to its acquisition of idX Corp., which closed in September of 2016. Excluding acquisitions, the Company grew unit sales in this market by 4 percent in the first quarter over the first quarter of 2016. The growth was generated both by adding new customers and by increasing the number of affiliates that serve large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Universal Forest Products will conduct a conference call to discuss information included in this news release and related matters at 8:30 a.m. ET on Wednesday, April 19, 2017. The call will be hosted by CEO Matthew J. Missad and CFO Michael Cole, and will be available for analysts and institutional investors domestically at (888) 685-5759 and internationally at (503) 343-6031. Use conference ID 83487335. The conference call will be available simultaneously and in its entirety to all interested investors and news media through a webcast at http://www.ufpi.com. A replay of the call will be available through May 19, 2017, at any of the following numbers: (855) 859-2056, (404) 537-3406 or (800) 585-5367.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6122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Universal Forest Products, Inc. is a holding company whose subsidiaries supply wood, wood composite and other products to three robust markets: retail, construction and industrial. Founded in 1955, the Company is headquartered in Grand Rapids, Mich., with affiliates throughout North America, Europe, Asia and Australia. For more about Universal Forest Products, go to www.ufpi.com.</w:t>
      </w:r>
    </w:p>
    <w:p>
      <w:pPr>
        <w:spacing w:after="0" w:line="373" w:lineRule="exact"/>
        <w:rPr>
          <w:sz w:val="20"/>
          <w:szCs w:val="20"/>
          <w:color w:val="auto"/>
        </w:rPr>
      </w:pPr>
    </w:p>
    <w:p>
      <w:pPr>
        <w:spacing w:after="0" w:line="286" w:lineRule="auto"/>
        <w:rPr>
          <w:sz w:val="20"/>
          <w:szCs w:val="20"/>
          <w:color w:val="auto"/>
        </w:rPr>
      </w:pPr>
      <w:r>
        <w:rPr>
          <w:rFonts w:ascii="Arial" w:cs="Arial" w:eastAsia="Arial" w:hAnsi="Arial"/>
          <w:sz w:val="15"/>
          <w:szCs w:val="15"/>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66122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1" w:right="73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2017/2016</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80" w:type="dxa"/>
            <w:vAlign w:val="bottom"/>
            <w:tcBorders>
              <w:top w:val="single" w:sz="8" w:color="auto"/>
              <w:left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w w:val="92"/>
              </w:rPr>
              <w:t>Quarter Period</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7"/>
          </w:tcPr>
          <w:p>
            <w:pPr>
              <w:jc w:val="right"/>
              <w:ind w:right="460"/>
              <w:spacing w:after="0"/>
              <w:rPr>
                <w:sz w:val="20"/>
                <w:szCs w:val="20"/>
                <w:color w:val="auto"/>
              </w:rPr>
            </w:pPr>
            <w:r>
              <w:rPr>
                <w:rFonts w:ascii="Arial" w:cs="Arial" w:eastAsia="Arial" w:hAnsi="Arial"/>
                <w:sz w:val="16"/>
                <w:szCs w:val="16"/>
                <w:b w:val="1"/>
                <w:bCs w:val="1"/>
                <w:color w:val="auto"/>
              </w:rPr>
              <w:t>Year to Date</w:t>
            </w:r>
          </w:p>
        </w:tc>
        <w:tc>
          <w:tcPr>
            <w:tcW w:w="520" w:type="dxa"/>
            <w:vAlign w:val="bottom"/>
            <w:tcBorders>
              <w:top w:val="single" w:sz="8" w:color="auto"/>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8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$ 846,130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w w:val="89"/>
              </w:rPr>
              <w:t>100</w:t>
            </w:r>
          </w:p>
        </w:tc>
        <w:tc>
          <w:tcPr>
            <w:tcW w:w="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2"/>
              </w:rPr>
              <w:t>$ 682,151</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100</w:t>
            </w:r>
          </w:p>
        </w:tc>
        <w:tc>
          <w:tcPr>
            <w:tcW w:w="18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2"/>
              </w:rPr>
              <w:t>$ 846,130</w:t>
            </w:r>
          </w:p>
        </w:tc>
        <w:tc>
          <w:tcPr>
            <w:tcW w:w="1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w w:val="89"/>
              </w:rPr>
              <w:t>100</w:t>
            </w:r>
          </w:p>
        </w:tc>
        <w:tc>
          <w:tcPr>
            <w:tcW w:w="1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682,151</w:t>
            </w:r>
          </w:p>
        </w:tc>
        <w:tc>
          <w:tcPr>
            <w:tcW w:w="16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COST OF GOODS SOLD</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725,390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85.7</w:t>
            </w:r>
          </w:p>
        </w:tc>
        <w:tc>
          <w:tcPr>
            <w:tcW w:w="180" w:type="dxa"/>
            <w:vAlign w:val="bottom"/>
            <w:tcBorders>
              <w:right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579,412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725,390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85.7</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579,412</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w w:val="89"/>
              </w:rPr>
              <w:t>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120,740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14.3</w:t>
            </w:r>
          </w:p>
        </w:tc>
        <w:tc>
          <w:tcPr>
            <w:tcW w:w="18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102,739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120,740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14.3</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102,739</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w w:val="89"/>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Borders>
              <w:left w:val="single" w:sz="8" w:color="auto"/>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SELLING,  GENERAL AND ADMINISTRATIVE EXPENSES</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86,919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10.3</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70,828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86,919</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10.3</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70,828</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w w:val="89"/>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FROM OPERATIONS</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31,911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31,911</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NET</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891</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31,020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31,020</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INCOME TAXES</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10,765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10,765</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20,255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20,255</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LESS NET EARNINGS ATTRIBUTABLE TO</w:t>
            </w:r>
          </w:p>
        </w:tc>
        <w:tc>
          <w:tcPr>
            <w:tcW w:w="2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(1,043)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(1,043)</w:t>
            </w:r>
          </w:p>
        </w:tc>
        <w:tc>
          <w:tcPr>
            <w:tcW w:w="520" w:type="dxa"/>
            <w:vAlign w:val="bottom"/>
            <w:tcBorders>
              <w:right w:val="single" w:sz="8" w:color="auto"/>
            </w:tcBorders>
            <w:shd w:val="clear" w:color="auto" w:fill="CCEEFF"/>
          </w:tcPr>
          <w:p>
            <w:pPr>
              <w:jc w:val="right"/>
              <w:ind w:right="95"/>
              <w:spacing w:after="0"/>
              <w:rPr>
                <w:sz w:val="20"/>
                <w:szCs w:val="20"/>
                <w:color w:val="auto"/>
              </w:rPr>
            </w:pPr>
            <w:r>
              <w:rPr>
                <w:rFonts w:ascii="Arial" w:cs="Arial" w:eastAsia="Arial" w:hAnsi="Arial"/>
                <w:sz w:val="16"/>
                <w:szCs w:val="16"/>
                <w:color w:val="auto"/>
                <w:w w:val="97"/>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ATTRIBUTABLE TO CONTROLLING</w:t>
            </w:r>
          </w:p>
        </w:tc>
        <w:tc>
          <w:tcPr>
            <w:tcW w:w="2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20" w:type="dxa"/>
            <w:vAlign w:val="bottom"/>
            <w:vMerge w:val="restart"/>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19,212</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19,212</w:t>
            </w:r>
          </w:p>
        </w:tc>
        <w:tc>
          <w:tcPr>
            <w:tcW w:w="16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CCEEFF"/>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INTEREST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right w:val="single" w:sz="8" w:color="auto"/>
            </w:tcBorders>
            <w:shd w:val="clear" w:color="auto" w:fill="CCEEFF"/>
          </w:tcPr>
          <w:p>
            <w:pPr>
              <w:jc w:val="right"/>
              <w:ind w:right="135"/>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BASIC</w:t>
            </w:r>
          </w:p>
        </w:tc>
        <w:tc>
          <w:tcPr>
            <w:tcW w:w="2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0.95</w:t>
            </w:r>
          </w:p>
        </w:tc>
        <w:tc>
          <w:tcPr>
            <w:tcW w:w="16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 DILUTED</w:t>
            </w:r>
          </w:p>
        </w:tc>
        <w:tc>
          <w:tcPr>
            <w:tcW w:w="2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0.95</w:t>
            </w:r>
          </w:p>
        </w:tc>
        <w:tc>
          <w:tcPr>
            <w:tcW w:w="16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20,697</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24,669</w:t>
            </w:r>
          </w:p>
        </w:tc>
        <w:tc>
          <w:tcPr>
            <w:tcW w:w="1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20,697</w:t>
            </w:r>
          </w:p>
        </w:tc>
        <w:tc>
          <w:tcPr>
            <w:tcW w:w="16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LESS COMPREHENSIVE INCOME ATTRIBUTABLE TO</w:t>
            </w:r>
          </w:p>
        </w:tc>
        <w:tc>
          <w:tcPr>
            <w:tcW w:w="2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(1,427)</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(846)</w:t>
            </w:r>
          </w:p>
        </w:tc>
        <w:tc>
          <w:tcPr>
            <w:tcW w:w="52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8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tcBorders>
              <w:left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ATTRIBUTABLE TO</w:t>
            </w:r>
          </w:p>
        </w:tc>
        <w:tc>
          <w:tcPr>
            <w:tcW w:w="2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23,242</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20" w:type="dxa"/>
            <w:vAlign w:val="bottom"/>
            <w:vMerge w:val="restart"/>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19,851</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23,242</w:t>
            </w:r>
          </w:p>
        </w:tc>
        <w:tc>
          <w:tcPr>
            <w:tcW w:w="1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19,851</w:t>
            </w:r>
          </w:p>
        </w:tc>
        <w:tc>
          <w:tcPr>
            <w:tcW w:w="16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bottom w:val="single" w:sz="8" w:color="auto"/>
              <w:right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gridSpan w:val="2"/>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380" w:type="dxa"/>
            <w:vAlign w:val="bottom"/>
            <w:gridSpan w:val="3"/>
          </w:tcPr>
          <w:p>
            <w:pPr>
              <w:ind w:left="20"/>
              <w:spacing w:after="0"/>
              <w:rPr>
                <w:sz w:val="20"/>
                <w:szCs w:val="20"/>
                <w:color w:val="auto"/>
              </w:rPr>
            </w:pPr>
            <w:r>
              <w:rPr>
                <w:rFonts w:ascii="Arial" w:cs="Arial" w:eastAsia="Arial" w:hAnsi="Arial"/>
                <w:sz w:val="18"/>
                <w:szCs w:val="18"/>
                <w:b w:val="1"/>
                <w:bCs w:val="1"/>
                <w:color w:val="auto"/>
              </w:rPr>
              <w:t>SUPPLEMENTAL SALES DATA</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68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rPr>
              <w:t>Quarter Period</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w w:val="91"/>
              </w:rPr>
              <w:t>Year to Date</w:t>
            </w: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80" w:type="dxa"/>
            <w:vAlign w:val="bottom"/>
            <w:tcBorders>
              <w:left w:val="single" w:sz="8" w:color="auto"/>
              <w:right w:val="single" w:sz="8" w:color="auto"/>
            </w:tcBorders>
            <w:gridSpan w:val="3"/>
          </w:tcPr>
          <w:p>
            <w:pPr>
              <w:ind w:left="20"/>
              <w:spacing w:after="0" w:line="170" w:lineRule="exact"/>
              <w:rPr>
                <w:sz w:val="20"/>
                <w:szCs w:val="20"/>
                <w:color w:val="auto"/>
              </w:rPr>
            </w:pPr>
            <w:r>
              <w:rPr>
                <w:rFonts w:ascii="Arial" w:cs="Arial" w:eastAsia="Arial" w:hAnsi="Arial"/>
                <w:sz w:val="18"/>
                <w:szCs w:val="18"/>
                <w:b w:val="1"/>
                <w:bCs w:val="1"/>
                <w:color w:val="auto"/>
              </w:rPr>
              <w:t>Market Classification</w:t>
            </w:r>
          </w:p>
        </w:tc>
        <w:tc>
          <w:tcPr>
            <w:tcW w:w="220" w:type="dxa"/>
            <w:vAlign w:val="bottom"/>
          </w:tcPr>
          <w:p>
            <w:pPr>
              <w:spacing w:after="0"/>
              <w:rPr>
                <w:sz w:val="14"/>
                <w:szCs w:val="14"/>
                <w:color w:val="auto"/>
              </w:rPr>
            </w:pPr>
          </w:p>
        </w:tc>
        <w:tc>
          <w:tcPr>
            <w:tcW w:w="900" w:type="dxa"/>
            <w:vAlign w:val="bottom"/>
            <w:tcBorders>
              <w:right w:val="single" w:sz="8" w:color="auto"/>
            </w:tcBorders>
            <w:gridSpan w:val="3"/>
          </w:tcPr>
          <w:p>
            <w:pPr>
              <w:jc w:val="right"/>
              <w:ind w:right="398"/>
              <w:spacing w:after="0" w:line="170" w:lineRule="exact"/>
              <w:rPr>
                <w:sz w:val="20"/>
                <w:szCs w:val="20"/>
                <w:color w:val="auto"/>
              </w:rPr>
            </w:pPr>
            <w:r>
              <w:rPr>
                <w:rFonts w:ascii="Arial" w:cs="Arial" w:eastAsia="Arial" w:hAnsi="Arial"/>
                <w:sz w:val="18"/>
                <w:szCs w:val="18"/>
                <w:b w:val="1"/>
                <w:bCs w:val="1"/>
                <w:color w:val="auto"/>
                <w:w w:val="99"/>
              </w:rPr>
              <w:t>2017</w:t>
            </w:r>
          </w:p>
        </w:tc>
        <w:tc>
          <w:tcPr>
            <w:tcW w:w="140" w:type="dxa"/>
            <w:vAlign w:val="bottom"/>
          </w:tcPr>
          <w:p>
            <w:pPr>
              <w:spacing w:after="0"/>
              <w:rPr>
                <w:sz w:val="14"/>
                <w:szCs w:val="14"/>
                <w:color w:val="auto"/>
              </w:rPr>
            </w:pPr>
          </w:p>
        </w:tc>
        <w:tc>
          <w:tcPr>
            <w:tcW w:w="540" w:type="dxa"/>
            <w:vAlign w:val="bottom"/>
            <w:gridSpan w:val="2"/>
          </w:tcPr>
          <w:p>
            <w:pPr>
              <w:jc w:val="right"/>
              <w:spacing w:after="0" w:line="170"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60" w:type="dxa"/>
            <w:vAlign w:val="bottom"/>
            <w:gridSpan w:val="3"/>
          </w:tcPr>
          <w:p>
            <w:pPr>
              <w:jc w:val="right"/>
              <w:ind w:right="316"/>
              <w:spacing w:after="0" w:line="170" w:lineRule="exact"/>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6"/>
              <w:spacing w:after="0" w:line="170" w:lineRule="exact"/>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center"/>
              <w:ind w:right="299"/>
              <w:spacing w:after="0" w:line="170" w:lineRule="exact"/>
              <w:rPr>
                <w:sz w:val="20"/>
                <w:szCs w:val="20"/>
                <w:color w:val="auto"/>
              </w:rPr>
            </w:pPr>
            <w:r>
              <w:rPr>
                <w:rFonts w:ascii="Arial" w:cs="Arial" w:eastAsia="Arial" w:hAnsi="Arial"/>
                <w:sz w:val="18"/>
                <w:szCs w:val="18"/>
                <w:b w:val="1"/>
                <w:bCs w:val="1"/>
                <w:color w:val="auto"/>
                <w:w w:val="89"/>
              </w:rPr>
              <w:t>2016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75"/>
              <w:spacing w:after="0" w:line="170" w:lineRule="exact"/>
              <w:rPr>
                <w:sz w:val="20"/>
                <w:szCs w:val="20"/>
                <w:color w:val="auto"/>
              </w:rPr>
            </w:pPr>
            <w:r>
              <w:rPr>
                <w:rFonts w:ascii="Arial" w:cs="Arial" w:eastAsia="Arial" w:hAnsi="Arial"/>
                <w:sz w:val="18"/>
                <w:szCs w:val="18"/>
                <w:b w:val="1"/>
                <w:bCs w:val="1"/>
                <w:color w:val="auto"/>
              </w:rPr>
              <w:t>%</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left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Retail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auto"/>
            </w:tcBorders>
            <w:gridSpan w:val="3"/>
            <w:shd w:val="clear" w:color="auto" w:fill="CCEEFF"/>
          </w:tcPr>
          <w:p>
            <w:pPr>
              <w:jc w:val="right"/>
              <w:ind w:right="178"/>
              <w:spacing w:after="0"/>
              <w:rPr>
                <w:sz w:val="20"/>
                <w:szCs w:val="20"/>
                <w:color w:val="auto"/>
              </w:rPr>
            </w:pPr>
            <w:r>
              <w:rPr>
                <w:rFonts w:ascii="Arial" w:cs="Arial" w:eastAsia="Arial" w:hAnsi="Arial"/>
                <w:sz w:val="18"/>
                <w:szCs w:val="18"/>
                <w:color w:val="auto"/>
                <w:w w:val="95"/>
              </w:rPr>
              <w:t>311,750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271,258</w:t>
            </w:r>
          </w:p>
        </w:tc>
        <w:tc>
          <w:tcPr>
            <w:tcW w:w="16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8"/>
              </w:rPr>
              <w:t>15%</w:t>
            </w:r>
          </w:p>
        </w:tc>
        <w:tc>
          <w:tcPr>
            <w:tcW w:w="10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311,750</w:t>
            </w:r>
          </w:p>
        </w:tc>
        <w:tc>
          <w:tcPr>
            <w:tcW w:w="16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w w:val="95"/>
              </w:rPr>
              <w:t>271,258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Industrial</w:t>
            </w:r>
          </w:p>
        </w:tc>
        <w:tc>
          <w:tcPr>
            <w:tcW w:w="22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78"/>
              <w:spacing w:after="0"/>
              <w:rPr>
                <w:sz w:val="20"/>
                <w:szCs w:val="20"/>
                <w:color w:val="auto"/>
              </w:rPr>
            </w:pPr>
            <w:r>
              <w:rPr>
                <w:rFonts w:ascii="Arial" w:cs="Arial" w:eastAsia="Arial" w:hAnsi="Arial"/>
                <w:sz w:val="18"/>
                <w:szCs w:val="18"/>
                <w:color w:val="auto"/>
                <w:w w:val="95"/>
              </w:rPr>
              <w:t>277,242</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201,649</w:t>
            </w:r>
          </w:p>
        </w:tc>
        <w:tc>
          <w:tcPr>
            <w:tcW w:w="1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w w:val="88"/>
              </w:rPr>
              <w:t>37%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277,242</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5"/>
              </w:rPr>
              <w:t>201,649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Construction</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3"/>
            <w:shd w:val="clear" w:color="auto" w:fill="CCEEFF"/>
          </w:tcPr>
          <w:p>
            <w:pPr>
              <w:jc w:val="right"/>
              <w:ind w:right="178"/>
              <w:spacing w:after="0"/>
              <w:rPr>
                <w:sz w:val="20"/>
                <w:szCs w:val="20"/>
                <w:color w:val="auto"/>
              </w:rPr>
            </w:pPr>
            <w:r>
              <w:rPr>
                <w:rFonts w:ascii="Arial" w:cs="Arial" w:eastAsia="Arial" w:hAnsi="Arial"/>
                <w:sz w:val="18"/>
                <w:szCs w:val="18"/>
                <w:color w:val="auto"/>
                <w:w w:val="95"/>
              </w:rPr>
              <w:t>267,817</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220,957</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8"/>
              </w:rPr>
              <w:t>21%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267,817</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w w:val="95"/>
              </w:rPr>
              <w:t>220,957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Gross Sales</w:t>
            </w:r>
          </w:p>
        </w:tc>
        <w:tc>
          <w:tcPr>
            <w:tcW w:w="220" w:type="dxa"/>
            <w:vAlign w:val="bottom"/>
          </w:tcPr>
          <w:p>
            <w:pPr>
              <w:spacing w:after="0"/>
              <w:rPr>
                <w:sz w:val="18"/>
                <w:szCs w:val="18"/>
                <w:color w:val="auto"/>
              </w:rPr>
            </w:pPr>
          </w:p>
        </w:tc>
        <w:tc>
          <w:tcPr>
            <w:tcW w:w="900" w:type="dxa"/>
            <w:vAlign w:val="bottom"/>
            <w:tcBorders>
              <w:right w:val="single" w:sz="8" w:color="auto"/>
            </w:tcBorders>
            <w:gridSpan w:val="3"/>
          </w:tcPr>
          <w:p>
            <w:pPr>
              <w:jc w:val="right"/>
              <w:ind w:right="178"/>
              <w:spacing w:after="0"/>
              <w:rPr>
                <w:sz w:val="20"/>
                <w:szCs w:val="20"/>
                <w:color w:val="auto"/>
              </w:rPr>
            </w:pPr>
            <w:r>
              <w:rPr>
                <w:rFonts w:ascii="Arial" w:cs="Arial" w:eastAsia="Arial" w:hAnsi="Arial"/>
                <w:sz w:val="18"/>
                <w:szCs w:val="18"/>
                <w:color w:val="auto"/>
                <w:w w:val="95"/>
              </w:rPr>
              <w:t>856,809</w:t>
            </w: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693,864</w:t>
            </w:r>
          </w:p>
        </w:tc>
        <w:tc>
          <w:tcPr>
            <w:tcW w:w="1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76"/>
              <w:spacing w:after="0"/>
              <w:rPr>
                <w:sz w:val="20"/>
                <w:szCs w:val="20"/>
                <w:color w:val="auto"/>
              </w:rPr>
            </w:pPr>
            <w:r>
              <w:rPr>
                <w:rFonts w:ascii="Arial" w:cs="Arial" w:eastAsia="Arial" w:hAnsi="Arial"/>
                <w:sz w:val="18"/>
                <w:szCs w:val="18"/>
                <w:color w:val="auto"/>
                <w:w w:val="88"/>
              </w:rPr>
              <w:t>23%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856,809</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5"/>
              </w:rPr>
              <w:t>693,864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Sales Allowances</w:t>
            </w: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(10,679)</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(10,679)</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(11,713)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43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gridSpan w:val="3"/>
          </w:tcPr>
          <w:p>
            <w:pPr>
              <w:jc w:val="right"/>
              <w:ind w:right="178"/>
              <w:spacing w:after="0"/>
              <w:rPr>
                <w:sz w:val="20"/>
                <w:szCs w:val="20"/>
                <w:color w:val="auto"/>
              </w:rPr>
            </w:pPr>
            <w:r>
              <w:rPr>
                <w:rFonts w:ascii="Arial" w:cs="Arial" w:eastAsia="Arial" w:hAnsi="Arial"/>
                <w:sz w:val="18"/>
                <w:szCs w:val="18"/>
                <w:color w:val="auto"/>
                <w:w w:val="95"/>
              </w:rPr>
              <w:t>846,130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682,151</w:t>
            </w:r>
          </w:p>
        </w:tc>
        <w:tc>
          <w:tcPr>
            <w:tcW w:w="1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88"/>
              </w:rPr>
              <w:t>24%</w:t>
            </w:r>
          </w:p>
        </w:tc>
        <w:tc>
          <w:tcPr>
            <w:tcW w:w="10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8"/>
              </w:rPr>
              <w:t>846,130</w:t>
            </w:r>
          </w:p>
        </w:tc>
        <w:tc>
          <w:tcPr>
            <w:tcW w:w="1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right w:val="single" w:sz="8" w:color="auto"/>
            </w:tcBorders>
            <w:gridSpan w:val="3"/>
          </w:tcPr>
          <w:p>
            <w:pPr>
              <w:jc w:val="right"/>
              <w:ind w:right="139"/>
              <w:spacing w:after="0"/>
              <w:rPr>
                <w:sz w:val="20"/>
                <w:szCs w:val="20"/>
                <w:color w:val="auto"/>
              </w:rPr>
            </w:pPr>
            <w:r>
              <w:rPr>
                <w:rFonts w:ascii="Arial" w:cs="Arial" w:eastAsia="Arial" w:hAnsi="Arial"/>
                <w:sz w:val="18"/>
                <w:szCs w:val="18"/>
                <w:color w:val="auto"/>
                <w:w w:val="95"/>
              </w:rPr>
              <w:t>682,151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740" w:top="121" w:right="69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2017/2016</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35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r>
      <w:tr>
        <w:trPr>
          <w:trHeight w:val="199"/>
        </w:trPr>
        <w:tc>
          <w:tcPr>
            <w:tcW w:w="288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3"/>
        </w:trPr>
        <w:tc>
          <w:tcPr>
            <w:tcW w:w="28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350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203"/>
        </w:trPr>
        <w:tc>
          <w:tcPr>
            <w:tcW w:w="28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31,020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43,065</w:t>
            </w:r>
          </w:p>
        </w:tc>
        <w:tc>
          <w:tcPr>
            <w:tcW w:w="350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Cash overdraft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21,566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288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Restricted cash &amp; cash equivalents</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4,709</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35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156,030</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116,525</w:t>
            </w:r>
          </w:p>
        </w:tc>
      </w:tr>
      <w:tr>
        <w:trPr>
          <w:trHeight w:val="203"/>
        </w:trPr>
        <w:tc>
          <w:tcPr>
            <w:tcW w:w="28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9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5,928</w:t>
            </w:r>
          </w:p>
        </w:tc>
        <w:tc>
          <w:tcPr>
            <w:tcW w:w="16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6,737</w:t>
            </w:r>
          </w:p>
        </w:tc>
        <w:tc>
          <w:tcPr>
            <w:tcW w:w="3500" w:type="dxa"/>
            <w:vAlign w:val="bottom"/>
            <w:tcBorders>
              <w:right w:val="single" w:sz="8" w:color="auto"/>
            </w:tcBorders>
          </w:tcPr>
          <w:p>
            <w:pPr>
              <w:ind w:left="38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97,965</w:t>
            </w:r>
          </w:p>
        </w:tc>
        <w:tc>
          <w:tcPr>
            <w:tcW w:w="160" w:type="dxa"/>
            <w:vAlign w:val="bottom"/>
          </w:tcPr>
          <w:p>
            <w:pPr>
              <w:spacing w:after="0"/>
              <w:rPr>
                <w:sz w:val="17"/>
                <w:szCs w:val="17"/>
                <w:color w:val="auto"/>
              </w:rPr>
            </w:pPr>
          </w:p>
        </w:tc>
        <w:tc>
          <w:tcPr>
            <w:tcW w:w="8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97,910</w:t>
            </w:r>
          </w:p>
        </w:tc>
      </w:tr>
      <w:tr>
        <w:trPr>
          <w:trHeight w:val="203"/>
        </w:trPr>
        <w:tc>
          <w:tcPr>
            <w:tcW w:w="288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365,620</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287,374</w:t>
            </w:r>
          </w:p>
        </w:tc>
        <w:tc>
          <w:tcPr>
            <w:tcW w:w="3500" w:type="dxa"/>
            <w:vAlign w:val="bottom"/>
            <w:tcBorders>
              <w:right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debt</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2,280</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886</w:t>
            </w:r>
          </w:p>
        </w:tc>
      </w:tr>
      <w:tr>
        <w:trPr>
          <w:trHeight w:val="193"/>
        </w:trPr>
        <w:tc>
          <w:tcPr>
            <w:tcW w:w="28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6"/>
                <w:szCs w:val="16"/>
                <w:color w:val="auto"/>
              </w:rPr>
            </w:pPr>
          </w:p>
        </w:tc>
        <w:tc>
          <w:tcPr>
            <w:tcW w:w="9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472,016</w:t>
            </w:r>
          </w:p>
        </w:tc>
        <w:tc>
          <w:tcPr>
            <w:tcW w:w="160" w:type="dxa"/>
            <w:vAlign w:val="bottom"/>
          </w:tcPr>
          <w:p>
            <w:pPr>
              <w:spacing w:after="0"/>
              <w:rPr>
                <w:sz w:val="16"/>
                <w:szCs w:val="16"/>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327,177</w:t>
            </w:r>
          </w:p>
        </w:tc>
        <w:tc>
          <w:tcPr>
            <w:tcW w:w="35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06"/>
        </w:trPr>
        <w:tc>
          <w:tcPr>
            <w:tcW w:w="288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23,820</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16,889</w:t>
            </w:r>
          </w:p>
        </w:tc>
        <w:tc>
          <w:tcPr>
            <w:tcW w:w="35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196"/>
        </w:trPr>
        <w:tc>
          <w:tcPr>
            <w:tcW w:w="288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3"/>
        </w:trPr>
        <w:tc>
          <w:tcPr>
            <w:tcW w:w="28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903,113</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682,381</w:t>
            </w:r>
          </w:p>
        </w:tc>
        <w:tc>
          <w:tcPr>
            <w:tcW w:w="350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277,841</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215,321</w:t>
            </w:r>
          </w:p>
        </w:tc>
      </w:tr>
      <w:tr>
        <w:trPr>
          <w:trHeight w:val="203"/>
        </w:trPr>
        <w:tc>
          <w:tcPr>
            <w:tcW w:w="288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03"/>
        </w:trPr>
        <w:tc>
          <w:tcPr>
            <w:tcW w:w="28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OTHER ASSETS</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14,533</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10,424</w:t>
            </w:r>
          </w:p>
        </w:tc>
        <w:tc>
          <w:tcPr>
            <w:tcW w:w="35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189"/>
        </w:trPr>
        <w:tc>
          <w:tcPr>
            <w:tcW w:w="288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160"/>
              <w:spacing w:after="0"/>
              <w:rPr>
                <w:sz w:val="20"/>
                <w:szCs w:val="20"/>
                <w:color w:val="auto"/>
              </w:rPr>
            </w:pPr>
            <w:r>
              <w:rPr>
                <w:rFonts w:ascii="Arial" w:cs="Arial" w:eastAsia="Arial" w:hAnsi="Arial"/>
                <w:sz w:val="16"/>
                <w:szCs w:val="16"/>
                <w:b w:val="1"/>
                <w:bCs w:val="1"/>
                <w:color w:val="auto"/>
              </w:rPr>
              <w:t>LONG-TERM DEBT AND CAPITAL</w:t>
            </w:r>
          </w:p>
        </w:tc>
        <w:tc>
          <w:tcPr>
            <w:tcW w:w="1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3"/>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INTANGIBLE ASSETS, NET</w:t>
            </w:r>
          </w:p>
        </w:tc>
        <w:tc>
          <w:tcPr>
            <w:tcW w:w="140" w:type="dxa"/>
            <w:vAlign w:val="bottom"/>
          </w:tcPr>
          <w:p>
            <w:pPr>
              <w:spacing w:after="0"/>
              <w:rPr>
                <w:sz w:val="18"/>
                <w:szCs w:val="18"/>
                <w:color w:val="auto"/>
              </w:rPr>
            </w:pPr>
          </w:p>
        </w:tc>
        <w:tc>
          <w:tcPr>
            <w:tcW w:w="92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250,160</w:t>
            </w:r>
          </w:p>
        </w:tc>
        <w:tc>
          <w:tcPr>
            <w:tcW w:w="16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198,338</w:t>
            </w:r>
          </w:p>
        </w:tc>
        <w:tc>
          <w:tcPr>
            <w:tcW w:w="3500" w:type="dxa"/>
            <w:vAlign w:val="bottom"/>
            <w:tcBorders>
              <w:right w:val="single" w:sz="8" w:color="auto"/>
            </w:tcBorders>
          </w:tcPr>
          <w:p>
            <w:pPr>
              <w:ind w:left="300"/>
              <w:spacing w:after="0"/>
              <w:rPr>
                <w:sz w:val="20"/>
                <w:szCs w:val="20"/>
                <w:color w:val="auto"/>
              </w:rPr>
            </w:pPr>
            <w:r>
              <w:rPr>
                <w:rFonts w:ascii="Arial" w:cs="Arial" w:eastAsia="Arial" w:hAnsi="Arial"/>
                <w:sz w:val="16"/>
                <w:szCs w:val="16"/>
                <w:b w:val="1"/>
                <w:bCs w:val="1"/>
                <w:color w:val="auto"/>
              </w:rPr>
              <w:t>LEASE OBLIGATIONS</w:t>
            </w:r>
          </w:p>
        </w:tc>
        <w:tc>
          <w:tcPr>
            <w:tcW w:w="160" w:type="dxa"/>
            <w:vAlign w:val="bottom"/>
          </w:tcPr>
          <w:p>
            <w:pPr>
              <w:spacing w:after="0"/>
              <w:rPr>
                <w:sz w:val="18"/>
                <w:szCs w:val="18"/>
                <w:color w:val="auto"/>
              </w:rPr>
            </w:pPr>
          </w:p>
        </w:tc>
        <w:tc>
          <w:tcPr>
            <w:tcW w:w="900" w:type="dxa"/>
            <w:vAlign w:val="bottom"/>
            <w:tcBorders>
              <w:right w:val="single" w:sz="8" w:color="auto"/>
            </w:tcBorders>
          </w:tcPr>
          <w:p>
            <w:pPr>
              <w:jc w:val="right"/>
              <w:ind w:right="139"/>
              <w:spacing w:after="0"/>
              <w:rPr>
                <w:sz w:val="20"/>
                <w:szCs w:val="20"/>
                <w:color w:val="auto"/>
              </w:rPr>
            </w:pPr>
            <w:r>
              <w:rPr>
                <w:rFonts w:ascii="Arial" w:cs="Arial" w:eastAsia="Arial" w:hAnsi="Arial"/>
                <w:sz w:val="16"/>
                <w:szCs w:val="16"/>
                <w:color w:val="auto"/>
              </w:rPr>
              <w:t>252,904</w:t>
            </w:r>
          </w:p>
        </w:tc>
        <w:tc>
          <w:tcPr>
            <w:tcW w:w="160" w:type="dxa"/>
            <w:vAlign w:val="bottom"/>
          </w:tcPr>
          <w:p>
            <w:pPr>
              <w:spacing w:after="0"/>
              <w:rPr>
                <w:sz w:val="18"/>
                <w:szCs w:val="18"/>
                <w:color w:val="auto"/>
              </w:rPr>
            </w:pPr>
          </w:p>
        </w:tc>
        <w:tc>
          <w:tcPr>
            <w:tcW w:w="84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84,525</w:t>
            </w:r>
          </w:p>
        </w:tc>
      </w:tr>
      <w:tr>
        <w:trPr>
          <w:trHeight w:val="206"/>
        </w:trPr>
        <w:tc>
          <w:tcPr>
            <w:tcW w:w="288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350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49,561</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51,003</w:t>
            </w:r>
          </w:p>
        </w:tc>
      </w:tr>
      <w:tr>
        <w:trPr>
          <w:trHeight w:val="189"/>
        </w:trPr>
        <w:tc>
          <w:tcPr>
            <w:tcW w:w="28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PROPERTY, PLANT AND</w:t>
            </w:r>
          </w:p>
        </w:tc>
        <w:tc>
          <w:tcPr>
            <w:tcW w:w="14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213"/>
        </w:trPr>
        <w:tc>
          <w:tcPr>
            <w:tcW w:w="2880" w:type="dxa"/>
            <w:vAlign w:val="bottom"/>
            <w:tcBorders>
              <w:left w:val="single" w:sz="8" w:color="auto"/>
              <w:bottom w:val="single" w:sz="8" w:color="CCEEFF"/>
              <w:right w:val="single" w:sz="8" w:color="auto"/>
            </w:tcBorders>
          </w:tcPr>
          <w:p>
            <w:pPr>
              <w:ind w:left="220"/>
              <w:spacing w:after="0"/>
              <w:rPr>
                <w:sz w:val="20"/>
                <w:szCs w:val="20"/>
                <w:color w:val="auto"/>
              </w:rPr>
            </w:pPr>
            <w:r>
              <w:rPr>
                <w:rFonts w:ascii="Arial" w:cs="Arial" w:eastAsia="Arial" w:hAnsi="Arial"/>
                <w:sz w:val="16"/>
                <w:szCs w:val="16"/>
                <w:b w:val="1"/>
                <w:bCs w:val="1"/>
                <w:color w:val="auto"/>
              </w:rPr>
              <w:t>EQUIPMENT, NET</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309,853</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254,634</w:t>
            </w:r>
          </w:p>
        </w:tc>
        <w:tc>
          <w:tcPr>
            <w:tcW w:w="3500" w:type="dxa"/>
            <w:vAlign w:val="bottom"/>
            <w:tcBorders>
              <w:bottom w:val="single" w:sz="8" w:color="CCEEFF"/>
              <w:right w:val="single" w:sz="8" w:color="auto"/>
            </w:tcBorders>
          </w:tcPr>
          <w:p>
            <w:pPr>
              <w:ind w:left="160"/>
              <w:spacing w:after="0"/>
              <w:rPr>
                <w:sz w:val="20"/>
                <w:szCs w:val="20"/>
                <w:color w:val="auto"/>
              </w:rPr>
            </w:pPr>
            <w:r>
              <w:rPr>
                <w:rFonts w:ascii="Arial" w:cs="Arial" w:eastAsia="Arial" w:hAnsi="Arial"/>
                <w:sz w:val="16"/>
                <w:szCs w:val="16"/>
                <w:b w:val="1"/>
                <w:bCs w:val="1"/>
                <w:color w:val="auto"/>
              </w:rPr>
              <w:t>EQUITY</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6"/>
                <w:szCs w:val="16"/>
                <w:color w:val="auto"/>
              </w:rPr>
              <w:t>897,353</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794,928</w:t>
            </w:r>
          </w:p>
        </w:tc>
      </w:tr>
      <w:tr>
        <w:trPr>
          <w:trHeight w:val="199"/>
        </w:trPr>
        <w:tc>
          <w:tcPr>
            <w:tcW w:w="288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spacing w:after="0"/>
              <w:rPr>
                <w:sz w:val="17"/>
                <w:szCs w:val="17"/>
                <w:color w:val="auto"/>
              </w:rPr>
            </w:pPr>
          </w:p>
        </w:tc>
        <w:tc>
          <w:tcPr>
            <w:tcW w:w="35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r>
      <w:tr>
        <w:trPr>
          <w:trHeight w:val="203"/>
        </w:trPr>
        <w:tc>
          <w:tcPr>
            <w:tcW w:w="288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r>
      <w:tr>
        <w:trPr>
          <w:trHeight w:val="210"/>
        </w:trPr>
        <w:tc>
          <w:tcPr>
            <w:tcW w:w="288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5"/>
              </w:rPr>
              <w:t>1,477,659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1,145,777</w:t>
            </w:r>
          </w:p>
        </w:tc>
        <w:tc>
          <w:tcPr>
            <w:tcW w:w="350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2"/>
              </w:rPr>
              <w:t>1,477,659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5"/>
              </w:rPr>
              <w:t>1,145,777</w:t>
            </w:r>
          </w:p>
        </w:tc>
      </w:tr>
      <w:tr>
        <w:trPr>
          <w:trHeight w:val="453"/>
        </w:trPr>
        <w:tc>
          <w:tcPr>
            <w:tcW w:w="2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1" w:right="7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Page 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2017/2016</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r>
      <w:tr>
        <w:trPr>
          <w:trHeight w:val="196"/>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earnings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21,634</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20,255</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Adjustments to reconcile net earnings to net cash from operating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11,392</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9,492</w:t>
            </w:r>
          </w:p>
        </w:tc>
      </w:tr>
      <w:tr>
        <w:trPr>
          <w:trHeight w:val="203"/>
        </w:trPr>
        <w:tc>
          <w:tcPr>
            <w:tcW w:w="78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1,119</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693</w:t>
            </w:r>
          </w:p>
        </w:tc>
      </w:tr>
      <w:tr>
        <w:trPr>
          <w:trHeight w:val="203"/>
        </w:trPr>
        <w:tc>
          <w:tcPr>
            <w:tcW w:w="78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Expense associated with share-based compensation arrangements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571</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432</w:t>
            </w:r>
          </w:p>
        </w:tc>
      </w:tr>
      <w:tr>
        <w:trPr>
          <w:trHeight w:val="203"/>
        </w:trPr>
        <w:tc>
          <w:tcPr>
            <w:tcW w:w="78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Expense associated with stock grant plans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46</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03"/>
        </w:trPr>
        <w:tc>
          <w:tcPr>
            <w:tcW w:w="78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Deferred income taxes (credit)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224</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(156)</w:t>
            </w:r>
          </w:p>
        </w:tc>
      </w:tr>
      <w:tr>
        <w:trPr>
          <w:trHeight w:val="203"/>
        </w:trPr>
        <w:tc>
          <w:tcPr>
            <w:tcW w:w="78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Equity in earnings of investee</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03"/>
        </w:trPr>
        <w:tc>
          <w:tcPr>
            <w:tcW w:w="78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Net gain on disposition and impairment of assets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203"/>
        </w:trPr>
        <w:tc>
          <w:tcPr>
            <w:tcW w:w="7840" w:type="dxa"/>
            <w:vAlign w:val="bottom"/>
            <w:tcBorders>
              <w:left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Changes in:</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(67,766)</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(64,276)</w:t>
            </w:r>
          </w:p>
        </w:tc>
      </w:tr>
      <w:tr>
        <w:trPr>
          <w:trHeight w:val="203"/>
        </w:trPr>
        <w:tc>
          <w:tcPr>
            <w:tcW w:w="7840" w:type="dxa"/>
            <w:vAlign w:val="bottom"/>
            <w:tcBorders>
              <w:left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(60,984)</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(22,159)</w:t>
            </w:r>
          </w:p>
        </w:tc>
      </w:tr>
      <w:tr>
        <w:trPr>
          <w:trHeight w:val="203"/>
        </w:trPr>
        <w:tc>
          <w:tcPr>
            <w:tcW w:w="784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color w:val="auto"/>
              </w:rPr>
              <w:t>Accounts payable and cash overdraft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32,769</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21,498</w:t>
            </w:r>
          </w:p>
        </w:tc>
      </w:tr>
      <w:tr>
        <w:trPr>
          <w:trHeight w:val="203"/>
        </w:trPr>
        <w:tc>
          <w:tcPr>
            <w:tcW w:w="7840" w:type="dxa"/>
            <w:vAlign w:val="bottom"/>
            <w:tcBorders>
              <w:left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Accrued liabilities and other</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(9,676)</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4,318</w:t>
            </w:r>
          </w:p>
        </w:tc>
      </w:tr>
      <w:tr>
        <w:trPr>
          <w:trHeight w:val="196"/>
        </w:trPr>
        <w:tc>
          <w:tcPr>
            <w:tcW w:w="78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NET CASH FROM OPERATING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(70,740)</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(29,957)</w:t>
            </w:r>
          </w:p>
        </w:tc>
      </w:tr>
      <w:tr>
        <w:trPr>
          <w:trHeight w:val="203"/>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(16,531)</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(12,941)</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353</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132</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Acquisitions and purchase of noncontrolling interest, net of cash received</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(55,441)</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Cash contributed from noncontrolling interest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464</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Advances of notes receivable</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(1,259)</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Collections of notes receivable and related interest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721</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1,408</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(819)</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Proceeds from sale of investments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1,204</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(322)</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196"/>
        </w:trPr>
        <w:tc>
          <w:tcPr>
            <w:tcW w:w="784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(70,599)</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(12,833)</w:t>
            </w:r>
          </w:p>
        </w:tc>
      </w:tr>
      <w:tr>
        <w:trPr>
          <w:trHeight w:val="203"/>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Borrowings under revolving credit facilities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281,090</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1,235</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Repayments under revolving credit facilities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(137,767)</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(1,495)</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146</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130</w:t>
            </w: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Distributions to noncontrolling interest</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(1,673)</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(1,170)</w:t>
            </w: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(83)</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Borders>
              <w:left w:val="single" w:sz="8" w:color="auto"/>
              <w:bottom w:val="single" w:sz="8" w:color="CCEEFF"/>
              <w:right w:val="single" w:sz="8" w:color="auto"/>
            </w:tcBorders>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r>
      <w:tr>
        <w:trPr>
          <w:trHeight w:val="196"/>
        </w:trPr>
        <w:tc>
          <w:tcPr>
            <w:tcW w:w="7840" w:type="dxa"/>
            <w:vAlign w:val="bottom"/>
            <w:tcBorders>
              <w:left w:val="single" w:sz="8" w:color="auto"/>
              <w:right w:val="single" w:sz="8" w:color="auto"/>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NET CASH FROM (USED IN) FINANCING ACTIVITIES</w:t>
            </w: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141,697</w:t>
            </w: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(1,305)</w:t>
            </w:r>
          </w:p>
        </w:tc>
      </w:tr>
      <w:tr>
        <w:trPr>
          <w:trHeight w:val="203"/>
        </w:trPr>
        <w:tc>
          <w:tcPr>
            <w:tcW w:w="784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882</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196"/>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NET CHANGE IN CASH AND CASH EQUIVALENTS</w:t>
            </w:r>
          </w:p>
        </w:tc>
        <w:tc>
          <w:tcPr>
            <w:tcW w:w="280" w:type="dxa"/>
            <w:vAlign w:val="bottom"/>
          </w:tcPr>
          <w:p>
            <w:pPr>
              <w:spacing w:after="0"/>
              <w:rPr>
                <w:sz w:val="17"/>
                <w:szCs w:val="17"/>
                <w:color w:val="auto"/>
              </w:rPr>
            </w:pPr>
          </w:p>
        </w:tc>
        <w:tc>
          <w:tcPr>
            <w:tcW w:w="110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color w:val="auto"/>
              </w:rPr>
              <w:t>1,240</w:t>
            </w:r>
          </w:p>
        </w:tc>
        <w:tc>
          <w:tcPr>
            <w:tcW w:w="300" w:type="dxa"/>
            <w:vAlign w:val="bottom"/>
          </w:tcPr>
          <w:p>
            <w:pPr>
              <w:spacing w:after="0"/>
              <w:rPr>
                <w:sz w:val="17"/>
                <w:szCs w:val="17"/>
                <w:color w:val="auto"/>
              </w:rPr>
            </w:pPr>
          </w:p>
        </w:tc>
        <w:tc>
          <w:tcPr>
            <w:tcW w:w="9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(44,138)</w:t>
            </w:r>
          </w:p>
        </w:tc>
      </w:tr>
      <w:tr>
        <w:trPr>
          <w:trHeight w:val="203"/>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bottom w:val="single" w:sz="8" w:color="CCEEFF"/>
              <w:right w:val="single" w:sz="8" w:color="auto"/>
            </w:tcBorders>
          </w:tcPr>
          <w:p>
            <w:pPr>
              <w:ind w:left="80"/>
              <w:spacing w:after="0"/>
              <w:rPr>
                <w:sz w:val="20"/>
                <w:szCs w:val="20"/>
                <w:color w:val="auto"/>
              </w:rPr>
            </w:pPr>
            <w:r>
              <w:rPr>
                <w:rFonts w:ascii="Arial" w:cs="Arial" w:eastAsia="Arial" w:hAnsi="Arial"/>
                <w:sz w:val="16"/>
                <w:szCs w:val="16"/>
                <w:b w:val="1"/>
                <w:bCs w:val="1"/>
                <w:color w:val="auto"/>
              </w:rPr>
              <w:t>ALL CASH AND CASH EQUIVALENTS, BEGINNING OF PERIOD</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34,489</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88,342</w:t>
            </w:r>
          </w:p>
        </w:tc>
      </w:tr>
      <w:tr>
        <w:trPr>
          <w:trHeight w:val="196"/>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10"/>
        </w:trPr>
        <w:tc>
          <w:tcPr>
            <w:tcW w:w="7840" w:type="dxa"/>
            <w:vAlign w:val="bottom"/>
            <w:tcBorders>
              <w:left w:val="single" w:sz="8" w:color="auto"/>
              <w:bottom w:val="single" w:sz="8" w:color="CCEEFF"/>
              <w:right w:val="single" w:sz="8" w:color="auto"/>
            </w:tcBorders>
          </w:tcPr>
          <w:p>
            <w:pPr>
              <w:ind w:left="80"/>
              <w:spacing w:after="0"/>
              <w:rPr>
                <w:sz w:val="20"/>
                <w:szCs w:val="20"/>
                <w:color w:val="auto"/>
              </w:rPr>
            </w:pPr>
            <w:r>
              <w:rPr>
                <w:rFonts w:ascii="Arial" w:cs="Arial" w:eastAsia="Arial" w:hAnsi="Arial"/>
                <w:sz w:val="16"/>
                <w:szCs w:val="16"/>
                <w:b w:val="1"/>
                <w:bCs w:val="1"/>
                <w:color w:val="auto"/>
              </w:rPr>
              <w:t>ALL CASH AND CASH EQUIVALENTS,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35,729</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44,204</w:t>
            </w:r>
          </w:p>
        </w:tc>
      </w:tr>
      <w:tr>
        <w:trPr>
          <w:trHeight w:val="203"/>
        </w:trPr>
        <w:tc>
          <w:tcPr>
            <w:tcW w:w="7840" w:type="dxa"/>
            <w:vAlign w:val="bottom"/>
            <w:tcBorders>
              <w:left w:val="single" w:sz="8" w:color="auto"/>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r>
      <w:tr>
        <w:trPr>
          <w:trHeight w:val="203"/>
        </w:trPr>
        <w:tc>
          <w:tcPr>
            <w:tcW w:w="7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34,091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87,756</w:t>
            </w:r>
          </w:p>
        </w:tc>
      </w:tr>
      <w:tr>
        <w:trPr>
          <w:trHeight w:val="203"/>
        </w:trPr>
        <w:tc>
          <w:tcPr>
            <w:tcW w:w="7840" w:type="dxa"/>
            <w:vAlign w:val="bottom"/>
            <w:tcBorders>
              <w:left w:val="single" w:sz="8" w:color="auto"/>
              <w:bottom w:val="single" w:sz="8" w:color="CCEEFF"/>
              <w:right w:val="single" w:sz="8" w:color="auto"/>
            </w:tcBorders>
          </w:tcPr>
          <w:p>
            <w:pPr>
              <w:ind w:left="80"/>
              <w:spacing w:after="0"/>
              <w:rPr>
                <w:sz w:val="20"/>
                <w:szCs w:val="20"/>
                <w:color w:val="auto"/>
              </w:rPr>
            </w:pPr>
            <w:r>
              <w:rPr>
                <w:rFonts w:ascii="Arial" w:cs="Arial" w:eastAsia="Arial" w:hAnsi="Arial"/>
                <w:sz w:val="16"/>
                <w:szCs w:val="16"/>
                <w:color w:val="auto"/>
              </w:rPr>
              <w:t>Restricted cash, beginning of period</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398</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586</w:t>
            </w:r>
          </w:p>
        </w:tc>
      </w:tr>
      <w:tr>
        <w:trPr>
          <w:trHeight w:val="196"/>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All cash and cash equivalents, beginning of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34,489</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88,342</w:t>
            </w:r>
          </w:p>
        </w:tc>
      </w:tr>
      <w:tr>
        <w:trPr>
          <w:trHeight w:val="203"/>
        </w:trPr>
        <w:tc>
          <w:tcPr>
            <w:tcW w:w="7840" w:type="dxa"/>
            <w:vAlign w:val="bottom"/>
            <w:tcBorders>
              <w:left w:val="single" w:sz="8" w:color="auto"/>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r>
      <w:tr>
        <w:trPr>
          <w:trHeight w:val="203"/>
        </w:trPr>
        <w:tc>
          <w:tcPr>
            <w:tcW w:w="784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31,020</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43,065</w:t>
            </w:r>
          </w:p>
        </w:tc>
      </w:tr>
      <w:tr>
        <w:trPr>
          <w:trHeight w:val="203"/>
        </w:trPr>
        <w:tc>
          <w:tcPr>
            <w:tcW w:w="7840" w:type="dxa"/>
            <w:vAlign w:val="bottom"/>
            <w:tcBorders>
              <w:left w:val="single" w:sz="8" w:color="auto"/>
              <w:bottom w:val="single" w:sz="8" w:color="CCEEFF"/>
              <w:right w:val="single" w:sz="8" w:color="auto"/>
            </w:tcBorders>
          </w:tcPr>
          <w:p>
            <w:pPr>
              <w:ind w:left="80"/>
              <w:spacing w:after="0"/>
              <w:rPr>
                <w:sz w:val="20"/>
                <w:szCs w:val="20"/>
                <w:color w:val="auto"/>
              </w:rPr>
            </w:pPr>
            <w:r>
              <w:rPr>
                <w:rFonts w:ascii="Arial" w:cs="Arial" w:eastAsia="Arial" w:hAnsi="Arial"/>
                <w:sz w:val="16"/>
                <w:szCs w:val="16"/>
                <w:color w:val="auto"/>
              </w:rPr>
              <w:t>Restricted cash, end of period</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rPr>
              <w:t>4,709</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rPr>
              <w:t>1,139</w:t>
            </w:r>
          </w:p>
        </w:tc>
      </w:tr>
      <w:tr>
        <w:trPr>
          <w:trHeight w:val="203"/>
        </w:trPr>
        <w:tc>
          <w:tcPr>
            <w:tcW w:w="7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All cash and cash equivalents, end of period</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35,729</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44,204</w:t>
            </w:r>
          </w:p>
        </w:tc>
      </w:tr>
      <w:tr>
        <w:trPr>
          <w:trHeight w:val="203"/>
        </w:trPr>
        <w:tc>
          <w:tcPr>
            <w:tcW w:w="7840" w:type="dxa"/>
            <w:vAlign w:val="bottom"/>
            <w:tcBorders>
              <w:left w:val="single" w:sz="8" w:color="auto"/>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r>
      <w:tr>
        <w:trPr>
          <w:trHeight w:val="446"/>
        </w:trPr>
        <w:tc>
          <w:tcPr>
            <w:tcW w:w="7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420"/>
      </w:cols>
      <w:pgMar w:left="740" w:top="12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2019-12-05T22:25:56Z</dcterms:created>
  <dcterms:modified xsi:type="dcterms:W3CDTF">2019-12-05T22:25:56Z</dcterms:modified>
</cp:coreProperties>
</file>