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-240030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80" w:type="dxa"/>
            <w:vAlign w:val="bottom"/>
            <w:vMerge w:val="restart"/>
          </w:tcPr>
          <w:p>
            <w:pPr>
              <w:jc w:val="center"/>
              <w:ind w:right="23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90"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25400</wp:posOffset>
            </wp:positionV>
            <wp:extent cx="7324725" cy="608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08584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COLEMAN ROBERT D</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340"/>
              <w:spacing w:after="0"/>
              <w:rPr>
                <w:sz w:val="20"/>
                <w:szCs w:val="20"/>
                <w:color w:val="auto"/>
              </w:rPr>
            </w:pPr>
            <w:r>
              <w:rPr>
                <w:rFonts w:ascii="Arial" w:cs="Arial" w:eastAsia="Arial" w:hAnsi="Arial"/>
                <w:sz w:val="13"/>
                <w:szCs w:val="13"/>
                <w:color w:val="auto"/>
              </w:rPr>
              <w:t>(First)</w:t>
            </w:r>
          </w:p>
        </w:tc>
        <w:tc>
          <w:tcPr>
            <w:tcW w:w="1500" w:type="dxa"/>
            <w:vAlign w:val="bottom"/>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2801 EAST BELTLINE, N.E.</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MI</w:t>
            </w: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3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340"/>
              <w:spacing w:after="0"/>
              <w:rPr>
                <w:sz w:val="20"/>
                <w:szCs w:val="20"/>
                <w:color w:val="auto"/>
              </w:rPr>
            </w:pPr>
            <w:r>
              <w:rPr>
                <w:rFonts w:ascii="Arial" w:cs="Arial" w:eastAsia="Arial" w:hAnsi="Arial"/>
                <w:sz w:val="13"/>
                <w:szCs w:val="13"/>
                <w:color w:val="auto"/>
              </w:rPr>
              <w:t>(State)</w:t>
            </w:r>
          </w:p>
        </w:tc>
        <w:tc>
          <w:tcPr>
            <w:tcW w:w="1500" w:type="dxa"/>
            <w:vAlign w:val="bottom"/>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20" w:type="dxa"/>
            <w:vAlign w:val="bottom"/>
            <w:gridSpan w:val="2"/>
          </w:tcPr>
          <w:p>
            <w:pPr>
              <w:spacing w:after="0" w:line="21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UNIVERSAL FOREST PRODUCTS INC </w:t>
              </w:r>
            </w:hyperlink>
            <w:r>
              <w:rPr>
                <w:rFonts w:ascii="Times New Roman" w:cs="Times New Roman" w:eastAsia="Times New Roman" w:hAnsi="Times New Roman"/>
                <w:sz w:val="21"/>
                <w:szCs w:val="21"/>
                <w:color w:val="000000"/>
              </w:rPr>
              <w:t>[</w:t>
            </w:r>
          </w:p>
        </w:tc>
        <w:tc>
          <w:tcPr>
            <w:tcW w:w="19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UFPI </w:t>
            </w:r>
            <w:r>
              <w:rPr>
                <w:rFonts w:ascii="Times New Roman" w:cs="Times New Roman" w:eastAsia="Times New Roman" w:hAnsi="Times New Roman"/>
                <w:sz w:val="20"/>
                <w:szCs w:val="20"/>
                <w:color w:val="000000"/>
              </w:rPr>
              <w:t>]</w:t>
            </w:r>
          </w:p>
        </w:tc>
        <w:tc>
          <w:tcPr>
            <w:tcW w:w="3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3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6"/>
                <w:szCs w:val="16"/>
                <w:color w:val="auto"/>
              </w:rPr>
            </w:pPr>
          </w:p>
        </w:tc>
        <w:tc>
          <w:tcPr>
            <w:tcW w:w="2920" w:type="dxa"/>
            <w:vAlign w:val="bottom"/>
            <w:gridSpan w:val="2"/>
          </w:tcPr>
          <w:p>
            <w:pPr>
              <w:ind w:left="200"/>
              <w:spacing w:after="0" w:line="185" w:lineRule="exact"/>
              <w:rPr>
                <w:sz w:val="20"/>
                <w:szCs w:val="20"/>
                <w:color w:val="auto"/>
              </w:rPr>
            </w:pPr>
            <w:r>
              <w:rPr>
                <w:rFonts w:ascii="Times New Roman" w:cs="Times New Roman" w:eastAsia="Times New Roman" w:hAnsi="Times New Roman"/>
                <w:sz w:val="17"/>
                <w:szCs w:val="17"/>
                <w:color w:val="0000FF"/>
              </w:rPr>
              <w:t>Executive VP Manufacturing</w:t>
            </w:r>
          </w:p>
        </w:tc>
        <w:tc>
          <w:tcPr>
            <w:tcW w:w="0" w:type="dxa"/>
            <w:vAlign w:val="bottom"/>
          </w:tcPr>
          <w:p>
            <w:pPr>
              <w:spacing w:after="0"/>
              <w:rPr>
                <w:sz w:val="1"/>
                <w:szCs w:val="1"/>
                <w:color w:val="auto"/>
              </w:rPr>
            </w:pPr>
          </w:p>
        </w:tc>
      </w:tr>
      <w:tr>
        <w:trPr>
          <w:trHeight w:val="222"/>
        </w:trPr>
        <w:tc>
          <w:tcPr>
            <w:tcW w:w="3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08/16/2010</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3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44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3" w:lineRule="exact"/>
        <w:rPr>
          <w:sz w:val="24"/>
          <w:szCs w:val="24"/>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920" w:space="80"/>
            <w:col w:w="7520"/>
          </w:cols>
          <w:pgMar w:left="240" w:top="217"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6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00"/>
              <w:spacing w:after="0" w:line="132"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08/16/2010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9,661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56,491</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30,074</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P/S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Def.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2,007</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2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gridSpan w:val="8"/>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 (Instr.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Forward</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Contract</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08/16/2010</w:t>
            </w:r>
          </w:p>
        </w:tc>
        <w:tc>
          <w:tcPr>
            <w:tcW w:w="1100" w:type="dxa"/>
            <w:vAlign w:val="bottom"/>
          </w:tcPr>
          <w:p>
            <w:pPr>
              <w:spacing w:after="0"/>
              <w:rPr>
                <w:sz w:val="12"/>
                <w:szCs w:val="12"/>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2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(right/obligation</w:t>
            </w: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sell)</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settlement of the Forward Contract referenced in Table II, and the release of any deemed interest in the 25,000 shares delivered in connection with the settlement of the Forward Contract.</w:t>
      </w:r>
    </w:p>
    <w:p>
      <w:pPr>
        <w:spacing w:after="0" w:line="47" w:lineRule="exact"/>
        <w:rPr>
          <w:rFonts w:ascii="Times New Roman" w:cs="Times New Roman" w:eastAsia="Times New Roman" w:hAnsi="Times New Roman"/>
          <w:sz w:val="13"/>
          <w:szCs w:val="13"/>
          <w:color w:val="008000"/>
        </w:rPr>
      </w:pPr>
    </w:p>
    <w:p>
      <w:pPr>
        <w:ind w:left="40" w:right="240" w:firstLine="4"/>
        <w:spacing w:after="0" w:line="265"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August 16, 2010, Robert D. Coleman settled his obligations under a prepaid variable forward sale contract ("Forward Contract") entered into on August 16, 2005 with Bear Stearns &amp; Co., Inc. As of that date, Mr. Coleman settled his obligations by delivering 25,000 shares of issuer stock, which were previoulsy pledged to Bear Stearns &amp; Co., Inc.</w:t>
      </w:r>
    </w:p>
    <w:p>
      <w:pPr>
        <w:spacing w:after="0" w:line="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31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Attorney in Fact for Robert D.</w:t>
        <w:tab/>
        <w:t>08/16/2010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-15240</wp:posOffset>
            </wp:positionV>
            <wp:extent cx="1949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945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Coleman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-15240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2019-12-16T10:11:50Z</dcterms:created>
  <dcterms:modified xsi:type="dcterms:W3CDTF">2019-12-16T10:11:50Z</dcterms:modified>
</cp:coreProperties>
</file>