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5478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8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8,127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12,845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85.53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shares of restricted stock. The shares vest on the fifth anniversary of the grant date, subject to earlier vesting upon death, disability, or retirement.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64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  <w:tab/>
        <w:t>03/01/2023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2023-03-01T09:02:30Z</dcterms:created>
  <dcterms:modified xsi:type="dcterms:W3CDTF">2023-03-01T09:02:30Z</dcterms:modified>
</cp:coreProperties>
</file>