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375285</wp:posOffset>
            </wp:positionV>
            <wp:extent cx="660336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8"/>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2" w:lineRule="exact"/>
        <w:rPr>
          <w:sz w:val="24"/>
          <w:szCs w:val="24"/>
          <w:color w:val="auto"/>
        </w:rPr>
      </w:pPr>
    </w:p>
    <w:p>
      <w:pPr>
        <w:jc w:val="center"/>
        <w:ind w:right="18"/>
        <w:spacing w:after="0"/>
        <w:rPr>
          <w:sz w:val="20"/>
          <w:szCs w:val="20"/>
          <w:color w:val="auto"/>
        </w:rPr>
      </w:pPr>
      <w:r>
        <w:rPr>
          <w:rFonts w:ascii="Arial" w:cs="Arial" w:eastAsia="Arial" w:hAnsi="Arial"/>
          <w:sz w:val="18"/>
          <w:szCs w:val="18"/>
          <w:color w:val="auto"/>
        </w:rPr>
        <w:t>Washington, D.C. 20549</w:t>
      </w:r>
    </w:p>
    <w:p>
      <w:pPr>
        <w:spacing w:after="0" w:line="149" w:lineRule="exact"/>
        <w:rPr>
          <w:sz w:val="24"/>
          <w:szCs w:val="24"/>
          <w:color w:val="auto"/>
        </w:rPr>
      </w:pPr>
    </w:p>
    <w:p>
      <w:pPr>
        <w:jc w:val="center"/>
        <w:ind w:right="18"/>
        <w:spacing w:after="0"/>
        <w:rPr>
          <w:sz w:val="20"/>
          <w:szCs w:val="20"/>
          <w:color w:val="auto"/>
        </w:rPr>
      </w:pPr>
      <w:r>
        <w:rPr>
          <w:rFonts w:ascii="Arial" w:cs="Arial" w:eastAsia="Arial" w:hAnsi="Arial"/>
          <w:sz w:val="25"/>
          <w:szCs w:val="25"/>
          <w:b w:val="1"/>
          <w:bCs w:val="1"/>
          <w:color w:val="auto"/>
        </w:rPr>
        <w:t>FORM 10-Q</w:t>
      </w:r>
    </w:p>
    <w:p>
      <w:pPr>
        <w:spacing w:after="0" w:line="197" w:lineRule="exact"/>
        <w:rPr>
          <w:sz w:val="24"/>
          <w:szCs w:val="24"/>
          <w:color w:val="auto"/>
        </w:rPr>
      </w:pPr>
    </w:p>
    <w:p>
      <w:pPr>
        <w:ind w:left="262" w:hanging="262"/>
        <w:spacing w:after="0"/>
        <w:tabs>
          <w:tab w:leader="none" w:pos="262"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2" w:lineRule="exact"/>
        <w:rPr>
          <w:sz w:val="24"/>
          <w:szCs w:val="24"/>
          <w:color w:val="auto"/>
        </w:rPr>
      </w:pPr>
    </w:p>
    <w:p>
      <w:pPr>
        <w:jc w:val="center"/>
        <w:ind w:right="18"/>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June 29, 2019</w:t>
      </w:r>
    </w:p>
    <w:p>
      <w:pPr>
        <w:spacing w:after="0" w:line="185" w:lineRule="exact"/>
        <w:rPr>
          <w:sz w:val="24"/>
          <w:szCs w:val="24"/>
          <w:color w:val="auto"/>
        </w:rPr>
      </w:pPr>
    </w:p>
    <w:p>
      <w:pPr>
        <w:jc w:val="center"/>
        <w:ind w:right="18"/>
        <w:spacing w:after="0"/>
        <w:rPr>
          <w:sz w:val="20"/>
          <w:szCs w:val="20"/>
          <w:color w:val="auto"/>
        </w:rPr>
      </w:pPr>
      <w:r>
        <w:rPr>
          <w:rFonts w:ascii="Arial" w:cs="Arial" w:eastAsia="Arial" w:hAnsi="Arial"/>
          <w:sz w:val="18"/>
          <w:szCs w:val="18"/>
          <w:color w:val="auto"/>
        </w:rPr>
        <w:t>OR</w:t>
      </w:r>
    </w:p>
    <w:p>
      <w:pPr>
        <w:spacing w:after="0" w:line="239" w:lineRule="exact"/>
        <w:rPr>
          <w:sz w:val="24"/>
          <w:szCs w:val="24"/>
          <w:color w:val="auto"/>
        </w:rPr>
      </w:pPr>
    </w:p>
    <w:p>
      <w:pPr>
        <w:ind w:left="3942" w:right="1440" w:hanging="3942"/>
        <w:spacing w:after="0" w:line="397" w:lineRule="auto"/>
        <w:tabs>
          <w:tab w:leader="none" w:pos="274"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0-22684</w:t>
      </w:r>
    </w:p>
    <w:p>
      <w:pPr>
        <w:spacing w:after="0" w:line="2" w:lineRule="exact"/>
        <w:rPr>
          <w:sz w:val="24"/>
          <w:szCs w:val="24"/>
          <w:color w:val="auto"/>
        </w:rPr>
      </w:pPr>
    </w:p>
    <w:p>
      <w:pPr>
        <w:jc w:val="center"/>
        <w:ind w:right="18"/>
        <w:spacing w:after="0"/>
        <w:rPr>
          <w:sz w:val="20"/>
          <w:szCs w:val="20"/>
          <w:color w:val="auto"/>
        </w:rPr>
      </w:pPr>
      <w:r>
        <w:rPr>
          <w:rFonts w:ascii="Arial" w:cs="Arial" w:eastAsia="Arial" w:hAnsi="Arial"/>
          <w:sz w:val="27"/>
          <w:szCs w:val="27"/>
          <w:b w:val="1"/>
          <w:bCs w:val="1"/>
          <w:color w:val="auto"/>
        </w:rPr>
        <w:t>UNIVERSAL FOREST PRODUCTS INC</w:t>
      </w:r>
    </w:p>
    <w:p>
      <w:pPr>
        <w:spacing w:after="0" w:line="29" w:lineRule="exact"/>
        <w:rPr>
          <w:sz w:val="24"/>
          <w:szCs w:val="24"/>
          <w:color w:val="auto"/>
        </w:rPr>
      </w:pPr>
    </w:p>
    <w:p>
      <w:pPr>
        <w:jc w:val="center"/>
        <w:ind w:right="18"/>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522" w:type="dxa"/>
        <w:tblCellMar>
          <w:top w:w="0" w:type="dxa"/>
          <w:left w:w="0" w:type="dxa"/>
          <w:bottom w:w="0" w:type="dxa"/>
          <w:right w:w="0" w:type="dxa"/>
        </w:tblCellMar>
      </w:tblPr>
      <w:tr>
        <w:trPr>
          <w:trHeight w:val="237"/>
        </w:trPr>
        <w:tc>
          <w:tcPr>
            <w:tcW w:w="5320" w:type="dxa"/>
            <w:vAlign w:val="bottom"/>
            <w:gridSpan w:val="4"/>
          </w:tcPr>
          <w:p>
            <w:pPr>
              <w:jc w:val="center"/>
              <w:ind w:right="1220"/>
              <w:spacing w:after="0"/>
              <w:rPr>
                <w:sz w:val="20"/>
                <w:szCs w:val="20"/>
                <w:color w:val="auto"/>
              </w:rPr>
            </w:pPr>
            <w:r>
              <w:rPr>
                <w:rFonts w:ascii="Arial" w:cs="Arial" w:eastAsia="Arial" w:hAnsi="Arial"/>
                <w:sz w:val="18"/>
                <w:szCs w:val="18"/>
                <w:color w:val="auto"/>
                <w:w w:val="97"/>
              </w:rPr>
              <w:t>Michigan</w:t>
            </w:r>
          </w:p>
        </w:tc>
        <w:tc>
          <w:tcPr>
            <w:tcW w:w="4040" w:type="dxa"/>
            <w:vAlign w:val="bottom"/>
          </w:tcPr>
          <w:p>
            <w:pPr>
              <w:jc w:val="right"/>
              <w:ind w:right="1590"/>
              <w:spacing w:after="0"/>
              <w:rPr>
                <w:sz w:val="20"/>
                <w:szCs w:val="20"/>
                <w:color w:val="auto"/>
              </w:rPr>
            </w:pPr>
            <w:r>
              <w:rPr>
                <w:rFonts w:ascii="Arial" w:cs="Arial" w:eastAsia="Arial" w:hAnsi="Arial"/>
                <w:sz w:val="18"/>
                <w:szCs w:val="18"/>
                <w:color w:val="auto"/>
              </w:rPr>
              <w:t>38-1465835</w:t>
            </w:r>
          </w:p>
        </w:tc>
      </w:tr>
      <w:tr>
        <w:trPr>
          <w:trHeight w:val="202"/>
        </w:trPr>
        <w:tc>
          <w:tcPr>
            <w:tcW w:w="4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4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5320" w:type="dxa"/>
            <w:vAlign w:val="bottom"/>
            <w:gridSpan w:val="4"/>
          </w:tcPr>
          <w:p>
            <w:pPr>
              <w:jc w:val="center"/>
              <w:ind w:right="1200"/>
              <w:spacing w:after="0"/>
              <w:rPr>
                <w:sz w:val="20"/>
                <w:szCs w:val="20"/>
                <w:color w:val="auto"/>
              </w:rPr>
            </w:pPr>
            <w:r>
              <w:rPr>
                <w:rFonts w:ascii="Arial" w:cs="Arial" w:eastAsia="Arial" w:hAnsi="Arial"/>
                <w:sz w:val="18"/>
                <w:szCs w:val="18"/>
                <w:color w:val="auto"/>
                <w:w w:val="92"/>
              </w:rPr>
              <w:t>organization)</w:t>
            </w:r>
          </w:p>
        </w:tc>
        <w:tc>
          <w:tcPr>
            <w:tcW w:w="4040" w:type="dxa"/>
            <w:vAlign w:val="bottom"/>
          </w:tcPr>
          <w:p>
            <w:pPr>
              <w:spacing w:after="0"/>
              <w:rPr>
                <w:sz w:val="20"/>
                <w:szCs w:val="20"/>
                <w:color w:val="auto"/>
              </w:rPr>
            </w:pPr>
          </w:p>
        </w:tc>
      </w:tr>
      <w:tr>
        <w:trPr>
          <w:trHeight w:val="439"/>
        </w:trPr>
        <w:tc>
          <w:tcPr>
            <w:tcW w:w="5320" w:type="dxa"/>
            <w:vAlign w:val="bottom"/>
            <w:gridSpan w:val="4"/>
          </w:tcPr>
          <w:p>
            <w:pPr>
              <w:jc w:val="center"/>
              <w:ind w:right="1200"/>
              <w:spacing w:after="0"/>
              <w:rPr>
                <w:sz w:val="20"/>
                <w:szCs w:val="20"/>
                <w:color w:val="auto"/>
              </w:rPr>
            </w:pPr>
            <w:r>
              <w:rPr>
                <w:rFonts w:ascii="Arial" w:cs="Arial" w:eastAsia="Arial" w:hAnsi="Arial"/>
                <w:sz w:val="18"/>
                <w:szCs w:val="18"/>
                <w:color w:val="auto"/>
                <w:w w:val="92"/>
              </w:rPr>
              <w:t>2801 East Beltline NE, Grand Rapids, Michigan</w:t>
            </w:r>
          </w:p>
        </w:tc>
        <w:tc>
          <w:tcPr>
            <w:tcW w:w="4040" w:type="dxa"/>
            <w:vAlign w:val="bottom"/>
          </w:tcPr>
          <w:p>
            <w:pPr>
              <w:jc w:val="right"/>
              <w:ind w:right="1790"/>
              <w:spacing w:after="0"/>
              <w:rPr>
                <w:sz w:val="20"/>
                <w:szCs w:val="20"/>
                <w:color w:val="auto"/>
              </w:rPr>
            </w:pPr>
            <w:r>
              <w:rPr>
                <w:rFonts w:ascii="Arial" w:cs="Arial" w:eastAsia="Arial" w:hAnsi="Arial"/>
                <w:sz w:val="18"/>
                <w:szCs w:val="18"/>
                <w:color w:val="auto"/>
              </w:rPr>
              <w:t>49525</w:t>
            </w:r>
          </w:p>
        </w:tc>
      </w:tr>
      <w:tr>
        <w:trPr>
          <w:trHeight w:val="230"/>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4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4"/>
              </w:rPr>
              <w:t>(Zip Code)</w:t>
            </w:r>
          </w:p>
        </w:tc>
      </w:tr>
      <w:tr>
        <w:trPr>
          <w:trHeight w:val="350"/>
        </w:trPr>
        <w:tc>
          <w:tcPr>
            <w:tcW w:w="5320" w:type="dxa"/>
            <w:vAlign w:val="bottom"/>
            <w:gridSpan w:val="4"/>
          </w:tcPr>
          <w:p>
            <w:pPr>
              <w:ind w:left="460"/>
              <w:spacing w:after="0"/>
              <w:rPr>
                <w:sz w:val="20"/>
                <w:szCs w:val="20"/>
                <w:color w:val="auto"/>
              </w:rPr>
            </w:pPr>
            <w:r>
              <w:rPr>
                <w:rFonts w:ascii="Arial" w:cs="Arial" w:eastAsia="Arial" w:hAnsi="Arial"/>
                <w:sz w:val="18"/>
                <w:szCs w:val="18"/>
                <w:color w:val="auto"/>
                <w:w w:val="89"/>
              </w:rPr>
              <w:t>Registrant’s telephone number, including area code (616) 364-6161</w:t>
            </w:r>
          </w:p>
        </w:tc>
        <w:tc>
          <w:tcPr>
            <w:tcW w:w="4040" w:type="dxa"/>
            <w:vAlign w:val="bottom"/>
          </w:tcPr>
          <w:p>
            <w:pPr>
              <w:spacing w:after="0"/>
              <w:rPr>
                <w:sz w:val="24"/>
                <w:szCs w:val="24"/>
                <w:color w:val="auto"/>
              </w:rPr>
            </w:pPr>
          </w:p>
        </w:tc>
      </w:tr>
      <w:tr>
        <w:trPr>
          <w:trHeight w:val="20"/>
        </w:trPr>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ind w:right="58"/>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1785620</wp:posOffset>
            </wp:positionH>
            <wp:positionV relativeFrom="paragraph">
              <wp:posOffset>14605</wp:posOffset>
            </wp:positionV>
            <wp:extent cx="30270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16" w:lineRule="exact"/>
        <w:rPr>
          <w:sz w:val="24"/>
          <w:szCs w:val="24"/>
          <w:color w:val="auto"/>
        </w:rPr>
      </w:pPr>
    </w:p>
    <w:p>
      <w:pPr>
        <w:jc w:val="center"/>
        <w:ind w:right="58"/>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left="2" w:right="20"/>
        <w:spacing w:after="0" w:line="228"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4" w:lineRule="exact"/>
        <w:rPr>
          <w:sz w:val="24"/>
          <w:szCs w:val="24"/>
          <w:color w:val="auto"/>
        </w:rPr>
      </w:pPr>
    </w:p>
    <w:p>
      <w:pPr>
        <w:jc w:val="both"/>
        <w:ind w:left="2" w:right="20"/>
        <w:spacing w:after="0" w:line="228"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74" w:lineRule="exact"/>
        <w:rPr>
          <w:sz w:val="24"/>
          <w:szCs w:val="24"/>
          <w:color w:val="auto"/>
        </w:rPr>
      </w:pPr>
    </w:p>
    <w:p>
      <w:pPr>
        <w:jc w:val="both"/>
        <w:ind w:left="2" w:right="20"/>
        <w:spacing w:after="0" w:line="264"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2"/>
          </w:cols>
          <w:pgMar w:left="758" w:top="692" w:right="739" w:bottom="1440" w:gutter="0" w:footer="0" w:header="0"/>
        </w:sectPr>
      </w:pPr>
    </w:p>
    <w:p>
      <w:pPr>
        <w:spacing w:after="0" w:line="54" w:lineRule="exact"/>
        <w:rPr>
          <w:sz w:val="24"/>
          <w:szCs w:val="24"/>
          <w:color w:val="auto"/>
        </w:rPr>
      </w:pPr>
    </w:p>
    <w:p>
      <w:pPr>
        <w:ind w:left="542"/>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15" w:lineRule="exact"/>
        <w:rPr>
          <w:sz w:val="20"/>
          <w:szCs w:val="20"/>
          <w:color w:val="auto"/>
        </w:rPr>
      </w:pPr>
      <w:r>
        <w:rPr>
          <w:rFonts w:ascii="Arial" w:cs="Arial" w:eastAsia="Arial" w:hAnsi="Arial"/>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Non-Accelerated Filer </w:t>
      </w:r>
      <w:r>
        <w:rPr>
          <w:rFonts w:ascii="Arial Unicode MS" w:cs="Arial Unicode MS" w:eastAsia="Arial Unicode MS" w:hAnsi="Arial Unicode MS"/>
          <w:sz w:val="17"/>
          <w:szCs w:val="17"/>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jc w:val="both"/>
        <w:ind w:right="840"/>
        <w:spacing w:after="0" w:line="250"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Emerging Growth Company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sectPr>
          <w:pgSz w:w="11900" w:h="16838" w:orient="portrait"/>
          <w:cols w:equalWidth="0" w:num="4">
            <w:col w:w="2502" w:space="700"/>
            <w:col w:w="1440" w:space="320"/>
            <w:col w:w="1820" w:space="500"/>
            <w:col w:w="3120"/>
          </w:cols>
          <w:pgMar w:left="758" w:top="692" w:right="739" w:bottom="1440" w:gutter="0" w:footer="0" w:header="0"/>
          <w:type w:val="continuous"/>
        </w:sectPr>
      </w:pPr>
    </w:p>
    <w:p>
      <w:pPr>
        <w:ind w:left="2" w:right="3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3" w:lineRule="exact"/>
        <w:rPr>
          <w:sz w:val="24"/>
          <w:szCs w:val="24"/>
          <w:color w:val="auto"/>
        </w:rPr>
      </w:pPr>
    </w:p>
    <w:p>
      <w:pPr>
        <w:ind w:left="2"/>
        <w:spacing w:after="0" w:line="242" w:lineRule="exact"/>
        <w:rPr>
          <w:sz w:val="20"/>
          <w:szCs w:val="20"/>
          <w:color w:val="auto"/>
        </w:rPr>
      </w:pPr>
      <w:r>
        <w:rPr>
          <w:rFonts w:ascii="Arial" w:cs="Arial" w:eastAsia="Arial" w:hAnsi="Arial"/>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116" w:lineRule="exact"/>
        <w:rPr>
          <w:sz w:val="24"/>
          <w:szCs w:val="24"/>
          <w:color w:val="auto"/>
        </w:rPr>
      </w:pPr>
    </w:p>
    <w:p>
      <w:pPr>
        <w:ind w:left="2"/>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522" w:type="dxa"/>
        <w:tblCellMar>
          <w:top w:w="0" w:type="dxa"/>
          <w:left w:w="0" w:type="dxa"/>
          <w:bottom w:w="0" w:type="dxa"/>
          <w:right w:w="0" w:type="dxa"/>
        </w:tblCellMar>
      </w:tblPr>
      <w:tr>
        <w:trPr>
          <w:trHeight w:val="237"/>
        </w:trPr>
        <w:tc>
          <w:tcPr>
            <w:tcW w:w="5180" w:type="dxa"/>
            <w:vAlign w:val="bottom"/>
            <w:gridSpan w:val="2"/>
          </w:tcPr>
          <w:p>
            <w:pPr>
              <w:jc w:val="center"/>
              <w:ind w:right="1080"/>
              <w:spacing w:after="0"/>
              <w:rPr>
                <w:sz w:val="20"/>
                <w:szCs w:val="20"/>
                <w:color w:val="auto"/>
              </w:rPr>
            </w:pPr>
            <w:r>
              <w:rPr>
                <w:rFonts w:ascii="Arial" w:cs="Arial" w:eastAsia="Arial" w:hAnsi="Arial"/>
                <w:sz w:val="18"/>
                <w:szCs w:val="18"/>
                <w:color w:val="auto"/>
                <w:w w:val="84"/>
              </w:rPr>
              <w:t>Class</w:t>
            </w:r>
          </w:p>
        </w:tc>
        <w:tc>
          <w:tcPr>
            <w:tcW w:w="4180" w:type="dxa"/>
            <w:vAlign w:val="bottom"/>
          </w:tcPr>
          <w:p>
            <w:pPr>
              <w:jc w:val="center"/>
              <w:spacing w:after="0"/>
              <w:rPr>
                <w:sz w:val="20"/>
                <w:szCs w:val="20"/>
                <w:color w:val="auto"/>
              </w:rPr>
            </w:pPr>
            <w:r>
              <w:rPr>
                <w:rFonts w:ascii="Arial" w:cs="Arial" w:eastAsia="Arial" w:hAnsi="Arial"/>
                <w:sz w:val="18"/>
                <w:szCs w:val="18"/>
                <w:color w:val="auto"/>
                <w:w w:val="89"/>
              </w:rPr>
              <w:t>Outstanding as of June 29, 2019</w:t>
            </w:r>
          </w:p>
        </w:tc>
      </w:tr>
      <w:tr>
        <w:trPr>
          <w:trHeight w:val="230"/>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1020" w:type="dxa"/>
            <w:vAlign w:val="bottom"/>
          </w:tcPr>
          <w:p>
            <w:pPr>
              <w:spacing w:after="0"/>
              <w:rPr>
                <w:sz w:val="20"/>
                <w:szCs w:val="20"/>
                <w:color w:val="auto"/>
              </w:rPr>
            </w:pPr>
          </w:p>
        </w:tc>
        <w:tc>
          <w:tcPr>
            <w:tcW w:w="4180" w:type="dxa"/>
            <w:vAlign w:val="bottom"/>
            <w:tcBorders>
              <w:top w:val="single" w:sz="8" w:color="auto"/>
            </w:tcBorders>
          </w:tcPr>
          <w:p>
            <w:pPr>
              <w:jc w:val="right"/>
              <w:ind w:right="1610"/>
              <w:spacing w:after="0"/>
              <w:rPr>
                <w:sz w:val="20"/>
                <w:szCs w:val="20"/>
                <w:color w:val="auto"/>
              </w:rPr>
            </w:pPr>
            <w:r>
              <w:rPr>
                <w:rFonts w:ascii="Arial" w:cs="Arial" w:eastAsia="Arial" w:hAnsi="Arial"/>
                <w:sz w:val="18"/>
                <w:szCs w:val="18"/>
                <w:color w:val="auto"/>
              </w:rPr>
              <w:t>61,366,680</w:t>
            </w:r>
          </w:p>
        </w:tc>
      </w:tr>
    </w:tbl>
    <w:p>
      <w:pPr>
        <w:spacing w:after="0" w:line="106" w:lineRule="exact"/>
        <w:rPr>
          <w:sz w:val="24"/>
          <w:szCs w:val="24"/>
          <w:color w:val="auto"/>
        </w:rPr>
      </w:pPr>
    </w:p>
    <w:p>
      <w:pPr>
        <w:jc w:val="center"/>
        <w:ind w:right="18"/>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2" w:type="dxa"/>
        <w:tblCellMar>
          <w:top w:w="0" w:type="dxa"/>
          <w:left w:w="0" w:type="dxa"/>
          <w:bottom w:w="0" w:type="dxa"/>
          <w:right w:w="0" w:type="dxa"/>
        </w:tblCellMar>
      </w:tblPr>
      <w:tr>
        <w:trPr>
          <w:trHeight w:val="223"/>
        </w:trPr>
        <w:tc>
          <w:tcPr>
            <w:tcW w:w="2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5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17"/>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no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UFPI</w:t>
            </w:r>
          </w:p>
        </w:tc>
        <w:tc>
          <w:tcPr>
            <w:tcW w:w="5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r>
        <w:trPr>
          <w:trHeight w:val="135"/>
        </w:trPr>
        <w:tc>
          <w:tcPr>
            <w:tcW w:w="292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5320" w:type="dxa"/>
            <w:vAlign w:val="bottom"/>
            <w:tcBorders>
              <w:bottom w:val="single" w:sz="8" w:color="auto"/>
            </w:tcBorders>
          </w:tcPr>
          <w:p>
            <w:pPr>
              <w:spacing w:after="0"/>
              <w:rPr>
                <w:sz w:val="11"/>
                <w:szCs w:val="11"/>
                <w:color w:val="auto"/>
              </w:rPr>
            </w:pPr>
          </w:p>
        </w:tc>
      </w:tr>
      <w:tr>
        <w:trPr>
          <w:trHeight w:val="95"/>
        </w:trPr>
        <w:tc>
          <w:tcPr>
            <w:tcW w:w="2920" w:type="dxa"/>
            <w:vAlign w:val="bottom"/>
            <w:tcBorders>
              <w:left w:val="single" w:sz="8" w:color="auto"/>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5320" w:type="dxa"/>
            <w:vAlign w:val="bottom"/>
            <w:tcBorders>
              <w:bottom w:val="single" w:sz="8" w:color="auto"/>
              <w:right w:val="single" w:sz="8" w:color="auto"/>
            </w:tcBorders>
          </w:tcPr>
          <w:p>
            <w:pPr>
              <w:spacing w:after="0"/>
              <w:rPr>
                <w:sz w:val="8"/>
                <w:szCs w:val="8"/>
                <w:color w:val="auto"/>
              </w:rPr>
            </w:pPr>
          </w:p>
        </w:tc>
      </w:tr>
      <w:tr>
        <w:trPr>
          <w:trHeight w:val="574"/>
        </w:trPr>
        <w:tc>
          <w:tcPr>
            <w:tcW w:w="29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0402"/>
          </w:cols>
          <w:pgMar w:left="758" w:top="692" w:right="7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790"/>
        </w:trPr>
        <w:tc>
          <w:tcPr>
            <w:tcW w:w="8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20" w:type="dxa"/>
            <w:vAlign w:val="bottom"/>
            <w:gridSpan w:val="12"/>
          </w:tcPr>
          <w:p>
            <w:pPr>
              <w:jc w:val="center"/>
              <w:ind w:right="1760"/>
              <w:spacing w:after="0"/>
              <w:rPr>
                <w:sz w:val="20"/>
                <w:szCs w:val="20"/>
                <w:color w:val="auto"/>
              </w:rPr>
            </w:pPr>
            <w:r>
              <w:rPr>
                <w:rFonts w:ascii="Arial" w:cs="Arial" w:eastAsia="Arial" w:hAnsi="Arial"/>
                <w:sz w:val="18"/>
                <w:szCs w:val="18"/>
                <w:b w:val="1"/>
                <w:bCs w:val="1"/>
                <w:color w:val="auto"/>
                <w:w w:val="99"/>
              </w:rPr>
              <w:t>UNIVERSAL FOREST PRODUCTS, INC.</w:t>
            </w:r>
          </w:p>
        </w:tc>
        <w:tc>
          <w:tcPr>
            <w:tcW w:w="780" w:type="dxa"/>
            <w:vAlign w:val="bottom"/>
          </w:tcPr>
          <w:p>
            <w:pPr>
              <w:spacing w:after="0"/>
              <w:rPr>
                <w:sz w:val="24"/>
                <w:szCs w:val="24"/>
                <w:color w:val="auto"/>
              </w:rPr>
            </w:pPr>
          </w:p>
        </w:tc>
      </w:tr>
      <w:tr>
        <w:trPr>
          <w:trHeight w:val="432"/>
        </w:trPr>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gridSpan w:val="10"/>
          </w:tcPr>
          <w:p>
            <w:pPr>
              <w:jc w:val="center"/>
              <w:ind w:right="258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4"/>
                <w:szCs w:val="24"/>
                <w:color w:val="auto"/>
              </w:rPr>
            </w:pPr>
          </w:p>
        </w:tc>
      </w:tr>
      <w:tr>
        <w:trPr>
          <w:trHeight w:val="453"/>
        </w:trPr>
        <w:tc>
          <w:tcPr>
            <w:tcW w:w="1620" w:type="dxa"/>
            <w:vAlign w:val="bottom"/>
            <w:gridSpan w:val="5"/>
          </w:tcPr>
          <w:p>
            <w:pPr>
              <w:spacing w:after="0"/>
              <w:rPr>
                <w:sz w:val="20"/>
                <w:szCs w:val="20"/>
                <w:color w:val="auto"/>
              </w:rPr>
            </w:pPr>
            <w:r>
              <w:rPr>
                <w:rFonts w:ascii="Arial" w:cs="Arial" w:eastAsia="Arial" w:hAnsi="Arial"/>
                <w:sz w:val="18"/>
                <w:szCs w:val="18"/>
                <w:b w:val="1"/>
                <w:bCs w:val="1"/>
                <w:color w:val="auto"/>
              </w:rPr>
              <w:t>PART I.</w:t>
            </w:r>
          </w:p>
        </w:tc>
        <w:tc>
          <w:tcPr>
            <w:tcW w:w="6660" w:type="dxa"/>
            <w:vAlign w:val="bottom"/>
            <w:gridSpan w:val="15"/>
          </w:tcPr>
          <w:p>
            <w:pPr>
              <w:spacing w:after="0"/>
              <w:rPr>
                <w:sz w:val="20"/>
                <w:szCs w:val="20"/>
                <w:color w:val="auto"/>
              </w:rPr>
            </w:pPr>
            <w:r>
              <w:rPr>
                <w:rFonts w:ascii="Arial" w:cs="Arial" w:eastAsia="Arial" w:hAnsi="Arial"/>
                <w:sz w:val="18"/>
                <w:szCs w:val="18"/>
                <w:b w:val="1"/>
                <w:bCs w:val="1"/>
                <w:color w:val="auto"/>
              </w:rPr>
              <w:t>FINANCIAL INFORMATION.</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 No.</w:t>
            </w:r>
          </w:p>
        </w:tc>
      </w:tr>
      <w:tr>
        <w:trPr>
          <w:trHeight w:val="432"/>
        </w:trPr>
        <w:tc>
          <w:tcPr>
            <w:tcW w:w="86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Arial" w:cs="Arial" w:eastAsia="Arial" w:hAnsi="Arial"/>
                <w:sz w:val="18"/>
                <w:szCs w:val="18"/>
                <w:color w:val="auto"/>
              </w:rPr>
              <w:t>Item 1.</w:t>
            </w:r>
          </w:p>
        </w:tc>
        <w:tc>
          <w:tcPr>
            <w:tcW w:w="666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78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76"/>
        </w:trPr>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60" w:type="dxa"/>
            <w:vAlign w:val="bottom"/>
            <w:gridSpan w:val="15"/>
            <w:shd w:val="clear" w:color="auto" w:fill="CCEEFF"/>
          </w:tcPr>
          <w:p>
            <w:pPr>
              <w:spacing w:after="0" w:line="17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June 29, 2019, December 29, 2018 and June 30,</w:t>
              </w:r>
            </w:hyperlink>
          </w:p>
        </w:tc>
        <w:tc>
          <w:tcPr>
            <w:tcW w:w="780" w:type="dxa"/>
            <w:vAlign w:val="bottom"/>
            <w:shd w:val="clear" w:color="auto" w:fill="CCEEFF"/>
          </w:tcPr>
          <w:p>
            <w:pPr>
              <w:spacing w:after="0"/>
              <w:rPr>
                <w:sz w:val="15"/>
                <w:szCs w:val="15"/>
                <w:color w:val="auto"/>
              </w:rPr>
            </w:pPr>
          </w:p>
        </w:tc>
      </w:tr>
      <w:tr>
        <w:trPr>
          <w:trHeight w:val="222"/>
        </w:trPr>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2018</w:t>
              </w:r>
            </w:hyperlink>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340" w:type="dxa"/>
            <w:vAlign w:val="bottom"/>
            <w:tcBorders>
              <w:top w:val="single" w:sz="8" w:color="0000EE"/>
              <w:bottom w:val="single" w:sz="8" w:color="CCEEFF"/>
            </w:tcBorders>
            <w:shd w:val="clear" w:color="auto" w:fill="CCEEFF"/>
          </w:tcPr>
          <w:p>
            <w:pPr>
              <w:spacing w:after="0"/>
              <w:rPr>
                <w:sz w:val="18"/>
                <w:szCs w:val="18"/>
                <w:color w:val="auto"/>
              </w:rPr>
            </w:pPr>
          </w:p>
        </w:tc>
        <w:tc>
          <w:tcPr>
            <w:tcW w:w="7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40" w:type="dxa"/>
            <w:vAlign w:val="bottom"/>
            <w:tcBorders>
              <w:top w:val="single" w:sz="8" w:color="0000EE"/>
              <w:bottom w:val="single" w:sz="8" w:color="CCEEFF"/>
            </w:tcBorders>
            <w:shd w:val="clear" w:color="auto" w:fill="CCEEFF"/>
          </w:tcPr>
          <w:p>
            <w:pPr>
              <w:spacing w:after="0"/>
              <w:rPr>
                <w:sz w:val="18"/>
                <w:szCs w:val="18"/>
                <w:color w:val="auto"/>
              </w:rPr>
            </w:pPr>
          </w:p>
        </w:tc>
        <w:tc>
          <w:tcPr>
            <w:tcW w:w="360" w:type="dxa"/>
            <w:vAlign w:val="bottom"/>
            <w:tcBorders>
              <w:top w:val="single" w:sz="8" w:color="0000EE"/>
              <w:bottom w:val="single" w:sz="8" w:color="CCEEFF"/>
            </w:tcBorders>
            <w:shd w:val="clear" w:color="auto" w:fill="CCEEFF"/>
          </w:tcPr>
          <w:p>
            <w:pPr>
              <w:spacing w:after="0"/>
              <w:rPr>
                <w:sz w:val="18"/>
                <w:szCs w:val="18"/>
                <w:color w:val="auto"/>
              </w:rPr>
            </w:pPr>
          </w:p>
        </w:tc>
        <w:tc>
          <w:tcPr>
            <w:tcW w:w="194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1680" w:type="dxa"/>
            <w:vAlign w:val="bottom"/>
            <w:tcBorders>
              <w:top w:val="single" w:sz="8" w:color="0000EE"/>
              <w:bottom w:val="single" w:sz="8" w:color="CCEEFF"/>
            </w:tcBorders>
            <w:shd w:val="clear" w:color="auto" w:fill="CCEEFF"/>
          </w:tcPr>
          <w:p>
            <w:pPr>
              <w:spacing w:after="0"/>
              <w:rPr>
                <w:sz w:val="18"/>
                <w:szCs w:val="18"/>
                <w:color w:val="auto"/>
              </w:rPr>
            </w:pPr>
          </w:p>
        </w:tc>
        <w:tc>
          <w:tcPr>
            <w:tcW w:w="1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r>
      <w:tr>
        <w:trPr>
          <w:trHeight w:val="216"/>
        </w:trPr>
        <w:tc>
          <w:tcPr>
            <w:tcW w:w="8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6"/>
        </w:trPr>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60" w:type="dxa"/>
            <w:vAlign w:val="bottom"/>
            <w:gridSpan w:val="15"/>
            <w:shd w:val="clear" w:color="auto" w:fill="CCEEFF"/>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Condensed Consolidated Statements of Earnings and Comprehensive Income for the</w:t>
              </w:r>
            </w:hyperlink>
          </w:p>
        </w:tc>
        <w:tc>
          <w:tcPr>
            <w:tcW w:w="780" w:type="dxa"/>
            <w:vAlign w:val="bottom"/>
            <w:shd w:val="clear" w:color="auto" w:fill="CCEEFF"/>
          </w:tcPr>
          <w:p>
            <w:pPr>
              <w:spacing w:after="0"/>
              <w:rPr>
                <w:sz w:val="15"/>
                <w:szCs w:val="15"/>
                <w:color w:val="auto"/>
              </w:rPr>
            </w:pPr>
          </w:p>
        </w:tc>
      </w:tr>
      <w:tr>
        <w:trPr>
          <w:trHeight w:val="217"/>
        </w:trPr>
        <w:tc>
          <w:tcPr>
            <w:tcW w:w="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and Six Months Ended June 29, 2019 and June 30, 2018</w:t>
              </w:r>
            </w:hyperlink>
          </w:p>
        </w:tc>
        <w:tc>
          <w:tcPr>
            <w:tcW w:w="6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r>
      <w:tr>
        <w:trPr>
          <w:trHeight w:val="216"/>
        </w:trPr>
        <w:tc>
          <w:tcPr>
            <w:tcW w:w="8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6"/>
        </w:trPr>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60" w:type="dxa"/>
            <w:vAlign w:val="bottom"/>
            <w:gridSpan w:val="15"/>
            <w:shd w:val="clear" w:color="auto" w:fill="CCEEFF"/>
          </w:tcPr>
          <w:p>
            <w:pPr>
              <w:spacing w:after="0" w:line="17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Shareholders’ Equity for the Six Months Ended</w:t>
              </w:r>
            </w:hyperlink>
          </w:p>
        </w:tc>
        <w:tc>
          <w:tcPr>
            <w:tcW w:w="780" w:type="dxa"/>
            <w:vAlign w:val="bottom"/>
            <w:shd w:val="clear" w:color="auto" w:fill="CCEEFF"/>
          </w:tcPr>
          <w:p>
            <w:pPr>
              <w:spacing w:after="0"/>
              <w:rPr>
                <w:sz w:val="15"/>
                <w:szCs w:val="15"/>
                <w:color w:val="auto"/>
              </w:rPr>
            </w:pPr>
          </w:p>
        </w:tc>
      </w:tr>
      <w:tr>
        <w:trPr>
          <w:trHeight w:val="217"/>
        </w:trPr>
        <w:tc>
          <w:tcPr>
            <w:tcW w:w="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29, 2019 and June 30, 2018</w:t>
              </w:r>
            </w:hyperlink>
          </w:p>
        </w:tc>
        <w:tc>
          <w:tcPr>
            <w:tcW w:w="6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r>
      <w:tr>
        <w:trPr>
          <w:trHeight w:val="216"/>
        </w:trPr>
        <w:tc>
          <w:tcPr>
            <w:tcW w:w="8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76"/>
        </w:trPr>
        <w:tc>
          <w:tcPr>
            <w:tcW w:w="86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Cash Flows for the Six Months Ended June 29,</w:t>
              </w:r>
            </w:hyperlink>
          </w:p>
        </w:tc>
        <w:tc>
          <w:tcPr>
            <w:tcW w:w="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r>
      <w:tr>
        <w:trPr>
          <w:trHeight w:val="217"/>
        </w:trPr>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60" w:type="dxa"/>
            <w:vAlign w:val="bottom"/>
            <w:gridSpan w:val="15"/>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2019 and June 30, 2018</w:t>
              </w:r>
            </w:hyperlink>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r>
      <w:tr>
        <w:trPr>
          <w:trHeight w:val="216"/>
        </w:trPr>
        <w:tc>
          <w:tcPr>
            <w:tcW w:w="8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60" w:type="dxa"/>
            <w:vAlign w:val="bottom"/>
            <w:gridSpan w:val="15"/>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r>
      <w:tr>
        <w:trPr>
          <w:trHeight w:val="216"/>
        </w:trPr>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Item 2.</w:t>
              </w:r>
            </w:hyperlink>
          </w:p>
        </w:tc>
        <w:tc>
          <w:tcPr>
            <w:tcW w:w="6660" w:type="dxa"/>
            <w:vAlign w:val="bottom"/>
            <w:gridSpan w:val="15"/>
            <w:shd w:val="clear" w:color="auto" w:fill="CCEEFF"/>
          </w:tcPr>
          <w:p>
            <w:pPr>
              <w:spacing w:after="0" w:line="176" w:lineRule="exact"/>
              <w:rPr>
                <w:rFonts w:ascii="Arial" w:cs="Arial" w:eastAsia="Arial" w:hAnsi="Arial"/>
                <w:sz w:val="18"/>
                <w:szCs w:val="18"/>
                <w:color w:val="0000EE"/>
                <w:w w:val="93"/>
              </w:rPr>
            </w:pPr>
            <w:hyperlink w:anchor="page17">
              <w:r>
                <w:rPr>
                  <w:rFonts w:ascii="Arial" w:cs="Arial" w:eastAsia="Arial" w:hAnsi="Arial"/>
                  <w:sz w:val="18"/>
                  <w:szCs w:val="18"/>
                  <w:color w:val="0000EE"/>
                  <w:w w:val="93"/>
                </w:rPr>
                <w:t>Management’s Discussion and Analysis of Financial Condition and Results of Operations</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r>
      <w:tr>
        <w:trPr>
          <w:trHeight w:val="216"/>
        </w:trPr>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6660" w:type="dxa"/>
            <w:vAlign w:val="bottom"/>
            <w:gridSpan w:val="15"/>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r>
      <w:tr>
        <w:trPr>
          <w:trHeight w:val="216"/>
        </w:trPr>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6660" w:type="dxa"/>
            <w:vAlign w:val="bottom"/>
            <w:gridSpan w:val="15"/>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r>
      <w:tr>
        <w:trPr>
          <w:trHeight w:val="216"/>
        </w:trPr>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216"/>
        </w:trPr>
        <w:tc>
          <w:tcPr>
            <w:tcW w:w="16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6660" w:type="dxa"/>
            <w:vAlign w:val="bottom"/>
            <w:gridSpan w:val="15"/>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78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1.</w:t>
            </w:r>
          </w:p>
        </w:tc>
        <w:tc>
          <w:tcPr>
            <w:tcW w:w="666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Legal Proceedings – NONE</w:t>
            </w:r>
          </w:p>
        </w:tc>
        <w:tc>
          <w:tcPr>
            <w:tcW w:w="78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8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1A.</w:t>
              </w:r>
            </w:hyperlink>
          </w:p>
        </w:tc>
        <w:tc>
          <w:tcPr>
            <w:tcW w:w="6660" w:type="dxa"/>
            <w:vAlign w:val="bottom"/>
            <w:gridSpan w:val="15"/>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r>
      <w:tr>
        <w:trPr>
          <w:trHeight w:val="216"/>
        </w:trPr>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6660" w:type="dxa"/>
            <w:vAlign w:val="bottom"/>
            <w:gridSpan w:val="15"/>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Unregistered Sales of Equity Securities and Use of Proceeds</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r>
      <w:tr>
        <w:trPr>
          <w:trHeight w:val="216"/>
        </w:trPr>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3.</w:t>
            </w:r>
          </w:p>
        </w:tc>
        <w:tc>
          <w:tcPr>
            <w:tcW w:w="666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Defaults upon Senior Securities – NONE</w:t>
            </w:r>
          </w:p>
        </w:tc>
        <w:tc>
          <w:tcPr>
            <w:tcW w:w="78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4.</w:t>
            </w:r>
          </w:p>
        </w:tc>
        <w:tc>
          <w:tcPr>
            <w:tcW w:w="666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Mine Safety Disclosures – NONE</w:t>
            </w:r>
          </w:p>
        </w:tc>
        <w:tc>
          <w:tcPr>
            <w:tcW w:w="78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8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5.</w:t>
              </w:r>
            </w:hyperlink>
          </w:p>
        </w:tc>
        <w:tc>
          <w:tcPr>
            <w:tcW w:w="6660" w:type="dxa"/>
            <w:vAlign w:val="bottom"/>
            <w:gridSpan w:val="15"/>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Other Information – NONE</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r>
      <w:tr>
        <w:trPr>
          <w:trHeight w:val="216"/>
        </w:trPr>
        <w:tc>
          <w:tcPr>
            <w:tcW w:w="86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r>
      <w:tr>
        <w:trPr>
          <w:trHeight w:val="196"/>
        </w:trPr>
        <w:tc>
          <w:tcPr>
            <w:tcW w:w="860" w:type="dxa"/>
            <w:vAlign w:val="bottom"/>
            <w:shd w:val="clear" w:color="auto" w:fill="CCEEFF"/>
          </w:tcPr>
          <w:p>
            <w:pPr>
              <w:spacing w:after="0"/>
              <w:rPr>
                <w:sz w:val="17"/>
                <w:szCs w:val="17"/>
                <w:color w:val="auto"/>
              </w:rPr>
            </w:pPr>
          </w:p>
        </w:tc>
        <w:tc>
          <w:tcPr>
            <w:tcW w:w="760" w:type="dxa"/>
            <w:vAlign w:val="bottom"/>
            <w:gridSpan w:val="4"/>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6.</w:t>
              </w:r>
            </w:hyperlink>
          </w:p>
        </w:tc>
        <w:tc>
          <w:tcPr>
            <w:tcW w:w="6660" w:type="dxa"/>
            <w:vAlign w:val="bottom"/>
            <w:gridSpan w:val="15"/>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r>
      <w:tr>
        <w:trPr>
          <w:trHeight w:val="878"/>
        </w:trPr>
        <w:tc>
          <w:tcPr>
            <w:tcW w:w="860" w:type="dxa"/>
            <w:vAlign w:val="bottom"/>
            <w:tcBorders>
              <w:top w:val="single" w:sz="8" w:color="CCEEFF"/>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700" w:type="dxa"/>
            <w:vAlign w:val="bottom"/>
            <w:tcBorders>
              <w:top w:val="single" w:sz="8" w:color="CCEEFF"/>
            </w:tcBorders>
            <w:gridSpan w:val="6"/>
          </w:tcPr>
          <w:p>
            <w:pPr>
              <w:jc w:val="center"/>
              <w:ind w:left="830"/>
              <w:spacing w:after="0"/>
              <w:rPr>
                <w:sz w:val="20"/>
                <w:szCs w:val="20"/>
                <w:color w:val="auto"/>
              </w:rPr>
            </w:pPr>
            <w:r>
              <w:rPr>
                <w:rFonts w:ascii="Arial" w:cs="Arial" w:eastAsia="Arial" w:hAnsi="Arial"/>
                <w:sz w:val="18"/>
                <w:szCs w:val="18"/>
                <w:color w:val="auto"/>
                <w:w w:val="99"/>
              </w:rPr>
              <w:t>2</w:t>
            </w: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r>
      <w:tr>
        <w:trPr>
          <w:trHeight w:val="547"/>
        </w:trPr>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2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data)</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9"/>
              </w:rPr>
              <w:t>June 29,</w:t>
            </w:r>
          </w:p>
        </w:tc>
        <w:tc>
          <w:tcPr>
            <w:tcW w:w="240" w:type="dxa"/>
            <w:vAlign w:val="bottom"/>
          </w:tcPr>
          <w:p>
            <w:pPr>
              <w:spacing w:after="0"/>
              <w:rPr>
                <w:sz w:val="16"/>
                <w:szCs w:val="16"/>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29,</w:t>
            </w:r>
          </w:p>
        </w:tc>
        <w:tc>
          <w:tcPr>
            <w:tcW w:w="140" w:type="dxa"/>
            <w:vAlign w:val="bottom"/>
          </w:tcPr>
          <w:p>
            <w:pPr>
              <w:spacing w:after="0"/>
              <w:rPr>
                <w:sz w:val="16"/>
                <w:szCs w:val="16"/>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20,497</w:t>
            </w:r>
          </w:p>
        </w:tc>
        <w:tc>
          <w:tcPr>
            <w:tcW w:w="4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27,316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100"/>
              <w:spacing w:after="0" w:line="149" w:lineRule="exact"/>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882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16,758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Investments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16,776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14,493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100"/>
              <w:spacing w:after="0" w:line="149" w:lineRule="exact"/>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483,263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343,450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489,145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258,078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271,871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272,765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0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270,602</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284,349</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259,109</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300" w:type="dxa"/>
            <w:vAlign w:val="bottom"/>
          </w:tcPr>
          <w:p>
            <w:pPr>
              <w:ind w:left="420"/>
              <w:spacing w:after="0" w:line="136" w:lineRule="exact"/>
              <w:rPr>
                <w:sz w:val="20"/>
                <w:szCs w:val="20"/>
                <w:color w:val="auto"/>
              </w:rPr>
            </w:pPr>
            <w:r>
              <w:rPr>
                <w:rFonts w:ascii="Arial" w:cs="Arial" w:eastAsia="Arial" w:hAnsi="Arial"/>
                <w:sz w:val="14"/>
                <w:szCs w:val="14"/>
                <w:color w:val="auto"/>
              </w:rPr>
              <w:t>Total inventories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528,680</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4"/>
                <w:szCs w:val="14"/>
                <w:color w:val="auto"/>
              </w:rPr>
              <w:t>556,220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531,874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Refundable income taxes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14,130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46,868</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38,525</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30,464</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1,097,108</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995,278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1,112,631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2,341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2,668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2,235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14,856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10,950</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RIGHT OF USE ASSETS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70,650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23,328</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225,269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224,117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219,595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7,360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41,176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41,486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36,045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100"/>
              <w:spacing w:after="0" w:line="149" w:lineRule="exact"/>
              <w:rPr>
                <w:sz w:val="20"/>
                <w:szCs w:val="20"/>
                <w:color w:val="auto"/>
              </w:rPr>
            </w:pPr>
            <w:r>
              <w:rPr>
                <w:rFonts w:ascii="Arial" w:cs="Arial" w:eastAsia="Arial" w:hAnsi="Arial"/>
                <w:sz w:val="14"/>
                <w:szCs w:val="14"/>
                <w:color w:val="auto"/>
              </w:rPr>
              <w:t>Property, plant and equipment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851,565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814,645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791,348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0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(482,993)</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(459,935)</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(450,650)</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300" w:type="dxa"/>
            <w:vAlign w:val="bottom"/>
            <w:tcBorders>
              <w:bottom w:val="single" w:sz="8" w:color="CCEEFF"/>
            </w:tcBorders>
          </w:tcPr>
          <w:p>
            <w:pPr>
              <w:ind w:left="380"/>
              <w:spacing w:after="0" w:line="136" w:lineRule="exact"/>
              <w:rPr>
                <w:sz w:val="20"/>
                <w:szCs w:val="20"/>
                <w:color w:val="auto"/>
              </w:rPr>
            </w:pPr>
            <w:r>
              <w:rPr>
                <w:rFonts w:ascii="Arial" w:cs="Arial" w:eastAsia="Arial" w:hAnsi="Arial"/>
                <w:sz w:val="14"/>
                <w:szCs w:val="14"/>
                <w:color w:val="auto"/>
              </w:rPr>
              <w:t>PROPERTY, PLANT AND EQUIPMENT, NET</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368,572</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354,710</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340,698</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1,850,659</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1,647,548</w:t>
            </w:r>
          </w:p>
        </w:tc>
        <w:tc>
          <w:tcPr>
            <w:tcW w:w="2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1,736,619</w:t>
            </w: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3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100"/>
              <w:spacing w:after="0" w:line="149" w:lineRule="exact"/>
              <w:rPr>
                <w:sz w:val="20"/>
                <w:szCs w:val="20"/>
                <w:color w:val="auto"/>
              </w:rPr>
            </w:pPr>
            <w:r>
              <w:rPr>
                <w:rFonts w:ascii="Arial" w:cs="Arial" w:eastAsia="Arial" w:hAnsi="Arial"/>
                <w:sz w:val="14"/>
                <w:szCs w:val="14"/>
                <w:color w:val="auto"/>
              </w:rPr>
              <w:t>Cash overdraft</w:t>
            </w: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24,972</w:t>
            </w:r>
          </w:p>
        </w:tc>
        <w:tc>
          <w:tcPr>
            <w:tcW w:w="4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27,367</w:t>
            </w:r>
          </w:p>
        </w:tc>
        <w:tc>
          <w:tcPr>
            <w:tcW w:w="24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33,608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189,649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136,901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197,408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100"/>
              <w:spacing w:after="0" w:line="149" w:lineRule="exact"/>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100,409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104,109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88,771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320"/>
              <w:spacing w:after="0" w:line="149" w:lineRule="exact"/>
              <w:rPr>
                <w:sz w:val="20"/>
                <w:szCs w:val="20"/>
                <w:color w:val="auto"/>
              </w:rPr>
            </w:pPr>
            <w:r>
              <w:rPr>
                <w:rFonts w:ascii="Arial" w:cs="Arial" w:eastAsia="Arial" w:hAnsi="Arial"/>
                <w:sz w:val="14"/>
                <w:szCs w:val="14"/>
                <w:color w:val="auto"/>
              </w:rPr>
              <w:t>Income taxes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739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48,746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41,645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50,038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100"/>
              <w:spacing w:after="0" w:line="149" w:lineRule="exact"/>
              <w:rPr>
                <w:sz w:val="20"/>
                <w:szCs w:val="20"/>
                <w:color w:val="auto"/>
              </w:rPr>
            </w:pPr>
            <w:r>
              <w:rPr>
                <w:rFonts w:ascii="Arial" w:cs="Arial" w:eastAsia="Arial" w:hAnsi="Arial"/>
                <w:sz w:val="14"/>
                <w:szCs w:val="14"/>
                <w:color w:val="auto"/>
              </w:rPr>
              <w:t>Current portion of lease liability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14,918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0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portion of long-term debt</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542</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300" w:type="dxa"/>
            <w:vAlign w:val="bottom"/>
          </w:tcPr>
          <w:p>
            <w:pPr>
              <w:ind w:left="420"/>
              <w:spacing w:after="0" w:line="136" w:lineRule="exact"/>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379,606</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Arial" w:cs="Arial" w:eastAsia="Arial" w:hAnsi="Arial"/>
                <w:sz w:val="14"/>
                <w:szCs w:val="14"/>
                <w:color w:val="auto"/>
              </w:rPr>
              <w:t>310,170</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370,367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187,471</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202,130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276,274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LEASE LIABILITY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55,875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14,773</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15,687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13,856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 LIABILITIES</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29,701</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30,877</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28,399</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667,426</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558,864</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688,896</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line="149" w:lineRule="exact"/>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Controlling interest shareholders’ equity:</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300" w:type="dxa"/>
            <w:vAlign w:val="bottom"/>
          </w:tcPr>
          <w:p>
            <w:pPr>
              <w:ind w:left="320"/>
              <w:spacing w:after="0" w:line="130" w:lineRule="exact"/>
              <w:rPr>
                <w:sz w:val="20"/>
                <w:szCs w:val="20"/>
                <w:color w:val="auto"/>
              </w:rPr>
            </w:pPr>
            <w:r>
              <w:rPr>
                <w:rFonts w:ascii="Arial" w:cs="Arial" w:eastAsia="Arial" w:hAnsi="Arial"/>
                <w:sz w:val="14"/>
                <w:szCs w:val="14"/>
                <w:color w:val="auto"/>
                <w:w w:val="95"/>
              </w:rPr>
              <w:t>Preferred stock, no par value; shares authorized 1,000,000; issued and outstanding,</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00" w:type="dxa"/>
            <w:vAlign w:val="bottom"/>
          </w:tcPr>
          <w:p>
            <w:pPr>
              <w:ind w:left="320"/>
              <w:spacing w:after="0"/>
              <w:rPr>
                <w:sz w:val="20"/>
                <w:szCs w:val="20"/>
                <w:color w:val="auto"/>
              </w:rPr>
            </w:pPr>
            <w:r>
              <w:rPr>
                <w:rFonts w:ascii="Arial" w:cs="Arial" w:eastAsia="Arial" w:hAnsi="Arial"/>
                <w:sz w:val="14"/>
                <w:szCs w:val="14"/>
                <w:color w:val="auto"/>
              </w:rPr>
              <w:t>none</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30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Common stock, $1 par value; shares authorized 80,000,000; issued and</w:t>
            </w: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outstanding, 61,366,680, 60,883,749, and 61,632,401</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61,367</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60,884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61,632</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192,783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178,540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174,749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917,704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839,917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800,237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Borders>
              <w:bottom w:val="single" w:sz="8" w:color="CCEEFF"/>
            </w:tcBorders>
          </w:tcPr>
          <w:p>
            <w:pPr>
              <w:ind w:left="320"/>
              <w:spacing w:after="0" w:line="149" w:lineRule="exact"/>
              <w:rPr>
                <w:sz w:val="20"/>
                <w:szCs w:val="20"/>
                <w:color w:val="auto"/>
              </w:rPr>
            </w:pPr>
            <w:r>
              <w:rPr>
                <w:rFonts w:ascii="Arial" w:cs="Arial" w:eastAsia="Arial" w:hAnsi="Arial"/>
                <w:sz w:val="14"/>
                <w:szCs w:val="14"/>
                <w:color w:val="auto"/>
              </w:rPr>
              <w:t>Accumulated other comprehensive income</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(4,479)</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(5,938)</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(4,077)</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controlling interest shareholders’ equity</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1,167,375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1,073,403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1,032,541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Noncontrolling interest</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15,858</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15,281</w:t>
            </w: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15,182</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00" w:type="dxa"/>
            <w:vAlign w:val="bottom"/>
            <w:tcBorders>
              <w:bottom w:val="single" w:sz="8" w:color="CCEEFF"/>
            </w:tcBorders>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SHAREHOLDERS’ EQUITY</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1,183,233</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1,088,684</w:t>
            </w:r>
          </w:p>
        </w:tc>
        <w:tc>
          <w:tcPr>
            <w:tcW w:w="2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1,047,723</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line="163" w:lineRule="exact"/>
              <w:rPr>
                <w:sz w:val="20"/>
                <w:szCs w:val="20"/>
                <w:color w:val="auto"/>
              </w:rPr>
            </w:pPr>
            <w:r>
              <w:rPr>
                <w:rFonts w:ascii="Arial" w:cs="Arial" w:eastAsia="Arial" w:hAnsi="Arial"/>
                <w:sz w:val="16"/>
                <w:szCs w:val="16"/>
                <w:color w:val="auto"/>
              </w:rPr>
              <w:t>TOTAL LIABILITIES AND SHAREHOLDERS’ EQUITY</w:t>
            </w:r>
          </w:p>
        </w:tc>
        <w:tc>
          <w:tcPr>
            <w:tcW w:w="3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1,850,659</w:t>
            </w:r>
          </w:p>
        </w:tc>
        <w:tc>
          <w:tcPr>
            <w:tcW w:w="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1,647,548</w:t>
            </w:r>
          </w:p>
        </w:tc>
        <w:tc>
          <w:tcPr>
            <w:tcW w:w="24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1,736,619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left="1440" w:right="1940"/>
        <w:spacing w:after="0" w:line="275" w:lineRule="auto"/>
        <w:rPr>
          <w:sz w:val="20"/>
          <w:szCs w:val="20"/>
          <w:color w:val="auto"/>
        </w:rPr>
      </w:pPr>
      <w:r>
        <w:rPr>
          <w:rFonts w:ascii="Arial" w:cs="Arial" w:eastAsia="Arial" w:hAnsi="Arial"/>
          <w:sz w:val="18"/>
          <w:szCs w:val="18"/>
          <w:b w:val="1"/>
          <w:bCs w:val="1"/>
          <w:color w:val="auto"/>
        </w:rPr>
        <w:t>CONDENSED CONSOLIDATED STATEMENTS OF EARNINGS AND COMPREHENSIVE INCOME (Unaudited)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4"/>
            <w:vMerge w:val="restart"/>
          </w:tcPr>
          <w:p>
            <w:pPr>
              <w:jc w:val="right"/>
              <w:ind w:right="29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52"/>
              <w:spacing w:after="0" w:line="126" w:lineRule="exact"/>
              <w:rPr>
                <w:sz w:val="20"/>
                <w:szCs w:val="20"/>
                <w:color w:val="auto"/>
              </w:rPr>
            </w:pPr>
            <w:r>
              <w:rPr>
                <w:rFonts w:ascii="Arial" w:cs="Arial" w:eastAsia="Arial" w:hAnsi="Arial"/>
                <w:sz w:val="14"/>
                <w:szCs w:val="14"/>
                <w:b w:val="1"/>
                <w:bCs w:val="1"/>
                <w:color w:val="auto"/>
              </w:rPr>
              <w:t>June 29,</w:t>
            </w: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32"/>
              <w:spacing w:after="0" w:line="126"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100"/>
              <w:spacing w:after="0" w:line="126" w:lineRule="exact"/>
              <w:rPr>
                <w:sz w:val="20"/>
                <w:szCs w:val="20"/>
                <w:color w:val="auto"/>
              </w:rPr>
            </w:pPr>
            <w:r>
              <w:rPr>
                <w:rFonts w:ascii="Arial" w:cs="Arial" w:eastAsia="Arial" w:hAnsi="Arial"/>
                <w:sz w:val="14"/>
                <w:szCs w:val="14"/>
                <w:b w:val="1"/>
                <w:bCs w:val="1"/>
                <w:color w:val="auto"/>
              </w:rPr>
              <w:t>June 29,</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32"/>
              <w:spacing w:after="0" w:line="126"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1,239,817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1,294,440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2,254,943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2,288,297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6"/>
                <w:szCs w:val="16"/>
                <w:color w:val="auto"/>
              </w:rPr>
              <w:t>COST OF GOODS SOLD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1,053,091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1,128,751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1,913,950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1,991,719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186,726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165,689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340,993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296,578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112,688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104,595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218,631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197,800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(GAIN) LOSS ON DISPOSITION OF ASSETS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rPr>
                <w:sz w:val="20"/>
                <w:szCs w:val="20"/>
                <w:color w:val="auto"/>
              </w:rPr>
            </w:pPr>
            <w:r>
              <w:rPr>
                <w:rFonts w:ascii="Arial" w:cs="Arial" w:eastAsia="Arial" w:hAnsi="Arial"/>
                <w:sz w:val="16"/>
                <w:szCs w:val="16"/>
                <w:color w:val="auto"/>
              </w:rPr>
              <w:t>EARNINGS FROM OPERATIONS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74,237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60,617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122,683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104,835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spacing w:after="0"/>
              <w:rPr>
                <w:sz w:val="20"/>
                <w:szCs w:val="20"/>
                <w:color w:val="auto"/>
              </w:rPr>
            </w:pPr>
            <w:r>
              <w:rPr>
                <w:rFonts w:ascii="Arial" w:cs="Arial" w:eastAsia="Arial" w:hAnsi="Arial"/>
                <w:sz w:val="16"/>
                <w:szCs w:val="16"/>
                <w:color w:val="auto"/>
              </w:rPr>
              <w:t>INTEREST AND INVESTMENT INCOME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INTEREST EXPENSE</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rPr>
                <w:sz w:val="20"/>
                <w:szCs w:val="20"/>
                <w:color w:val="auto"/>
              </w:rPr>
            </w:pPr>
            <w:r>
              <w:rPr>
                <w:rFonts w:ascii="Arial" w:cs="Arial" w:eastAsia="Arial" w:hAnsi="Arial"/>
                <w:sz w:val="16"/>
                <w:szCs w:val="16"/>
                <w:color w:val="auto"/>
              </w:rPr>
              <w:t>EARNINGS BEFORE INCOME TAXES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72,512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58,550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120,091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101,708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17,367</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28,944</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22,994</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rPr>
                <w:sz w:val="20"/>
                <w:szCs w:val="20"/>
                <w:color w:val="auto"/>
              </w:rPr>
            </w:pPr>
            <w:r>
              <w:rPr>
                <w:rFonts w:ascii="Arial" w:cs="Arial" w:eastAsia="Arial" w:hAnsi="Arial"/>
                <w:sz w:val="16"/>
                <w:szCs w:val="16"/>
                <w:color w:val="auto"/>
              </w:rPr>
              <w:t>NET EARNINGS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55,145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45,130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91,147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78,714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LESS NET EARNINGS ATTRIBUTABLE TO</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20" w:type="dxa"/>
            <w:vAlign w:val="bottom"/>
          </w:tcPr>
          <w:p>
            <w:pPr>
              <w:spacing w:after="0" w:line="166" w:lineRule="exact"/>
              <w:rPr>
                <w:sz w:val="20"/>
                <w:szCs w:val="20"/>
                <w:color w:val="auto"/>
              </w:rPr>
            </w:pPr>
            <w:r>
              <w:rPr>
                <w:rFonts w:ascii="Arial" w:cs="Arial" w:eastAsia="Arial" w:hAnsi="Arial"/>
                <w:sz w:val="16"/>
                <w:szCs w:val="16"/>
                <w:color w:val="auto"/>
              </w:rPr>
              <w:t>NET EARNINGS ATTRIBUTABLE TO CONTROLLING</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54,515</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44,044</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90,055</w:t>
            </w:r>
          </w:p>
        </w:tc>
        <w:tc>
          <w:tcPr>
            <w:tcW w:w="18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76,878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340" w:type="dxa"/>
            <w:vAlign w:val="bottom"/>
            <w:gridSpan w:val="2"/>
          </w:tcPr>
          <w:p>
            <w:pPr>
              <w:spacing w:after="0"/>
              <w:rPr>
                <w:sz w:val="20"/>
                <w:szCs w:val="20"/>
                <w:color w:val="auto"/>
              </w:rPr>
            </w:pPr>
            <w:r>
              <w:rPr>
                <w:rFonts w:ascii="Arial" w:cs="Arial" w:eastAsia="Arial" w:hAnsi="Arial"/>
                <w:sz w:val="16"/>
                <w:szCs w:val="16"/>
                <w:color w:val="auto"/>
              </w:rPr>
              <w:t>INTEREST</w:t>
            </w:r>
          </w:p>
        </w:tc>
        <w:tc>
          <w:tcPr>
            <w:tcW w:w="30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300" w:type="dxa"/>
            <w:vAlign w:val="bottom"/>
            <w:gridSpan w:val="2"/>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6"/>
                <w:szCs w:val="16"/>
                <w:color w:val="auto"/>
              </w:rPr>
              <w:t>EARNINGS PER SHARE - BASIC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DILUTED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6"/>
                <w:szCs w:val="16"/>
                <w:color w:val="auto"/>
              </w:rPr>
              <w:t>NET EARNINGS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55,145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45,130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91,147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78,714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GAIN (LOSS)</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40" w:type="dxa"/>
            <w:vAlign w:val="bottom"/>
            <w:gridSpan w:val="2"/>
          </w:tcPr>
          <w:p>
            <w:pPr>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55,616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41,225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92,991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74,370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LESS COMPREHENSIVE INCOME ATTRIBUTABLE TO</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20" w:type="dxa"/>
            <w:vAlign w:val="bottom"/>
          </w:tcPr>
          <w:p>
            <w:pPr>
              <w:spacing w:after="0" w:line="166" w:lineRule="exact"/>
              <w:rPr>
                <w:sz w:val="20"/>
                <w:szCs w:val="20"/>
                <w:color w:val="auto"/>
              </w:rPr>
            </w:pPr>
            <w:r>
              <w:rPr>
                <w:rFonts w:ascii="Arial" w:cs="Arial" w:eastAsia="Arial" w:hAnsi="Arial"/>
                <w:sz w:val="16"/>
                <w:szCs w:val="16"/>
                <w:color w:val="auto"/>
              </w:rPr>
              <w:t>COMPREHENSIVE INCOME ATTRIBUTABLE TO</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54,825</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41,106</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91,514</w:t>
            </w:r>
          </w:p>
        </w:tc>
        <w:tc>
          <w:tcPr>
            <w:tcW w:w="180" w:type="dxa"/>
            <w:vAlign w:val="bottom"/>
          </w:tcPr>
          <w:p>
            <w:pPr>
              <w:spacing w:after="0"/>
              <w:rPr>
                <w:sz w:val="14"/>
                <w:szCs w:val="14"/>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72,657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340" w:type="dxa"/>
            <w:vAlign w:val="bottom"/>
            <w:gridSpan w:val="2"/>
          </w:tcPr>
          <w:p>
            <w:pPr>
              <w:spacing w:after="0"/>
              <w:rPr>
                <w:sz w:val="20"/>
                <w:szCs w:val="20"/>
                <w:color w:val="auto"/>
              </w:rPr>
            </w:pPr>
            <w:r>
              <w:rPr>
                <w:rFonts w:ascii="Arial" w:cs="Arial" w:eastAsia="Arial" w:hAnsi="Arial"/>
                <w:sz w:val="16"/>
                <w:szCs w:val="16"/>
                <w:color w:val="auto"/>
              </w:rPr>
              <w:t>CONTROLLING INTEREST</w:t>
            </w:r>
          </w:p>
        </w:tc>
        <w:tc>
          <w:tcPr>
            <w:tcW w:w="3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 thousands, except share and per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7"/>
          </w:tcPr>
          <w:p>
            <w:pPr>
              <w:jc w:val="right"/>
              <w:ind w:right="11"/>
              <w:spacing w:after="0"/>
              <w:rPr>
                <w:sz w:val="20"/>
                <w:szCs w:val="20"/>
                <w:color w:val="auto"/>
              </w:rPr>
            </w:pPr>
            <w:r>
              <w:rPr>
                <w:rFonts w:ascii="Arial" w:cs="Arial" w:eastAsia="Arial" w:hAnsi="Arial"/>
                <w:sz w:val="11"/>
                <w:szCs w:val="11"/>
                <w:b w:val="1"/>
                <w:bCs w:val="1"/>
                <w:color w:val="auto"/>
                <w:w w:val="89"/>
              </w:rPr>
              <w:t>Controlling Interest Shareholders’ Equity</w:t>
            </w: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08"/>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jc w:val="center"/>
              <w:ind w:right="19"/>
              <w:spacing w:after="0" w:line="108" w:lineRule="exact"/>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22"/>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79"/>
              <w:spacing w:after="0" w:line="122" w:lineRule="exact"/>
              <w:rPr>
                <w:sz w:val="20"/>
                <w:szCs w:val="20"/>
                <w:color w:val="auto"/>
              </w:rPr>
            </w:pPr>
            <w:r>
              <w:rPr>
                <w:rFonts w:ascii="Arial" w:cs="Arial" w:eastAsia="Arial" w:hAnsi="Arial"/>
                <w:sz w:val="11"/>
                <w:szCs w:val="11"/>
                <w:b w:val="1"/>
                <w:bCs w:val="1"/>
                <w:color w:val="auto"/>
                <w:w w:val="96"/>
              </w:rPr>
              <w:t>Additional</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ind w:right="19"/>
              <w:spacing w:after="0" w:line="122" w:lineRule="exact"/>
              <w:rPr>
                <w:sz w:val="20"/>
                <w:szCs w:val="20"/>
                <w:color w:val="auto"/>
              </w:rPr>
            </w:pPr>
            <w:r>
              <w:rPr>
                <w:rFonts w:ascii="Arial" w:cs="Arial" w:eastAsia="Arial" w:hAnsi="Arial"/>
                <w:sz w:val="11"/>
                <w:szCs w:val="11"/>
                <w:b w:val="1"/>
                <w:bCs w:val="1"/>
                <w:color w:val="auto"/>
                <w:w w:val="95"/>
              </w:rPr>
              <w:t>Other</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ind w:right="118"/>
              <w:spacing w:after="0" w:line="122" w:lineRule="exact"/>
              <w:rPr>
                <w:sz w:val="20"/>
                <w:szCs w:val="20"/>
                <w:color w:val="auto"/>
              </w:rPr>
            </w:pPr>
            <w:r>
              <w:rPr>
                <w:rFonts w:ascii="Arial" w:cs="Arial" w:eastAsia="Arial" w:hAnsi="Arial"/>
                <w:sz w:val="11"/>
                <w:szCs w:val="11"/>
                <w:b w:val="1"/>
                <w:bCs w:val="1"/>
                <w:color w:val="auto"/>
                <w:w w:val="96"/>
              </w:rPr>
              <w:t>Common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159"/>
              <w:spacing w:after="0" w:line="122"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38"/>
              <w:spacing w:after="0" w:line="122" w:lineRule="exact"/>
              <w:rPr>
                <w:sz w:val="20"/>
                <w:szCs w:val="20"/>
                <w:color w:val="auto"/>
              </w:rPr>
            </w:pPr>
            <w:r>
              <w:rPr>
                <w:rFonts w:ascii="Arial" w:cs="Arial" w:eastAsia="Arial" w:hAnsi="Arial"/>
                <w:sz w:val="11"/>
                <w:szCs w:val="11"/>
                <w:b w:val="1"/>
                <w:bCs w:val="1"/>
                <w:color w:val="auto"/>
                <w:w w:val="94"/>
              </w:rPr>
              <w:t>Retained</w:t>
            </w:r>
          </w:p>
        </w:tc>
        <w:tc>
          <w:tcPr>
            <w:tcW w:w="140" w:type="dxa"/>
            <w:vAlign w:val="bottom"/>
          </w:tcPr>
          <w:p>
            <w:pPr>
              <w:spacing w:after="0"/>
              <w:rPr>
                <w:sz w:val="10"/>
                <w:szCs w:val="10"/>
                <w:color w:val="auto"/>
              </w:rPr>
            </w:pPr>
          </w:p>
        </w:tc>
        <w:tc>
          <w:tcPr>
            <w:tcW w:w="7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14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33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8"/>
              <w:spacing w:after="0"/>
              <w:rPr>
                <w:sz w:val="20"/>
                <w:szCs w:val="20"/>
                <w:color w:val="auto"/>
              </w:rPr>
            </w:pPr>
            <w:r>
              <w:rPr>
                <w:rFonts w:ascii="Arial" w:cs="Arial" w:eastAsia="Arial" w:hAnsi="Arial"/>
                <w:sz w:val="11"/>
                <w:szCs w:val="11"/>
                <w:b w:val="1"/>
                <w:bCs w:val="1"/>
                <w:color w:val="auto"/>
              </w:rPr>
              <w:t>Stock</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Capital</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1"/>
                <w:szCs w:val="11"/>
                <w:b w:val="1"/>
                <w:bCs w:val="1"/>
                <w:color w:val="auto"/>
                <w:w w:val="97"/>
              </w:rPr>
              <w:t>Earnings</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1"/>
                <w:szCs w:val="11"/>
                <w:b w:val="1"/>
                <w:bCs w:val="1"/>
                <w:color w:val="auto"/>
                <w:w w:val="93"/>
              </w:rPr>
              <w:t>Earnings</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8"/>
              <w:spacing w:after="0"/>
              <w:rPr>
                <w:sz w:val="20"/>
                <w:szCs w:val="20"/>
                <w:color w:val="auto"/>
              </w:rPr>
            </w:pPr>
            <w:r>
              <w:rPr>
                <w:rFonts w:ascii="Arial" w:cs="Arial" w:eastAsia="Arial" w:hAnsi="Arial"/>
                <w:sz w:val="11"/>
                <w:szCs w:val="11"/>
                <w:b w:val="1"/>
                <w:bCs w:val="1"/>
                <w:color w:val="auto"/>
                <w:w w:val="95"/>
              </w:rPr>
              <w:t>Interest</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Total</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December 30, 2017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61,192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161,928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9"/>
                <w:szCs w:val="9"/>
                <w:b w:val="1"/>
                <w:bCs w:val="1"/>
                <w:color w:val="auto"/>
                <w:w w:val="78"/>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736,212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9"/>
                <w:szCs w:val="9"/>
                <w:b w:val="1"/>
                <w:bCs w:val="1"/>
                <w:color w:val="auto"/>
                <w:w w:val="78"/>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14,547</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974,023</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Arial" w:cs="Arial" w:eastAsia="Arial" w:hAnsi="Arial"/>
                <w:sz w:val="13"/>
                <w:szCs w:val="13"/>
                <w:color w:val="auto"/>
              </w:rPr>
              <w:t>Net earnings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76,878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1,836</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78,714</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(3,669)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(123)</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(3,792)</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Arial" w:cs="Arial" w:eastAsia="Arial" w:hAnsi="Arial"/>
                <w:sz w:val="13"/>
                <w:szCs w:val="13"/>
                <w:color w:val="auto"/>
              </w:rPr>
              <w:t>Unrealized gain (loss) on investment &amp; foreign currency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(552)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(552)</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(1,078)</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(1,078)</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Arial" w:cs="Arial" w:eastAsia="Arial" w:hAnsi="Arial"/>
                <w:sz w:val="13"/>
                <w:szCs w:val="13"/>
                <w:color w:val="auto"/>
              </w:rPr>
              <w:t>Cash dividends - $0.180 per share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(11,090)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(11,090)</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16,917 shares under employee stock plans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Arial" w:cs="Arial" w:eastAsia="Arial" w:hAnsi="Arial"/>
                <w:sz w:val="13"/>
                <w:szCs w:val="13"/>
                <w:color w:val="auto"/>
              </w:rPr>
              <w:t>Issuance of 346,777 shares under stock grant programs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347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4,990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5,337</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0"/>
              </w:rPr>
              <w:t>Issuance of 132,603 shares under deferred compensation plans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Arial" w:cs="Arial" w:eastAsia="Arial" w:hAnsi="Arial"/>
                <w:sz w:val="13"/>
                <w:szCs w:val="13"/>
                <w:color w:val="auto"/>
              </w:rPr>
              <w:t>Repurchase of 55,784 shares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(1,763)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(1,819)</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Expense associated with share-based compensation arrangements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1,817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1,817</w:t>
            </w:r>
          </w:p>
        </w:tc>
      </w:tr>
      <w:tr>
        <w:trPr>
          <w:trHeight w:val="142"/>
        </w:trPr>
        <w:tc>
          <w:tcPr>
            <w:tcW w:w="20" w:type="dxa"/>
            <w:vAlign w:val="bottom"/>
          </w:tcPr>
          <w:p>
            <w:pPr>
              <w:spacing w:after="0"/>
              <w:rPr>
                <w:sz w:val="12"/>
                <w:szCs w:val="12"/>
                <w:color w:val="auto"/>
              </w:rPr>
            </w:pPr>
          </w:p>
        </w:tc>
        <w:tc>
          <w:tcPr>
            <w:tcW w:w="336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5,663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5,663</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June 30, 2018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61,632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174,749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9"/>
                <w:szCs w:val="9"/>
                <w:b w:val="1"/>
                <w:bCs w:val="1"/>
                <w:color w:val="auto"/>
                <w:w w:val="78"/>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800,237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(4,077)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9"/>
                <w:szCs w:val="9"/>
                <w:b w:val="1"/>
                <w:bCs w:val="1"/>
                <w:color w:val="auto"/>
                <w:w w:val="78"/>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15,182</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1,047,723</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Arial" w:cs="Arial" w:eastAsia="Arial" w:hAnsi="Arial"/>
                <w:sz w:val="13"/>
                <w:szCs w:val="13"/>
                <w:b w:val="1"/>
                <w:bCs w:val="1"/>
                <w:color w:val="auto"/>
              </w:rPr>
              <w:t>Balance at December 29, 2018</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60,884</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178,540</w:t>
            </w:r>
          </w:p>
        </w:tc>
        <w:tc>
          <w:tcPr>
            <w:tcW w:w="260" w:type="dxa"/>
            <w:vAlign w:val="bottom"/>
            <w:gridSpan w:val="2"/>
          </w:tcPr>
          <w:p>
            <w:pPr>
              <w:jc w:val="right"/>
              <w:ind w:right="11"/>
              <w:spacing w:after="0" w:line="135" w:lineRule="exact"/>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839,917</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(5,938)</w:t>
            </w:r>
          </w:p>
        </w:tc>
        <w:tc>
          <w:tcPr>
            <w:tcW w:w="300" w:type="dxa"/>
            <w:vAlign w:val="bottom"/>
            <w:gridSpan w:val="2"/>
          </w:tcPr>
          <w:p>
            <w:pPr>
              <w:jc w:val="right"/>
              <w:ind w:right="51"/>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15,281</w:t>
            </w:r>
          </w:p>
        </w:tc>
        <w:tc>
          <w:tcPr>
            <w:tcW w:w="360" w:type="dxa"/>
            <w:vAlign w:val="bottom"/>
            <w:gridSpan w:val="2"/>
          </w:tcPr>
          <w:p>
            <w:pPr>
              <w:jc w:val="right"/>
              <w:ind w:right="113"/>
              <w:spacing w:after="0" w:line="135" w:lineRule="exact"/>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1,088,684</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earnings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90,055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1,092</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91,147</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1,133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385</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1,518</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gain (loss) on debt securities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326</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(900)</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(900)</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dividends - $0.200 per share</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(12,271)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(12,271)</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Arial" w:cs="Arial" w:eastAsia="Arial" w:hAnsi="Arial"/>
                <w:sz w:val="13"/>
                <w:szCs w:val="13"/>
                <w:color w:val="auto"/>
                <w:w w:val="89"/>
              </w:rPr>
              <w:t>Issuance of 18,953 shares under employee stock purchase plans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523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542</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309,250 shares under stock grant programs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5,839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6,151</w:t>
            </w:r>
          </w:p>
        </w:tc>
      </w:tr>
      <w:tr>
        <w:trPr>
          <w:trHeight w:val="135"/>
        </w:trPr>
        <w:tc>
          <w:tcPr>
            <w:tcW w:w="20" w:type="dxa"/>
            <w:vAlign w:val="bottom"/>
          </w:tcPr>
          <w:p>
            <w:pPr>
              <w:spacing w:after="0"/>
              <w:rPr>
                <w:sz w:val="11"/>
                <w:szCs w:val="11"/>
                <w:color w:val="auto"/>
              </w:rPr>
            </w:pPr>
          </w:p>
        </w:tc>
        <w:tc>
          <w:tcPr>
            <w:tcW w:w="3360" w:type="dxa"/>
            <w:vAlign w:val="bottom"/>
          </w:tcPr>
          <w:p>
            <w:pPr>
              <w:spacing w:after="0" w:line="135" w:lineRule="exact"/>
              <w:rPr>
                <w:sz w:val="20"/>
                <w:szCs w:val="20"/>
                <w:color w:val="auto"/>
              </w:rPr>
            </w:pPr>
            <w:r>
              <w:rPr>
                <w:rFonts w:ascii="Arial" w:cs="Arial" w:eastAsia="Arial" w:hAnsi="Arial"/>
                <w:sz w:val="13"/>
                <w:szCs w:val="13"/>
                <w:color w:val="auto"/>
                <w:w w:val="90"/>
              </w:rPr>
              <w:t>Issuance of 154,728 shares under deferred compensation plans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155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(155)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6"/>
              </w:rPr>
              <w:t>Expense associated with share-based compensation arrangements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2,111</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2,111</w:t>
            </w:r>
          </w:p>
        </w:tc>
      </w:tr>
      <w:tr>
        <w:trPr>
          <w:trHeight w:val="142"/>
        </w:trPr>
        <w:tc>
          <w:tcPr>
            <w:tcW w:w="20" w:type="dxa"/>
            <w:vAlign w:val="bottom"/>
          </w:tcPr>
          <w:p>
            <w:pPr>
              <w:spacing w:after="0"/>
              <w:rPr>
                <w:sz w:val="12"/>
                <w:szCs w:val="12"/>
                <w:color w:val="auto"/>
              </w:rPr>
            </w:pPr>
          </w:p>
        </w:tc>
        <w:tc>
          <w:tcPr>
            <w:tcW w:w="336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5,925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5,925</w:t>
            </w:r>
          </w:p>
        </w:tc>
      </w:tr>
      <w:tr>
        <w:trPr>
          <w:trHeight w:val="135"/>
        </w:trPr>
        <w:tc>
          <w:tcPr>
            <w:tcW w:w="20" w:type="dxa"/>
            <w:vAlign w:val="bottom"/>
          </w:tcPr>
          <w:p>
            <w:pPr>
              <w:spacing w:after="0"/>
              <w:rPr>
                <w:sz w:val="11"/>
                <w:szCs w:val="11"/>
                <w:color w:val="auto"/>
              </w:rPr>
            </w:pPr>
          </w:p>
        </w:tc>
        <w:tc>
          <w:tcPr>
            <w:tcW w:w="336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June 29, 2019</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61,367</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192,783</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917,704</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(4,479)</w:t>
            </w:r>
          </w:p>
        </w:tc>
        <w:tc>
          <w:tcPr>
            <w:tcW w:w="1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15,858</w:t>
            </w:r>
          </w:p>
        </w:tc>
        <w:tc>
          <w:tcPr>
            <w:tcW w:w="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1,183,233</w:t>
            </w: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28"/>
              <w:spacing w:after="0" w:line="126" w:lineRule="exact"/>
              <w:rPr>
                <w:sz w:val="20"/>
                <w:szCs w:val="20"/>
                <w:color w:val="auto"/>
              </w:rPr>
            </w:pPr>
            <w:r>
              <w:rPr>
                <w:rFonts w:ascii="Arial" w:cs="Arial" w:eastAsia="Arial" w:hAnsi="Arial"/>
                <w:sz w:val="14"/>
                <w:szCs w:val="14"/>
                <w:b w:val="1"/>
                <w:bCs w:val="1"/>
                <w:color w:val="auto"/>
                <w:w w:val="99"/>
              </w:rPr>
              <w:t>June 29,</w:t>
            </w: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28"/>
              <w:spacing w:after="0" w:line="126" w:lineRule="exact"/>
              <w:rPr>
                <w:sz w:val="20"/>
                <w:szCs w:val="20"/>
                <w:color w:val="auto"/>
              </w:rPr>
            </w:pPr>
            <w:r>
              <w:rPr>
                <w:rFonts w:ascii="Arial" w:cs="Arial" w:eastAsia="Arial" w:hAnsi="Arial"/>
                <w:sz w:val="14"/>
                <w:szCs w:val="14"/>
                <w:b w:val="1"/>
                <w:bCs w:val="1"/>
                <w:color w:val="auto"/>
                <w:w w:val="99"/>
              </w:rPr>
              <w:t>June 30,</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6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91,147</w:t>
            </w:r>
          </w:p>
        </w:tc>
        <w:tc>
          <w:tcPr>
            <w:tcW w:w="3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78,714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100"/>
              <w:spacing w:after="0" w:line="149" w:lineRule="exact"/>
              <w:rPr>
                <w:sz w:val="20"/>
                <w:szCs w:val="20"/>
                <w:color w:val="auto"/>
              </w:rPr>
            </w:pPr>
            <w:r>
              <w:rPr>
                <w:rFonts w:ascii="Arial" w:cs="Arial" w:eastAsia="Arial" w:hAnsi="Arial"/>
                <w:sz w:val="14"/>
                <w:szCs w:val="14"/>
                <w:color w:val="auto"/>
              </w:rPr>
              <w:t>Depreciation</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29,200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26,144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100"/>
              <w:spacing w:after="0" w:line="149" w:lineRule="exact"/>
              <w:rPr>
                <w:sz w:val="20"/>
                <w:szCs w:val="20"/>
                <w:color w:val="auto"/>
              </w:rPr>
            </w:pPr>
            <w:r>
              <w:rPr>
                <w:rFonts w:ascii="Arial" w:cs="Arial" w:eastAsia="Arial" w:hAnsi="Arial"/>
                <w:sz w:val="14"/>
                <w:szCs w:val="14"/>
                <w:color w:val="auto"/>
              </w:rPr>
              <w:t>Expense associated with share-based and grant compensation arrangements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1,924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 credits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100"/>
              <w:spacing w:after="0" w:line="149" w:lineRule="exact"/>
              <w:rPr>
                <w:sz w:val="20"/>
                <w:szCs w:val="20"/>
                <w:color w:val="auto"/>
              </w:rPr>
            </w:pPr>
            <w:r>
              <w:rPr>
                <w:rFonts w:ascii="Arial" w:cs="Arial" w:eastAsia="Arial" w:hAnsi="Arial"/>
                <w:sz w:val="14"/>
                <w:szCs w:val="14"/>
                <w:color w:val="auto"/>
              </w:rPr>
              <w:t>Unrealized gain on investments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gain on disposition of assets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100"/>
              <w:spacing w:after="0" w:line="149" w:lineRule="exact"/>
              <w:rPr>
                <w:sz w:val="20"/>
                <w:szCs w:val="20"/>
                <w:color w:val="auto"/>
              </w:rPr>
            </w:pPr>
            <w:r>
              <w:rPr>
                <w:rFonts w:ascii="Arial" w:cs="Arial" w:eastAsia="Arial" w:hAnsi="Arial"/>
                <w:sz w:val="14"/>
                <w:szCs w:val="14"/>
                <w:color w:val="auto"/>
              </w:rPr>
              <w:t>Changes in:</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(139,468)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(155,666)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28,008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(61,828)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 and cash overdraft</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49,947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62,665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60" w:type="dxa"/>
            <w:vAlign w:val="bottom"/>
            <w:tcBorders>
              <w:bottom w:val="single" w:sz="8" w:color="CCEEFF"/>
            </w:tcBorders>
          </w:tcPr>
          <w:p>
            <w:pPr>
              <w:ind w:left="320"/>
              <w:spacing w:after="0" w:line="149" w:lineRule="exact"/>
              <w:rPr>
                <w:sz w:val="20"/>
                <w:szCs w:val="20"/>
                <w:color w:val="auto"/>
              </w:rPr>
            </w:pPr>
            <w:r>
              <w:rPr>
                <w:rFonts w:ascii="Arial" w:cs="Arial" w:eastAsia="Arial" w:hAnsi="Arial"/>
                <w:sz w:val="14"/>
                <w:szCs w:val="14"/>
                <w:color w:val="auto"/>
              </w:rPr>
              <w:t>Accrued liabilities and other</w:t>
            </w:r>
          </w:p>
        </w:tc>
        <w:tc>
          <w:tcPr>
            <w:tcW w:w="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9,334</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15,895</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70,948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(36,072)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(42,477)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(54,313)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977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36,724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net of cash received</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(37,960)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(4,859)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(9,348)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3,180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w:t>
            </w:r>
          </w:p>
        </w:tc>
        <w:tc>
          <w:tcPr>
            <w:tcW w:w="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(1,352)</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CASH USED IN INVESTING ACTIVITIES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(47,736)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(63,069)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393,434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488,853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(408,027)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(431,657)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of debt</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Repayment of debt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(3,061)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(5,437)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long-term debt</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(12,271)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(1,078)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w:t>
            </w:r>
          </w:p>
        </w:tc>
        <w:tc>
          <w:tcPr>
            <w:tcW w:w="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CASH (USED IN) PROVIDED BY FINANCING ACTIVITIES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(30,255)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114,840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366</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(256)</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CASH AND CASH EQUIVALENTS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28,198</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28,816</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END OF PERIOD</w:t>
            </w:r>
          </w:p>
        </w:tc>
        <w:tc>
          <w:tcPr>
            <w:tcW w:w="5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21,521</w:t>
            </w:r>
          </w:p>
        </w:tc>
        <w:tc>
          <w:tcPr>
            <w:tcW w:w="2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44,259</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27,316</w:t>
            </w:r>
          </w:p>
        </w:tc>
        <w:tc>
          <w:tcPr>
            <w:tcW w:w="3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28,339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5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882</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80" w:type="dxa"/>
            <w:vAlign w:val="bottom"/>
            <w:gridSpan w:val="2"/>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5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28,198</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28,816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20,497</w:t>
            </w:r>
          </w:p>
        </w:tc>
        <w:tc>
          <w:tcPr>
            <w:tcW w:w="32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27,501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5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1,024</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16,758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80" w:type="dxa"/>
            <w:vAlign w:val="bottom"/>
            <w:gridSpan w:val="2"/>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54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21,521</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44,259</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60" w:type="dxa"/>
            <w:vAlign w:val="bottom"/>
          </w:tcPr>
          <w:p>
            <w:pPr>
              <w:spacing w:after="0" w:line="149" w:lineRule="exact"/>
              <w:rPr>
                <w:sz w:val="20"/>
                <w:szCs w:val="20"/>
                <w:color w:val="auto"/>
              </w:rPr>
            </w:pPr>
            <w:r>
              <w:rPr>
                <w:rFonts w:ascii="Arial" w:cs="Arial" w:eastAsia="Arial" w:hAnsi="Arial"/>
                <w:sz w:val="14"/>
                <w:szCs w:val="14"/>
                <w:color w:val="auto"/>
              </w:rPr>
              <w:t>SUPPLEMENTAL INFORMATION:</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Interest paid</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4,658</w:t>
            </w:r>
          </w:p>
        </w:tc>
        <w:tc>
          <w:tcPr>
            <w:tcW w:w="32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100"/>
              <w:spacing w:after="0" w:line="149" w:lineRule="exact"/>
              <w:rPr>
                <w:sz w:val="20"/>
                <w:szCs w:val="20"/>
                <w:color w:val="auto"/>
              </w:rPr>
            </w:pPr>
            <w:r>
              <w:rPr>
                <w:rFonts w:ascii="Arial" w:cs="Arial" w:eastAsia="Arial" w:hAnsi="Arial"/>
                <w:sz w:val="14"/>
                <w:szCs w:val="14"/>
                <w:color w:val="auto"/>
              </w:rPr>
              <w:t>Income taxes paid</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14,569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18,745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Pr>
          <w:p>
            <w:pPr>
              <w:spacing w:after="0"/>
              <w:rPr>
                <w:sz w:val="20"/>
                <w:szCs w:val="20"/>
                <w:color w:val="auto"/>
              </w:rPr>
            </w:pPr>
            <w:r>
              <w:rPr>
                <w:rFonts w:ascii="Arial" w:cs="Arial" w:eastAsia="Arial" w:hAnsi="Arial"/>
                <w:sz w:val="14"/>
                <w:szCs w:val="14"/>
                <w:color w:val="auto"/>
              </w:rPr>
              <w:t>Common stock issued under deferred compensation plans</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5,041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4,779</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6" w:name="page7"/>
    <w:bookmarkEnd w:id="6"/>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207" w:lineRule="exact"/>
        <w:rPr>
          <w:sz w:val="20"/>
          <w:szCs w:val="20"/>
          <w:color w:val="auto"/>
        </w:rPr>
      </w:pPr>
    </w:p>
    <w:p>
      <w:pPr>
        <w:ind w:left="520" w:hanging="491"/>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ind w:left="520" w:right="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78" w:lineRule="exact"/>
        <w:rPr>
          <w:rFonts w:ascii="Arial" w:cs="Arial" w:eastAsia="Arial" w:hAnsi="Arial"/>
          <w:sz w:val="18"/>
          <w:szCs w:val="18"/>
          <w:b w:val="1"/>
          <w:bCs w:val="1"/>
          <w:color w:val="auto"/>
        </w:rPr>
      </w:pPr>
    </w:p>
    <w:p>
      <w:pPr>
        <w:ind w:left="52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29, 2018.</w:t>
      </w:r>
    </w:p>
    <w:p>
      <w:pPr>
        <w:spacing w:after="0" w:line="188" w:lineRule="exact"/>
        <w:rPr>
          <w:rFonts w:ascii="Arial" w:cs="Arial" w:eastAsia="Arial" w:hAnsi="Arial"/>
          <w:sz w:val="18"/>
          <w:szCs w:val="18"/>
          <w:b w:val="1"/>
          <w:bCs w:val="1"/>
          <w:color w:val="auto"/>
        </w:rPr>
      </w:pPr>
    </w:p>
    <w:p>
      <w:pPr>
        <w:ind w:left="520" w:right="3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June 30, 2018 balances in the accompanying unaudited consolidated condensed balance sheets.</w:t>
      </w:r>
    </w:p>
    <w:p>
      <w:pPr>
        <w:spacing w:after="0" w:line="168" w:lineRule="exact"/>
        <w:rPr>
          <w:rFonts w:ascii="Arial" w:cs="Arial" w:eastAsia="Arial" w:hAnsi="Arial"/>
          <w:sz w:val="18"/>
          <w:szCs w:val="18"/>
          <w:b w:val="1"/>
          <w:bCs w:val="1"/>
          <w:color w:val="auto"/>
        </w:rPr>
      </w:pPr>
    </w:p>
    <w:p>
      <w:pPr>
        <w:ind w:left="500" w:hanging="471"/>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374"/>
              <w:spacing w:after="0"/>
              <w:rPr>
                <w:sz w:val="20"/>
                <w:szCs w:val="20"/>
                <w:color w:val="auto"/>
              </w:rPr>
            </w:pPr>
            <w:r>
              <w:rPr>
                <w:rFonts w:ascii="Arial" w:cs="Arial" w:eastAsia="Arial" w:hAnsi="Arial"/>
                <w:sz w:val="14"/>
                <w:szCs w:val="14"/>
                <w:b w:val="1"/>
                <w:bCs w:val="1"/>
                <w:color w:val="auto"/>
              </w:rPr>
              <w:t>June 29, 2019</w:t>
            </w: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3"/>
              </w:rPr>
              <w:t>Quoted</w:t>
            </w:r>
          </w:p>
        </w:tc>
        <w:tc>
          <w:tcPr>
            <w:tcW w:w="76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1"/>
              </w:rPr>
              <w:t>Prices with</w:t>
            </w:r>
          </w:p>
        </w:tc>
        <w:tc>
          <w:tcPr>
            <w:tcW w:w="12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Prices with</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3"/>
              </w:rPr>
              <w:t>Quoted</w:t>
            </w:r>
          </w:p>
        </w:tc>
        <w:tc>
          <w:tcPr>
            <w:tcW w:w="760" w:type="dxa"/>
            <w:vAlign w:val="bottom"/>
            <w:gridSpan w:val="3"/>
          </w:tcPr>
          <w:p>
            <w:pPr>
              <w:jc w:val="center"/>
              <w:ind w:right="20"/>
              <w:spacing w:after="0" w:line="126" w:lineRule="exact"/>
              <w:rPr>
                <w:sz w:val="20"/>
                <w:szCs w:val="20"/>
                <w:color w:val="auto"/>
              </w:rPr>
            </w:pPr>
            <w:r>
              <w:rPr>
                <w:rFonts w:ascii="Arial" w:cs="Arial" w:eastAsia="Arial" w:hAnsi="Arial"/>
                <w:sz w:val="14"/>
                <w:szCs w:val="14"/>
                <w:b w:val="1"/>
                <w:bCs w:val="1"/>
                <w:color w:val="auto"/>
                <w:w w:val="94"/>
              </w:rPr>
              <w:t>Prices with</w:t>
            </w: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Prices with</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Active</w:t>
            </w:r>
          </w:p>
        </w:tc>
        <w:tc>
          <w:tcPr>
            <w:tcW w:w="18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Observable Unobservable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6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2)</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5"/>
                <w:szCs w:val="15"/>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Fixed income funds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11,222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13,931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7,968</w:t>
            </w:r>
          </w:p>
        </w:tc>
        <w:tc>
          <w:tcPr>
            <w:tcW w:w="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10,847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Hedge funds</w:t>
            </w:r>
          </w:p>
        </w:tc>
        <w:tc>
          <w:tcPr>
            <w:tcW w:w="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80"/>
              <w:spacing w:after="0"/>
              <w:rPr>
                <w:sz w:val="20"/>
                <w:szCs w:val="20"/>
                <w:color w:val="auto"/>
              </w:rPr>
            </w:pPr>
            <w:r>
              <w:rPr>
                <w:rFonts w:ascii="Arial" w:cs="Arial" w:eastAsia="Arial" w:hAnsi="Arial"/>
                <w:sz w:val="18"/>
                <w:szCs w:val="18"/>
                <w:color w:val="auto"/>
              </w:rPr>
              <w:t>Domestic stock funds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18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International stock</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funds</w:t>
            </w:r>
          </w:p>
        </w:tc>
        <w:tc>
          <w:tcPr>
            <w:tcW w:w="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80"/>
              <w:spacing w:after="0"/>
              <w:rPr>
                <w:sz w:val="20"/>
                <w:szCs w:val="20"/>
                <w:color w:val="auto"/>
              </w:rPr>
            </w:pPr>
            <w:r>
              <w:rPr>
                <w:rFonts w:ascii="Arial" w:cs="Arial" w:eastAsia="Arial" w:hAnsi="Arial"/>
                <w:sz w:val="18"/>
                <w:szCs w:val="18"/>
                <w:color w:val="auto"/>
              </w:rPr>
              <w:t>Target funds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Bond funds</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tcPr>
          <w:p>
            <w:pPr>
              <w:ind w:left="80"/>
              <w:spacing w:after="0"/>
              <w:rPr>
                <w:sz w:val="20"/>
                <w:szCs w:val="20"/>
                <w:color w:val="auto"/>
              </w:rPr>
            </w:pPr>
            <w:r>
              <w:rPr>
                <w:rFonts w:ascii="Arial" w:cs="Arial" w:eastAsia="Arial" w:hAnsi="Arial"/>
                <w:sz w:val="18"/>
                <w:szCs w:val="18"/>
                <w:color w:val="auto"/>
              </w:rPr>
              <w:t>Alternative funds</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1,696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mutual funds</w:t>
            </w:r>
          </w:p>
        </w:tc>
        <w:tc>
          <w:tcPr>
            <w:tcW w:w="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5,338</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840" w:type="dxa"/>
            <w:vAlign w:val="bottom"/>
            <w:gridSpan w:val="2"/>
          </w:tcPr>
          <w:p>
            <w:pPr>
              <w:spacing w:after="0" w:line="203" w:lineRule="exact"/>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w w:val="98"/>
              </w:rPr>
              <w:t>18,725</w:t>
            </w:r>
          </w:p>
        </w:tc>
        <w:tc>
          <w:tcPr>
            <w:tcW w:w="20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12,273</w:t>
            </w: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1,829</w:t>
            </w:r>
          </w:p>
        </w:tc>
        <w:tc>
          <w:tcPr>
            <w:tcW w:w="1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w w:val="90"/>
              </w:rPr>
              <w:t>32,827</w:t>
            </w:r>
          </w:p>
        </w:tc>
        <w:tc>
          <w:tcPr>
            <w:tcW w:w="18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w w:val="98"/>
              </w:rPr>
              <w:t>16,165</w:t>
            </w:r>
          </w:p>
        </w:tc>
        <w:tc>
          <w:tcPr>
            <w:tcW w:w="2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9,481</w:t>
            </w:r>
          </w:p>
        </w:tc>
        <w:tc>
          <w:tcPr>
            <w:tcW w:w="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1,689</w:t>
            </w:r>
          </w:p>
        </w:tc>
        <w:tc>
          <w:tcPr>
            <w:tcW w:w="1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w w:val="94"/>
              </w:rPr>
              <w:t>27,335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Assets at fair value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32,827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27,335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00" w:top="544" w:right="13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500" w:right="80"/>
        <w:spacing w:after="0" w:line="276" w:lineRule="auto"/>
        <w:rPr>
          <w:sz w:val="20"/>
          <w:szCs w:val="20"/>
          <w:color w:val="auto"/>
        </w:rPr>
      </w:pPr>
      <w:r>
        <w:rPr>
          <w:rFonts w:ascii="Arial" w:cs="Arial" w:eastAsia="Arial" w:hAnsi="Arial"/>
          <w:sz w:val="17"/>
          <w:szCs w:val="17"/>
          <w:color w:val="auto"/>
        </w:rPr>
        <w:t xml:space="preserve">We maintain money market, mutual funds, bonds, and/or stocks in our non-qualified deferred compensation plan and our wholly owned licensed captive insurance company. These funds are valued at prices quoted in an active exchange market and are included in “Cash and Cash Equivalents”, “Investments”, “Restricted Cash”, and “Restricted Investments”. We have elected not to apply the fair value option under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xml:space="preserve"> to any of our financial instruments except for those expressly required by U.S. GAAP.</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2018, we purchased a private real estate income trust which are valued as a Level 3 asset.</w:t>
      </w:r>
    </w:p>
    <w:p>
      <w:pPr>
        <w:spacing w:after="0" w:line="225" w:lineRule="exact"/>
        <w:rPr>
          <w:sz w:val="20"/>
          <w:szCs w:val="20"/>
          <w:color w:val="auto"/>
        </w:rPr>
      </w:pPr>
    </w:p>
    <w:p>
      <w:pPr>
        <w:ind w:left="500" w:right="160"/>
        <w:spacing w:after="0" w:line="264" w:lineRule="auto"/>
        <w:rPr>
          <w:sz w:val="20"/>
          <w:szCs w:val="20"/>
          <w:color w:val="auto"/>
        </w:rPr>
      </w:pPr>
      <w:r>
        <w:rPr>
          <w:rFonts w:ascii="Arial" w:cs="Arial" w:eastAsia="Arial" w:hAnsi="Arial"/>
          <w:sz w:val="18"/>
          <w:szCs w:val="18"/>
          <w:color w:val="auto"/>
        </w:rPr>
        <w:t>In accordance with our investment policy, our wholly-owned captive, Ardellis Insurance Ltd. (“Ardellis”), maintains an investment portfolio, totaling $30.7 million as of June 29, 2019, consisting of domestic and international stocks, hedge funds, and fixed income bonds.</w:t>
      </w:r>
    </w:p>
    <w:p>
      <w:pPr>
        <w:spacing w:after="0" w:line="181" w:lineRule="exact"/>
        <w:rPr>
          <w:sz w:val="20"/>
          <w:szCs w:val="20"/>
          <w:color w:val="auto"/>
        </w:rPr>
      </w:pPr>
    </w:p>
    <w:p>
      <w:pPr>
        <w:ind w:left="500" w:right="480"/>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8"/>
        </w:trPr>
        <w:tc>
          <w:tcPr>
            <w:tcW w:w="4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6"/>
              </w:rPr>
              <w:t>June 29,2019</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0"/>
                <w:szCs w:val="10"/>
                <w:color w:val="auto"/>
              </w:rPr>
            </w:pPr>
          </w:p>
        </w:tc>
        <w:tc>
          <w:tcPr>
            <w:tcW w:w="840" w:type="dxa"/>
            <w:vAlign w:val="bottom"/>
            <w:gridSpan w:val="2"/>
          </w:tcPr>
          <w:p>
            <w:pPr>
              <w:jc w:val="right"/>
              <w:ind w:right="10"/>
              <w:spacing w:after="0" w:line="126"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8"/>
        </w:trPr>
        <w:tc>
          <w:tcPr>
            <w:tcW w:w="4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Gain/(Loss)</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13,931</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8,651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Hedge Funds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300"/>
        <w:spacing w:after="0" w:line="297" w:lineRule="auto"/>
        <w:rPr>
          <w:sz w:val="20"/>
          <w:szCs w:val="20"/>
          <w:color w:val="auto"/>
        </w:rPr>
      </w:pPr>
      <w:r>
        <w:rPr>
          <w:rFonts w:ascii="Arial" w:cs="Arial" w:eastAsia="Arial" w:hAnsi="Arial"/>
          <w:sz w:val="16"/>
          <w:szCs w:val="16"/>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hedge funds consist of the private real estate income trust which is valued as a Level 3 asset. The net unrealized gain was $1.3 million. Carrying amounts above are recorded in the investments and restricted investments line items within the balance sheet as of June 29, 2019.</w:t>
      </w:r>
    </w:p>
    <w:p>
      <w:pPr>
        <w:spacing w:after="0" w:line="168" w:lineRule="exact"/>
        <w:rPr>
          <w:sz w:val="20"/>
          <w:szCs w:val="20"/>
          <w:color w:val="auto"/>
        </w:rPr>
      </w:pPr>
    </w:p>
    <w:p>
      <w:pPr>
        <w:ind w:left="500" w:hanging="491"/>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5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May 28, 2014, the FASB issued ASU No. 2014-09 (Accounting Standard Codification 606), Revenue from Contracts with Customers. Topic 606 supersedes the revenue recognition requirements in Accounting Standards Codification Topic 605, Revenue Recognition, and requires the recognition of revenue when promised goods or services are transferred to customers in an amount that reflects the considerations to which the entity expects to be entitled to in exchange for those goods or services. The ASU requires additional disclosure about the nature, amount, timing and uncertainty of revenue and cash flows arising from customer contracts, including significant judgments and changes in judgments. The Company has adopted the requirements of the new standard as of January 1, 2018, and utilized the modified retrospective method of transition which was applied to all contracts.</w:t>
      </w:r>
    </w:p>
    <w:p>
      <w:pPr>
        <w:spacing w:after="0" w:line="178" w:lineRule="exact"/>
        <w:rPr>
          <w:rFonts w:ascii="Arial" w:cs="Arial" w:eastAsia="Arial" w:hAnsi="Arial"/>
          <w:sz w:val="18"/>
          <w:szCs w:val="18"/>
          <w:b w:val="1"/>
          <w:bCs w:val="1"/>
          <w:color w:val="auto"/>
        </w:rPr>
      </w:pPr>
    </w:p>
    <w:p>
      <w:pPr>
        <w:jc w:val="both"/>
        <w:ind w:left="50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completed the new revenue recognition standard assessment and determined that there was no material impact to our consolidated financial statements, aside from additional required disclosures, thus no needed adjustment to the opening retained earnings for the annual reporting period.</w:t>
      </w:r>
    </w:p>
    <w:p>
      <w:pPr>
        <w:spacing w:after="0" w:line="181" w:lineRule="exact"/>
        <w:rPr>
          <w:rFonts w:ascii="Arial" w:cs="Arial" w:eastAsia="Arial" w:hAnsi="Arial"/>
          <w:sz w:val="18"/>
          <w:szCs w:val="18"/>
          <w:b w:val="1"/>
          <w:bCs w:val="1"/>
          <w:color w:val="auto"/>
        </w:rPr>
      </w:pPr>
    </w:p>
    <w:p>
      <w:pPr>
        <w:ind w:left="500" w:right="1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Within the three markets (retail, industrial, and construction) that the Company operates, there are a variety of written and oral contracts that are utilized to generate revenue from the sale of wood, wood composite and other products.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at the time of shipment. In certain circumstances, the customer takes title when the shipment arrives at the destination.</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However, our shipping process is typically completed the same day.</w:t>
      </w:r>
    </w:p>
    <w:p>
      <w:pPr>
        <w:spacing w:after="0" w:line="211" w:lineRule="exact"/>
        <w:rPr>
          <w:sz w:val="20"/>
          <w:szCs w:val="20"/>
          <w:color w:val="auto"/>
        </w:rPr>
      </w:pPr>
    </w:p>
    <w:p>
      <w:pPr>
        <w:ind w:left="500" w:right="180"/>
        <w:spacing w:after="0" w:line="203" w:lineRule="auto"/>
        <w:rPr>
          <w:sz w:val="20"/>
          <w:szCs w:val="20"/>
          <w:color w:val="auto"/>
        </w:rPr>
      </w:pPr>
      <w:r>
        <w:rPr>
          <w:rFonts w:ascii="Arial" w:cs="Arial" w:eastAsia="Arial" w:hAnsi="Arial"/>
          <w:sz w:val="18"/>
          <w:szCs w:val="18"/>
          <w:color w:val="auto"/>
        </w:rPr>
        <w:t>Certain customer products that we provide require installation by the Company or a 3</w:t>
      </w:r>
      <w:r>
        <w:rPr>
          <w:rFonts w:ascii="Arial" w:cs="Arial" w:eastAsia="Arial" w:hAnsi="Arial"/>
          <w:sz w:val="27"/>
          <w:szCs w:val="27"/>
          <w:color w:val="auto"/>
          <w:vertAlign w:val="superscript"/>
        </w:rPr>
        <w:t>rd</w:t>
      </w:r>
      <w:r>
        <w:rPr>
          <w:rFonts w:ascii="Arial" w:cs="Arial" w:eastAsia="Arial" w:hAnsi="Arial"/>
          <w:sz w:val="18"/>
          <w:szCs w:val="18"/>
          <w:color w:val="auto"/>
        </w:rPr>
        <w:t xml:space="preserve"> party. Installation revenue is recognized upon completion, which is typically 2-3 days after receipt. If it is determined to utilize a 3</w:t>
      </w:r>
      <w:r>
        <w:rPr>
          <w:rFonts w:ascii="Arial" w:cs="Arial" w:eastAsia="Arial" w:hAnsi="Arial"/>
          <w:sz w:val="27"/>
          <w:szCs w:val="27"/>
          <w:color w:val="auto"/>
          <w:vertAlign w:val="superscript"/>
        </w:rPr>
        <w:t>rd</w:t>
      </w:r>
      <w:r>
        <w:rPr>
          <w:rFonts w:ascii="Arial" w:cs="Arial" w:eastAsia="Arial" w:hAnsi="Arial"/>
          <w:sz w:val="18"/>
          <w:szCs w:val="18"/>
          <w:color w:val="auto"/>
        </w:rPr>
        <w:t xml:space="preserve"> party for installation, the party will act as an agent to the Company until completion of the installation. Installation revenue represents an immaterial share of the Company’s total sales.</w:t>
      </w:r>
    </w:p>
    <w:p>
      <w:pPr>
        <w:spacing w:after="0" w:line="205" w:lineRule="exact"/>
        <w:rPr>
          <w:sz w:val="20"/>
          <w:szCs w:val="20"/>
          <w:color w:val="auto"/>
        </w:rPr>
      </w:pPr>
    </w:p>
    <w:p>
      <w:pPr>
        <w:ind w:left="500" w:right="40"/>
        <w:spacing w:after="0" w:line="255" w:lineRule="auto"/>
        <w:rPr>
          <w:sz w:val="20"/>
          <w:szCs w:val="20"/>
          <w:color w:val="auto"/>
        </w:rPr>
      </w:pPr>
      <w:r>
        <w:rPr>
          <w:rFonts w:ascii="Arial" w:cs="Arial" w:eastAsia="Arial" w:hAnsi="Arial"/>
          <w:sz w:val="18"/>
          <w:szCs w:val="18"/>
          <w:color w:val="auto"/>
        </w:rPr>
        <w:t>The Company utilizes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the volume returns and refunds are estimated on a historical and expected basis which is a reduction of revenue recognized.</w:t>
      </w:r>
    </w:p>
    <w:p>
      <w:pPr>
        <w:spacing w:after="0" w:line="193" w:lineRule="exact"/>
        <w:rPr>
          <w:sz w:val="20"/>
          <w:szCs w:val="20"/>
          <w:color w:val="auto"/>
        </w:rPr>
      </w:pPr>
    </w:p>
    <w:p>
      <w:pPr>
        <w:ind w:left="500" w:right="20"/>
        <w:spacing w:after="0" w:line="289" w:lineRule="auto"/>
        <w:rPr>
          <w:sz w:val="20"/>
          <w:szCs w:val="20"/>
          <w:color w:val="auto"/>
        </w:rPr>
      </w:pPr>
      <w:r>
        <w:rPr>
          <w:rFonts w:ascii="Arial" w:cs="Arial" w:eastAsia="Arial" w:hAnsi="Arial"/>
          <w:sz w:val="16"/>
          <w:szCs w:val="16"/>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67" w:lineRule="exact"/>
        <w:rPr>
          <w:sz w:val="20"/>
          <w:szCs w:val="20"/>
          <w:color w:val="auto"/>
        </w:rPr>
      </w:pPr>
    </w:p>
    <w:p>
      <w:pPr>
        <w:ind w:left="500" w:right="40"/>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gross revenues disaggregated by revenue source: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Six Months Ended</w:t>
            </w:r>
          </w:p>
        </w:tc>
        <w:tc>
          <w:tcPr>
            <w:tcW w:w="700" w:type="dxa"/>
            <w:vAlign w:val="bottom"/>
            <w:tcBorders>
              <w:bottom w:val="single" w:sz="8" w:color="auto"/>
            </w:tcBorders>
          </w:tcPr>
          <w:p>
            <w:pPr>
              <w:spacing w:after="0"/>
              <w:rPr>
                <w:sz w:val="15"/>
                <w:szCs w:val="15"/>
                <w:color w:val="auto"/>
              </w:rPr>
            </w:pPr>
          </w:p>
        </w:tc>
      </w:tr>
      <w:tr>
        <w:trPr>
          <w:trHeight w:val="218"/>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29,</w:t>
            </w:r>
          </w:p>
        </w:tc>
        <w:tc>
          <w:tcPr>
            <w:tcW w:w="1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29,</w:t>
            </w:r>
          </w:p>
        </w:tc>
        <w:tc>
          <w:tcPr>
            <w:tcW w:w="2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700" w:type="dxa"/>
            <w:vAlign w:val="bottom"/>
          </w:tcPr>
          <w:p>
            <w:pPr>
              <w:spacing w:after="0"/>
              <w:rPr>
                <w:sz w:val="18"/>
                <w:szCs w:val="18"/>
                <w:color w:val="auto"/>
              </w:rPr>
            </w:pPr>
          </w:p>
        </w:tc>
      </w:tr>
      <w:tr>
        <w:trPr>
          <w:trHeight w:val="188"/>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Market Classification</w:t>
            </w:r>
          </w:p>
        </w:tc>
        <w:tc>
          <w:tcPr>
            <w:tcW w:w="180" w:type="dxa"/>
            <w:vAlign w:val="bottom"/>
          </w:tcPr>
          <w:p>
            <w:pPr>
              <w:spacing w:after="0"/>
              <w:rPr>
                <w:sz w:val="16"/>
                <w:szCs w:val="16"/>
                <w:color w:val="auto"/>
              </w:rPr>
            </w:pPr>
          </w:p>
        </w:tc>
        <w:tc>
          <w:tcPr>
            <w:tcW w:w="860" w:type="dxa"/>
            <w:vAlign w:val="bottom"/>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 Change</w:t>
            </w:r>
          </w:p>
        </w:tc>
        <w:tc>
          <w:tcPr>
            <w:tcW w:w="200" w:type="dxa"/>
            <w:vAlign w:val="bottom"/>
          </w:tcPr>
          <w:p>
            <w:pPr>
              <w:spacing w:after="0"/>
              <w:rPr>
                <w:sz w:val="16"/>
                <w:szCs w:val="16"/>
                <w:color w:val="auto"/>
              </w:rPr>
            </w:pPr>
          </w:p>
        </w:tc>
        <w:tc>
          <w:tcPr>
            <w:tcW w:w="860" w:type="dxa"/>
            <w:vAlign w:val="bottom"/>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7"/>
              </w:rPr>
              <w:t>% Change</w:t>
            </w:r>
          </w:p>
        </w:tc>
      </w:tr>
      <w:tr>
        <w:trPr>
          <w:trHeight w:val="20"/>
        </w:trPr>
        <w:tc>
          <w:tcPr>
            <w:tcW w:w="1340" w:type="dxa"/>
            <w:vAlign w:val="bottom"/>
            <w:tcBorders>
              <w:bottom w:val="single" w:sz="8" w:color="CCEEFF"/>
            </w:tcBorders>
            <w:shd w:val="clear" w:color="auto" w:fill="000000"/>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86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88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2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FOB Shipping Point Revenue</w:t>
            </w: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1,220,844</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1,281,557</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2,217,667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2,263,248</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w:t>
            </w:r>
          </w:p>
        </w:tc>
      </w:tr>
      <w:tr>
        <w:trPr>
          <w:trHeight w:val="223"/>
        </w:trPr>
        <w:tc>
          <w:tcPr>
            <w:tcW w:w="2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Construction Contract Revenue</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38,811</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78,445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68,787</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Gross Sales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1,264,507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1,320,368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2,296,112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2,332,035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2700" w:type="dxa"/>
            <w:vAlign w:val="bottom"/>
            <w:gridSpan w:val="2"/>
          </w:tcPr>
          <w:p>
            <w:pPr>
              <w:spacing w:after="0"/>
              <w:rPr>
                <w:sz w:val="20"/>
                <w:szCs w:val="20"/>
                <w:color w:val="auto"/>
              </w:rPr>
            </w:pPr>
            <w:r>
              <w:rPr>
                <w:rFonts w:ascii="Arial" w:cs="Arial" w:eastAsia="Arial" w:hAnsi="Arial"/>
                <w:sz w:val="18"/>
                <w:szCs w:val="18"/>
                <w:color w:val="auto"/>
              </w:rPr>
              <w:t>Sales Allowances</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(24,690)</w:t>
            </w:r>
          </w:p>
        </w:tc>
        <w:tc>
          <w:tcPr>
            <w:tcW w:w="1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(25,928)</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(41,169)</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(43,738)</w:t>
            </w: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1,239,817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1,294,440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2,254,943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2,288,297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00" w:right="140"/>
        <w:spacing w:after="0" w:line="255" w:lineRule="auto"/>
        <w:rPr>
          <w:sz w:val="20"/>
          <w:szCs w:val="20"/>
          <w:color w:val="auto"/>
        </w:rPr>
      </w:pPr>
      <w:r>
        <w:rPr>
          <w:rFonts w:ascii="Arial" w:cs="Arial" w:eastAsia="Arial" w:hAnsi="Arial"/>
          <w:sz w:val="18"/>
          <w:szCs w:val="18"/>
          <w:color w:val="auto"/>
        </w:rPr>
        <w:t>In the second quarter of 2019, the North and West segments comprise the construction contract revenue above, $28.1 million and $15.6 million, respectively, compared to $26.7 million and $12.1 million, respectively, during the same period of 2018. Similarly, in the first six months of 2019, the North and West segments comprise the construction contract revenue above, $47.5 million and $30.9 million, respectively, compared to $47.3 million and $21.5 million, respectively, during the same period of 2018. Construction contract revenue is primarily made up of site-built and framing customers.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500" w:right="460"/>
        <w:spacing w:after="0" w:line="277" w:lineRule="auto"/>
        <w:rPr>
          <w:sz w:val="20"/>
          <w:szCs w:val="20"/>
          <w:color w:val="auto"/>
        </w:rPr>
      </w:pPr>
      <w:r>
        <w:rPr>
          <w:rFonts w:ascii="Arial" w:cs="Arial" w:eastAsia="Arial" w:hAnsi="Arial"/>
          <w:sz w:val="18"/>
          <w:szCs w:val="18"/>
          <w:color w:val="auto"/>
        </w:rPr>
        <w:t>The following table presents the balances of over time accounting accounts which are included in “Other current assets” and “Accrued liabilities: Other”, respectively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79"/>
              <w:spacing w:after="0"/>
              <w:rPr>
                <w:sz w:val="20"/>
                <w:szCs w:val="20"/>
                <w:color w:val="auto"/>
              </w:rPr>
            </w:pPr>
            <w:r>
              <w:rPr>
                <w:rFonts w:ascii="Arial" w:cs="Arial" w:eastAsia="Arial" w:hAnsi="Arial"/>
                <w:sz w:val="14"/>
                <w:szCs w:val="14"/>
                <w:b w:val="1"/>
                <w:bCs w:val="1"/>
                <w:color w:val="auto"/>
                <w:w w:val="92"/>
              </w:rPr>
              <w:t>June 29,</w:t>
            </w:r>
          </w:p>
        </w:tc>
        <w:tc>
          <w:tcPr>
            <w:tcW w:w="2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0"/>
              </w:rPr>
              <w:t>December 29,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r>
      <w:tr>
        <w:trPr>
          <w:trHeight w:val="178"/>
        </w:trPr>
        <w:tc>
          <w:tcPr>
            <w:tcW w:w="20" w:type="dxa"/>
            <w:vAlign w:val="bottom"/>
          </w:tcPr>
          <w:p>
            <w:pPr>
              <w:spacing w:after="0"/>
              <w:rPr>
                <w:sz w:val="15"/>
                <w:szCs w:val="15"/>
                <w:color w:val="auto"/>
              </w:rPr>
            </w:pPr>
          </w:p>
        </w:tc>
        <w:tc>
          <w:tcPr>
            <w:tcW w:w="59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1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3,245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4,616</w:t>
            </w:r>
          </w:p>
        </w:tc>
        <w:tc>
          <w:tcPr>
            <w:tcW w:w="180" w:type="dxa"/>
            <w:vAlign w:val="bottom"/>
          </w:tcPr>
          <w:p>
            <w:pPr>
              <w:spacing w:after="0"/>
              <w:rPr>
                <w:sz w:val="20"/>
                <w:szCs w:val="20"/>
                <w:color w:val="auto"/>
              </w:rPr>
            </w:pPr>
          </w:p>
        </w:tc>
      </w:tr>
    </w:tbl>
    <w:p>
      <w:pPr>
        <w:spacing w:after="0" w:line="200" w:lineRule="exact"/>
        <w:rPr>
          <w:sz w:val="20"/>
          <w:szCs w:val="20"/>
          <w:color w:val="auto"/>
        </w:rPr>
      </w:pPr>
    </w:p>
    <w:p>
      <w:pPr>
        <w:spacing w:after="0" w:line="213" w:lineRule="exact"/>
        <w:rPr>
          <w:sz w:val="20"/>
          <w:szCs w:val="20"/>
          <w:color w:val="auto"/>
        </w:rPr>
      </w:pPr>
    </w:p>
    <w:p>
      <w:pPr>
        <w:ind w:left="500" w:hanging="491"/>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w w:val="95"/>
              </w:rPr>
              <w:t>Three Months Ended</w:t>
            </w:r>
          </w:p>
        </w:tc>
        <w:tc>
          <w:tcPr>
            <w:tcW w:w="160" w:type="dxa"/>
            <w:vAlign w:val="bottom"/>
          </w:tcPr>
          <w:p>
            <w:pPr>
              <w:spacing w:after="0"/>
              <w:rPr>
                <w:sz w:val="20"/>
                <w:szCs w:val="20"/>
                <w:color w:val="auto"/>
              </w:rPr>
            </w:pPr>
          </w:p>
        </w:tc>
        <w:tc>
          <w:tcPr>
            <w:tcW w:w="1960" w:type="dxa"/>
            <w:vAlign w:val="bottom"/>
            <w:gridSpan w:val="4"/>
          </w:tcPr>
          <w:p>
            <w:pPr>
              <w:ind w:left="1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tcPr>
          <w:p>
            <w:pPr>
              <w:jc w:val="right"/>
              <w:ind w:right="96"/>
              <w:spacing w:after="0" w:line="126" w:lineRule="exact"/>
              <w:rPr>
                <w:sz w:val="20"/>
                <w:szCs w:val="20"/>
                <w:color w:val="auto"/>
              </w:rPr>
            </w:pPr>
            <w:r>
              <w:rPr>
                <w:rFonts w:ascii="Arial" w:cs="Arial" w:eastAsia="Arial" w:hAnsi="Arial"/>
                <w:sz w:val="14"/>
                <w:szCs w:val="14"/>
                <w:b w:val="1"/>
                <w:bCs w:val="1"/>
                <w:color w:val="auto"/>
              </w:rPr>
              <w:t>June 29,</w:t>
            </w: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79"/>
              <w:spacing w:after="0" w:line="126"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0"/>
                <w:szCs w:val="10"/>
                <w:color w:val="auto"/>
              </w:rPr>
            </w:pPr>
          </w:p>
        </w:tc>
        <w:tc>
          <w:tcPr>
            <w:tcW w:w="840" w:type="dxa"/>
            <w:vAlign w:val="bottom"/>
            <w:tcBorders>
              <w:top w:val="single" w:sz="8" w:color="auto"/>
            </w:tcBorders>
          </w:tcPr>
          <w:p>
            <w:pPr>
              <w:jc w:val="right"/>
              <w:ind w:right="96"/>
              <w:spacing w:after="0" w:line="126" w:lineRule="exact"/>
              <w:rPr>
                <w:sz w:val="20"/>
                <w:szCs w:val="20"/>
                <w:color w:val="auto"/>
              </w:rPr>
            </w:pPr>
            <w:r>
              <w:rPr>
                <w:rFonts w:ascii="Arial" w:cs="Arial" w:eastAsia="Arial" w:hAnsi="Arial"/>
                <w:sz w:val="14"/>
                <w:szCs w:val="14"/>
                <w:b w:val="1"/>
                <w:bCs w:val="1"/>
                <w:color w:val="auto"/>
              </w:rPr>
              <w:t>June 29,</w:t>
            </w: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99"/>
              <w:spacing w:after="0" w:line="126"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92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96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100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98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00"/>
              <w:spacing w:after="0"/>
              <w:rPr>
                <w:sz w:val="20"/>
                <w:szCs w:val="20"/>
                <w:color w:val="auto"/>
              </w:rPr>
            </w:pPr>
            <w:r>
              <w:rPr>
                <w:rFonts w:ascii="Arial" w:cs="Arial" w:eastAsia="Arial" w:hAnsi="Arial"/>
                <w:sz w:val="18"/>
                <w:szCs w:val="18"/>
                <w:color w:val="auto"/>
              </w:rPr>
              <w:t>Net earnings attributable to controlling interest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54,515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44,044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90,055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76,878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2"/>
              </w:rPr>
              <w:t>Adjustment for earnings allocated to non-vested restricted common</w:t>
            </w:r>
          </w:p>
        </w:tc>
        <w:tc>
          <w:tcPr>
            <w:tcW w:w="80" w:type="dxa"/>
            <w:vAlign w:val="bottom"/>
            <w:vMerge w:val="restart"/>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40" w:type="dxa"/>
            <w:vAlign w:val="bottom"/>
            <w:vMerge w:val="restart"/>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60" w:type="dxa"/>
            <w:vAlign w:val="bottom"/>
            <w:vMerge w:val="restart"/>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40" w:type="dxa"/>
            <w:vAlign w:val="bottom"/>
            <w:vMerge w:val="restart"/>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stock</w:t>
            </w:r>
          </w:p>
        </w:tc>
        <w:tc>
          <w:tcPr>
            <w:tcW w:w="80" w:type="dxa"/>
            <w:vAlign w:val="bottom"/>
            <w:tcBorders>
              <w:bottom w:val="single" w:sz="8" w:color="CCEEFF"/>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60"/>
          </w:cols>
          <w:pgMar w:left="1420" w:top="544" w:right="1419" w:bottom="1440" w:gutter="0" w:footer="0" w:header="0"/>
        </w:sectPr>
      </w:pPr>
    </w:p>
    <w:p>
      <w:pPr>
        <w:ind w:left="120"/>
        <w:spacing w:after="0"/>
        <w:rPr>
          <w:sz w:val="20"/>
          <w:szCs w:val="20"/>
          <w:color w:val="auto"/>
        </w:rPr>
      </w:pPr>
      <w:r>
        <w:rPr>
          <w:rFonts w:ascii="Arial" w:cs="Arial" w:eastAsia="Arial" w:hAnsi="Arial"/>
          <w:sz w:val="18"/>
          <w:szCs w:val="18"/>
          <w:color w:val="auto"/>
        </w:rPr>
        <w:t>Net earnings for calculating EPS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Weighted average shares outstanding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Adjustment for non-vested restricted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jc w:val="right"/>
              <w:spacing w:after="0"/>
              <w:rPr>
                <w:sz w:val="20"/>
                <w:szCs w:val="20"/>
                <w:color w:val="auto"/>
              </w:rPr>
            </w:pPr>
            <w:r>
              <w:rPr>
                <w:rFonts w:ascii="Arial" w:cs="Arial" w:eastAsia="Arial" w:hAnsi="Arial"/>
                <w:sz w:val="18"/>
                <w:szCs w:val="18"/>
                <w:color w:val="auto"/>
                <w:w w:val="98"/>
              </w:rPr>
              <w:t>$  53,131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  43,026</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  87,810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  75,150</w:t>
            </w: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98"/>
        </w:trPr>
        <w:tc>
          <w:tcPr>
            <w:tcW w:w="840" w:type="dxa"/>
            <w:vAlign w:val="bottom"/>
          </w:tcPr>
          <w:p>
            <w:pPr>
              <w:jc w:val="right"/>
              <w:spacing w:after="0"/>
              <w:rPr>
                <w:sz w:val="20"/>
                <w:szCs w:val="20"/>
                <w:color w:val="auto"/>
              </w:rPr>
            </w:pPr>
            <w:r>
              <w:rPr>
                <w:rFonts w:ascii="Arial" w:cs="Arial" w:eastAsia="Arial" w:hAnsi="Arial"/>
                <w:sz w:val="18"/>
                <w:szCs w:val="18"/>
                <w:color w:val="auto"/>
              </w:rPr>
              <w:t>61,691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61,895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61,544</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61,770</w:t>
            </w:r>
          </w:p>
        </w:tc>
      </w:tr>
      <w:tr>
        <w:trPr>
          <w:trHeight w:val="230"/>
        </w:trPr>
        <w:tc>
          <w:tcPr>
            <w:tcW w:w="840" w:type="dxa"/>
            <w:vAlign w:val="bottom"/>
          </w:tcPr>
          <w:p>
            <w:pPr>
              <w:jc w:val="right"/>
              <w:spacing w:after="0"/>
              <w:rPr>
                <w:sz w:val="20"/>
                <w:szCs w:val="20"/>
                <w:color w:val="auto"/>
              </w:rPr>
            </w:pPr>
            <w:r>
              <w:rPr>
                <w:rFonts w:ascii="Arial" w:cs="Arial" w:eastAsia="Arial" w:hAnsi="Arial"/>
                <w:sz w:val="18"/>
                <w:szCs w:val="18"/>
                <w:color w:val="auto"/>
              </w:rPr>
              <w:t>(1,566)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(1,431)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(1,534)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-3252470</wp:posOffset>
            </wp:positionH>
            <wp:positionV relativeFrom="paragraph">
              <wp:posOffset>-427990</wp:posOffset>
            </wp:positionV>
            <wp:extent cx="574611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115" cy="154305"/>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-136525</wp:posOffset>
            </wp:positionV>
            <wp:extent cx="574611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6115"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420" w:space="720"/>
            <w:col w:w="3920"/>
          </w:cols>
          <w:pgMar w:left="1420" w:top="544" w:right="141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140" w:type="dxa"/>
            <w:vAlign w:val="bottom"/>
          </w:tcPr>
          <w:p>
            <w:pPr>
              <w:ind w:left="100"/>
              <w:spacing w:after="0"/>
              <w:rPr>
                <w:sz w:val="20"/>
                <w:szCs w:val="20"/>
                <w:color w:val="auto"/>
              </w:rPr>
            </w:pPr>
            <w:r>
              <w:rPr>
                <w:rFonts w:ascii="Arial" w:cs="Arial" w:eastAsia="Arial" w:hAnsi="Arial"/>
                <w:sz w:val="18"/>
                <w:szCs w:val="18"/>
                <w:color w:val="auto"/>
              </w:rPr>
              <w:t>Shares for calculating basic EPS</w:t>
            </w:r>
          </w:p>
        </w:tc>
        <w:tc>
          <w:tcPr>
            <w:tcW w:w="9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60,125</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60,464</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60,010</w:t>
            </w: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60,381</w:t>
            </w:r>
          </w:p>
        </w:tc>
        <w:tc>
          <w:tcPr>
            <w:tcW w:w="14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4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Effect of dilutive restricted common stock</w:t>
            </w:r>
          </w:p>
        </w:tc>
        <w:tc>
          <w:tcPr>
            <w:tcW w:w="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14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Shares for calculating diluted EPS</w:t>
            </w:r>
          </w:p>
        </w:tc>
        <w:tc>
          <w:tcPr>
            <w:tcW w:w="9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60,148</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60,549</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60,031</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60,461</w:t>
            </w:r>
          </w:p>
        </w:tc>
        <w:tc>
          <w:tcPr>
            <w:tcW w:w="140" w:type="dxa"/>
            <w:vAlign w:val="bottom"/>
            <w:tcBorders>
              <w:bottom w:val="single" w:sz="8" w:color="CCEEFF"/>
            </w:tcBorders>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per share:</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Arial" w:cs="Arial" w:eastAsia="Arial" w:hAnsi="Arial"/>
                <w:sz w:val="18"/>
                <w:szCs w:val="18"/>
                <w:color w:val="auto"/>
              </w:rPr>
              <w:t>Basic</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0" w:hanging="471"/>
        <w:spacing w:after="0"/>
        <w:tabs>
          <w:tab w:leader="none" w:pos="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29" w:lineRule="exact"/>
        <w:rPr>
          <w:rFonts w:ascii="Arial" w:cs="Arial" w:eastAsia="Arial" w:hAnsi="Arial"/>
          <w:sz w:val="18"/>
          <w:szCs w:val="18"/>
          <w:b w:val="1"/>
          <w:bCs w:val="1"/>
          <w:color w:val="auto"/>
        </w:rPr>
      </w:pPr>
    </w:p>
    <w:p>
      <w:pPr>
        <w:ind w:left="50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rFonts w:ascii="Arial" w:cs="Arial" w:eastAsia="Arial" w:hAnsi="Arial"/>
          <w:sz w:val="18"/>
          <w:szCs w:val="18"/>
          <w:b w:val="1"/>
          <w:bCs w:val="1"/>
          <w:color w:val="auto"/>
        </w:rPr>
      </w:pPr>
    </w:p>
    <w:p>
      <w:pPr>
        <w:ind w:left="500" w:right="1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and Auburndale, FL. In addition, a reserve was established for our facility in Thornton, CA to remove certain lead containing materials which existed on the property at the time of purchase.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500"/>
        <w:spacing w:after="0" w:line="264" w:lineRule="auto"/>
        <w:rPr>
          <w:sz w:val="20"/>
          <w:szCs w:val="20"/>
          <w:color w:val="auto"/>
        </w:rPr>
      </w:pPr>
      <w:r>
        <w:rPr>
          <w:rFonts w:ascii="Arial" w:cs="Arial" w:eastAsia="Arial" w:hAnsi="Arial"/>
          <w:sz w:val="18"/>
          <w:szCs w:val="18"/>
          <w:color w:val="auto"/>
        </w:rPr>
        <w:t>On a consolidated basis, we have reserved approximately $2.0 million and $2.5 million on June 29, 2019, and June 30, 2018, respectively, representing the estimated costs to complete future remediation efforts. These amounts have not been reduced by an insurance receivable.</w:t>
      </w:r>
    </w:p>
    <w:p>
      <w:pPr>
        <w:spacing w:after="0" w:line="181" w:lineRule="exact"/>
        <w:rPr>
          <w:sz w:val="20"/>
          <w:szCs w:val="20"/>
          <w:color w:val="auto"/>
        </w:rPr>
      </w:pPr>
    </w:p>
    <w:p>
      <w:pPr>
        <w:ind w:left="500" w:right="440"/>
        <w:spacing w:after="0" w:line="286" w:lineRule="auto"/>
        <w:rPr>
          <w:sz w:val="20"/>
          <w:szCs w:val="20"/>
          <w:color w:val="auto"/>
        </w:rPr>
      </w:pPr>
      <w:r>
        <w:rPr>
          <w:rFonts w:ascii="Arial" w:cs="Arial" w:eastAsia="Arial" w:hAnsi="Arial"/>
          <w:sz w:val="17"/>
          <w:szCs w:val="17"/>
          <w:color w:val="auto"/>
        </w:rPr>
        <w:t>In addition, on June 29, 2019,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66" w:lineRule="exact"/>
        <w:rPr>
          <w:sz w:val="20"/>
          <w:szCs w:val="20"/>
          <w:color w:val="auto"/>
        </w:rPr>
      </w:pPr>
    </w:p>
    <w:p>
      <w:pPr>
        <w:ind w:left="500" w:right="60"/>
        <w:spacing w:after="0" w:line="277" w:lineRule="auto"/>
        <w:rPr>
          <w:sz w:val="20"/>
          <w:szCs w:val="20"/>
          <w:color w:val="auto"/>
        </w:rPr>
      </w:pPr>
      <w:r>
        <w:rPr>
          <w:rFonts w:ascii="Arial" w:cs="Arial" w:eastAsia="Arial" w:hAnsi="Arial"/>
          <w:sz w:val="18"/>
          <w:szCs w:val="18"/>
          <w:color w:val="auto"/>
        </w:rPr>
        <w:t>On June 29, 2019, we had outstanding purchase commitments on commenced capital projects of approximately $48.3 million.</w:t>
      </w:r>
    </w:p>
    <w:p>
      <w:pPr>
        <w:spacing w:after="0" w:line="170" w:lineRule="exact"/>
        <w:rPr>
          <w:sz w:val="20"/>
          <w:szCs w:val="20"/>
          <w:color w:val="auto"/>
        </w:rPr>
      </w:pPr>
    </w:p>
    <w:p>
      <w:pPr>
        <w:ind w:left="500" w:right="40"/>
        <w:spacing w:after="0" w:line="257"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also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8"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these bonds. As of June 29, 2019, we had approximately $14.8 million outstanding payment and performance bonds for open projects. We had approximately $10.0 million in payment and performance bonds outstanding for completed projects which are still under warranty.</w:t>
      </w:r>
    </w:p>
    <w:p>
      <w:pPr>
        <w:spacing w:after="0" w:line="189" w:lineRule="exact"/>
        <w:rPr>
          <w:sz w:val="20"/>
          <w:szCs w:val="20"/>
          <w:color w:val="auto"/>
        </w:rPr>
      </w:pPr>
    </w:p>
    <w:p>
      <w:pPr>
        <w:ind w:left="500" w:right="300"/>
        <w:spacing w:after="0" w:line="277" w:lineRule="auto"/>
        <w:rPr>
          <w:sz w:val="20"/>
          <w:szCs w:val="20"/>
          <w:color w:val="auto"/>
        </w:rPr>
      </w:pPr>
      <w:r>
        <w:rPr>
          <w:rFonts w:ascii="Arial" w:cs="Arial" w:eastAsia="Arial" w:hAnsi="Arial"/>
          <w:sz w:val="18"/>
          <w:szCs w:val="18"/>
          <w:color w:val="auto"/>
        </w:rPr>
        <w:t>On June 29, 2019, we had outstanding letters of credit totaling $37.4 million, primarily related to certain insurance contracts and industrial development revenue bonds described further below.</w:t>
      </w:r>
    </w:p>
    <w:p>
      <w:pPr>
        <w:spacing w:after="0" w:line="170" w:lineRule="exact"/>
        <w:rPr>
          <w:sz w:val="20"/>
          <w:szCs w:val="20"/>
          <w:color w:val="auto"/>
        </w:rPr>
      </w:pPr>
    </w:p>
    <w:p>
      <w:pPr>
        <w:ind w:left="500" w:right="120"/>
        <w:spacing w:after="0" w:line="302" w:lineRule="auto"/>
        <w:rPr>
          <w:sz w:val="20"/>
          <w:szCs w:val="20"/>
          <w:color w:val="auto"/>
        </w:rPr>
      </w:pPr>
      <w:r>
        <w:rPr>
          <w:rFonts w:ascii="Arial" w:cs="Arial" w:eastAsia="Arial" w:hAnsi="Arial"/>
          <w:sz w:val="16"/>
          <w:szCs w:val="16"/>
          <w:color w:val="auto"/>
        </w:rPr>
        <w:t>In lieu of cash deposits, we provide irrevocable letters of credit in favor of our insurers to guarantee our performance under certain insurance contracts. As of June 29, 2019, we have irrevocable letters of credit outstanding totaling approximately $27.6 million for these types of insurance arrangements. We have reserves recorded on our balance sheet, in accrued liabilities, that reflect our expected future liabilities under these insurance arrangements.</w:t>
      </w:r>
    </w:p>
    <w:p>
      <w:pPr>
        <w:spacing w:after="0" w:line="154" w:lineRule="exact"/>
        <w:rPr>
          <w:sz w:val="20"/>
          <w:szCs w:val="20"/>
          <w:color w:val="auto"/>
        </w:rPr>
      </w:pPr>
    </w:p>
    <w:p>
      <w:pPr>
        <w:ind w:left="500" w:right="60"/>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ind w:left="500" w:right="120"/>
        <w:spacing w:after="0" w:line="279"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2012 and 2018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71" w:lineRule="exact"/>
        <w:rPr>
          <w:sz w:val="20"/>
          <w:szCs w:val="20"/>
          <w:color w:val="auto"/>
        </w:rPr>
      </w:pPr>
    </w:p>
    <w:p>
      <w:pPr>
        <w:ind w:left="500" w:right="220"/>
        <w:spacing w:after="0" w:line="277" w:lineRule="auto"/>
        <w:rPr>
          <w:sz w:val="20"/>
          <w:szCs w:val="20"/>
          <w:color w:val="auto"/>
        </w:rPr>
      </w:pPr>
      <w:r>
        <w:rPr>
          <w:rFonts w:ascii="Arial" w:cs="Arial" w:eastAsia="Arial" w:hAnsi="Arial"/>
          <w:sz w:val="18"/>
          <w:szCs w:val="18"/>
          <w:color w:val="auto"/>
        </w:rPr>
        <w:t>We did not enter into any new guarantee arrangements during the second quarter of 2019 which would require us to recognize a liability on our balance sheet.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44" w:right="14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ind w:left="460" w:hanging="451"/>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500" w:right="240"/>
        <w:spacing w:after="0" w:line="277" w:lineRule="auto"/>
        <w:rPr>
          <w:sz w:val="20"/>
          <w:szCs w:val="20"/>
          <w:color w:val="auto"/>
        </w:rPr>
      </w:pPr>
      <w:r>
        <w:rPr>
          <w:rFonts w:ascii="Arial" w:cs="Arial" w:eastAsia="Arial" w:hAnsi="Arial"/>
          <w:sz w:val="18"/>
          <w:szCs w:val="18"/>
          <w:color w:val="auto"/>
        </w:rPr>
        <w:t>We completed the following acquisitions in 2019 and 2018, which were accounted for using the purchase method in thousands unless otherwise noted:</w:t>
      </w:r>
    </w:p>
    <w:p>
      <w:pPr>
        <w:spacing w:after="0" w:line="205" w:lineRule="exact"/>
        <w:rPr>
          <w:sz w:val="20"/>
          <w:szCs w:val="20"/>
          <w:color w:val="auto"/>
        </w:rPr>
      </w:pPr>
    </w:p>
    <w:tbl>
      <w:tblPr>
        <w:tblLayout w:type="fixed"/>
        <w:tblInd w:w="30" w:type="dxa"/>
        <w:tblCellMar>
          <w:top w:w="0" w:type="dxa"/>
          <w:left w:w="0" w:type="dxa"/>
          <w:bottom w:w="0" w:type="dxa"/>
          <w:right w:w="0" w:type="dxa"/>
        </w:tblCellMar>
      </w:tblPr>
      <w:tr>
        <w:trPr>
          <w:trHeight w:val="139"/>
        </w:trPr>
        <w:tc>
          <w:tcPr>
            <w:tcW w:w="26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1500" w:type="dxa"/>
            <w:vAlign w:val="bottom"/>
            <w:tcBorders>
              <w:top w:val="single" w:sz="8" w:color="auto"/>
              <w:right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Acquisition</w:t>
            </w:r>
          </w:p>
        </w:tc>
        <w:tc>
          <w:tcPr>
            <w:tcW w:w="1820" w:type="dxa"/>
            <w:vAlign w:val="bottom"/>
            <w:tcBorders>
              <w:top w:val="single" w:sz="8" w:color="auto"/>
              <w:right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right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w w:val="93"/>
              </w:rPr>
              <w:t>Intangible</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jc w:val="right"/>
              <w:ind w:right="448"/>
              <w:spacing w:after="0" w:line="139" w:lineRule="exact"/>
              <w:rPr>
                <w:sz w:val="20"/>
                <w:szCs w:val="20"/>
                <w:color w:val="auto"/>
              </w:rPr>
            </w:pPr>
            <w:r>
              <w:rPr>
                <w:rFonts w:ascii="Arial" w:cs="Arial" w:eastAsia="Arial" w:hAnsi="Arial"/>
                <w:sz w:val="14"/>
                <w:szCs w:val="14"/>
                <w:b w:val="1"/>
                <w:bCs w:val="1"/>
                <w:color w:val="auto"/>
              </w:rPr>
              <w:t>Net</w:t>
            </w:r>
          </w:p>
        </w:tc>
        <w:tc>
          <w:tcPr>
            <w:tcW w:w="7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Purchase Price</w:t>
            </w:r>
          </w:p>
        </w:tc>
        <w:tc>
          <w:tcPr>
            <w:tcW w:w="220" w:type="dxa"/>
            <w:vAlign w:val="bottom"/>
          </w:tcPr>
          <w:p>
            <w:pPr>
              <w:spacing w:after="0"/>
              <w:rPr>
                <w:sz w:val="12"/>
                <w:szCs w:val="12"/>
                <w:color w:val="auto"/>
              </w:rPr>
            </w:pPr>
          </w:p>
        </w:tc>
        <w:tc>
          <w:tcPr>
            <w:tcW w:w="960" w:type="dxa"/>
            <w:vAlign w:val="bottom"/>
            <w:tcBorders>
              <w:right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Tangible</w:t>
            </w:r>
          </w:p>
        </w:tc>
        <w:tc>
          <w:tcPr>
            <w:tcW w:w="7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820" w:type="dxa"/>
            <w:vAlign w:val="bottom"/>
            <w:tcBorders>
              <w:bottom w:val="single" w:sz="8" w:color="auto"/>
              <w:right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Assets</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0" w:type="dxa"/>
            <w:vAlign w:val="bottom"/>
          </w:tcPr>
          <w:p>
            <w:pPr>
              <w:spacing w:after="0"/>
              <w:rPr>
                <w:sz w:val="1"/>
                <w:szCs w:val="1"/>
                <w:color w:val="auto"/>
              </w:rPr>
            </w:pPr>
          </w:p>
        </w:tc>
      </w:tr>
      <w:tr>
        <w:trPr>
          <w:trHeight w:val="130"/>
        </w:trPr>
        <w:tc>
          <w:tcPr>
            <w:tcW w:w="2680" w:type="dxa"/>
            <w:vAlign w:val="bottom"/>
            <w:tcBorders>
              <w:left w:val="single" w:sz="8" w:color="auto"/>
              <w:right w:val="single" w:sz="8" w:color="auto"/>
            </w:tcBorders>
            <w:shd w:val="clear" w:color="auto" w:fill="CCEBFF"/>
          </w:tcPr>
          <w:p>
            <w:pPr>
              <w:spacing w:after="0"/>
              <w:rPr>
                <w:sz w:val="11"/>
                <w:szCs w:val="11"/>
                <w:color w:val="auto"/>
              </w:rPr>
            </w:pPr>
          </w:p>
        </w:tc>
        <w:tc>
          <w:tcPr>
            <w:tcW w:w="1500" w:type="dxa"/>
            <w:vAlign w:val="bottom"/>
            <w:tcBorders>
              <w:right w:val="single" w:sz="8" w:color="auto"/>
            </w:tcBorders>
            <w:shd w:val="clear" w:color="auto" w:fill="CCEBFF"/>
          </w:tcPr>
          <w:p>
            <w:pPr>
              <w:spacing w:after="0"/>
              <w:rPr>
                <w:sz w:val="11"/>
                <w:szCs w:val="11"/>
                <w:color w:val="auto"/>
              </w:rPr>
            </w:pPr>
          </w:p>
        </w:tc>
        <w:tc>
          <w:tcPr>
            <w:tcW w:w="1820" w:type="dxa"/>
            <w:vAlign w:val="bottom"/>
            <w:tcBorders>
              <w:right w:val="single" w:sz="8" w:color="auto"/>
            </w:tcBorders>
            <w:shd w:val="clear" w:color="auto" w:fill="CCEBFF"/>
          </w:tcPr>
          <w:p>
            <w:pPr>
              <w:jc w:val="center"/>
              <w:spacing w:after="0" w:line="130" w:lineRule="exact"/>
              <w:rPr>
                <w:sz w:val="20"/>
                <w:szCs w:val="20"/>
                <w:color w:val="auto"/>
              </w:rPr>
            </w:pPr>
            <w:r>
              <w:rPr>
                <w:rFonts w:ascii="Arial" w:cs="Arial" w:eastAsia="Arial" w:hAnsi="Arial"/>
                <w:sz w:val="14"/>
                <w:szCs w:val="14"/>
                <w:color w:val="auto"/>
                <w:w w:val="93"/>
              </w:rPr>
              <w:t>$5,034</w:t>
            </w:r>
          </w:p>
        </w:tc>
        <w:tc>
          <w:tcPr>
            <w:tcW w:w="220" w:type="dxa"/>
            <w:vAlign w:val="bottom"/>
            <w:shd w:val="clear" w:color="auto" w:fill="CCEBFF"/>
          </w:tcPr>
          <w:p>
            <w:pPr>
              <w:spacing w:after="0"/>
              <w:rPr>
                <w:sz w:val="11"/>
                <w:szCs w:val="11"/>
                <w:color w:val="auto"/>
              </w:rPr>
            </w:pPr>
          </w:p>
        </w:tc>
        <w:tc>
          <w:tcPr>
            <w:tcW w:w="960" w:type="dxa"/>
            <w:vAlign w:val="bottom"/>
            <w:tcBorders>
              <w:right w:val="single" w:sz="8" w:color="auto"/>
            </w:tcBorders>
            <w:shd w:val="clear" w:color="auto" w:fill="CCEBFF"/>
          </w:tcPr>
          <w:p>
            <w:pPr>
              <w:spacing w:after="0"/>
              <w:rPr>
                <w:sz w:val="11"/>
                <w:szCs w:val="11"/>
                <w:color w:val="auto"/>
              </w:rPr>
            </w:pPr>
          </w:p>
        </w:tc>
        <w:tc>
          <w:tcPr>
            <w:tcW w:w="160" w:type="dxa"/>
            <w:vAlign w:val="bottom"/>
            <w:shd w:val="clear" w:color="auto" w:fill="CCEBFF"/>
          </w:tcPr>
          <w:p>
            <w:pPr>
              <w:spacing w:after="0"/>
              <w:rPr>
                <w:sz w:val="11"/>
                <w:szCs w:val="11"/>
                <w:color w:val="auto"/>
              </w:rPr>
            </w:pPr>
          </w:p>
        </w:tc>
        <w:tc>
          <w:tcPr>
            <w:tcW w:w="1000" w:type="dxa"/>
            <w:vAlign w:val="bottom"/>
            <w:tcBorders>
              <w:right w:val="single" w:sz="8" w:color="auto"/>
            </w:tcBorders>
            <w:shd w:val="clear" w:color="auto" w:fill="CCEBFF"/>
          </w:tcPr>
          <w:p>
            <w:pPr>
              <w:spacing w:after="0"/>
              <w:rPr>
                <w:sz w:val="11"/>
                <w:szCs w:val="11"/>
                <w:color w:val="auto"/>
              </w:rPr>
            </w:pPr>
          </w:p>
        </w:tc>
        <w:tc>
          <w:tcPr>
            <w:tcW w:w="720" w:type="dxa"/>
            <w:vAlign w:val="bottom"/>
            <w:tcBorders>
              <w:right w:val="single" w:sz="8" w:color="auto"/>
            </w:tcBorders>
            <w:shd w:val="clear" w:color="auto" w:fill="CCEB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right w:val="single" w:sz="8" w:color="auto"/>
            </w:tcBorders>
            <w:shd w:val="clear" w:color="auto" w:fill="CCEBFF"/>
          </w:tcPr>
          <w:p>
            <w:pPr>
              <w:spacing w:after="0"/>
              <w:rPr>
                <w:sz w:val="12"/>
                <w:szCs w:val="12"/>
                <w:color w:val="auto"/>
              </w:rPr>
            </w:pPr>
          </w:p>
        </w:tc>
        <w:tc>
          <w:tcPr>
            <w:tcW w:w="1500" w:type="dxa"/>
            <w:vAlign w:val="bottom"/>
            <w:tcBorders>
              <w:right w:val="single" w:sz="8" w:color="auto"/>
            </w:tcBorders>
            <w:shd w:val="clear" w:color="auto" w:fill="CCEBFF"/>
          </w:tcPr>
          <w:p>
            <w:pPr>
              <w:jc w:val="center"/>
              <w:spacing w:after="0" w:line="149" w:lineRule="exact"/>
              <w:rPr>
                <w:sz w:val="20"/>
                <w:szCs w:val="20"/>
                <w:color w:val="auto"/>
              </w:rPr>
            </w:pPr>
            <w:r>
              <w:rPr>
                <w:rFonts w:ascii="Arial" w:cs="Arial" w:eastAsia="Arial" w:hAnsi="Arial"/>
                <w:sz w:val="14"/>
                <w:szCs w:val="14"/>
                <w:color w:val="auto"/>
                <w:w w:val="93"/>
              </w:rPr>
              <w:t>May 1, 2019</w:t>
            </w:r>
          </w:p>
        </w:tc>
        <w:tc>
          <w:tcPr>
            <w:tcW w:w="1820" w:type="dxa"/>
            <w:vAlign w:val="bottom"/>
            <w:tcBorders>
              <w:right w:val="single" w:sz="8" w:color="auto"/>
            </w:tcBorders>
            <w:shd w:val="clear" w:color="auto" w:fill="CCEBFF"/>
          </w:tcPr>
          <w:p>
            <w:pPr>
              <w:jc w:val="center"/>
              <w:ind w:right="8"/>
              <w:spacing w:after="0" w:line="149" w:lineRule="exact"/>
              <w:rPr>
                <w:sz w:val="20"/>
                <w:szCs w:val="20"/>
                <w:color w:val="auto"/>
              </w:rPr>
            </w:pPr>
            <w:r>
              <w:rPr>
                <w:rFonts w:ascii="Arial" w:cs="Arial" w:eastAsia="Arial" w:hAnsi="Arial"/>
                <w:sz w:val="14"/>
                <w:szCs w:val="14"/>
                <w:color w:val="auto"/>
                <w:w w:val="90"/>
              </w:rPr>
              <w:t>cash paid for 100% asset</w:t>
            </w:r>
          </w:p>
        </w:tc>
        <w:tc>
          <w:tcPr>
            <w:tcW w:w="220" w:type="dxa"/>
            <w:vAlign w:val="bottom"/>
            <w:shd w:val="clear" w:color="auto" w:fill="CCEBFF"/>
          </w:tcPr>
          <w:p>
            <w:pPr>
              <w:jc w:val="right"/>
              <w:ind w:right="15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shd w:val="clear" w:color="auto" w:fill="CCEBFF"/>
          </w:tcPr>
          <w:p>
            <w:pPr>
              <w:jc w:val="right"/>
              <w:ind w:right="28"/>
              <w:spacing w:after="0" w:line="149" w:lineRule="exact"/>
              <w:rPr>
                <w:sz w:val="20"/>
                <w:szCs w:val="20"/>
                <w:color w:val="auto"/>
              </w:rPr>
            </w:pPr>
            <w:r>
              <w:rPr>
                <w:rFonts w:ascii="Arial" w:cs="Arial" w:eastAsia="Arial" w:hAnsi="Arial"/>
                <w:sz w:val="14"/>
                <w:szCs w:val="14"/>
                <w:color w:val="auto"/>
              </w:rPr>
              <w:t>4,046</w:t>
            </w:r>
          </w:p>
        </w:tc>
        <w:tc>
          <w:tcPr>
            <w:tcW w:w="160" w:type="dxa"/>
            <w:vAlign w:val="bottom"/>
            <w:shd w:val="clear" w:color="auto" w:fill="CCEBFF"/>
          </w:tcPr>
          <w:p>
            <w:pPr>
              <w:jc w:val="right"/>
              <w:ind w:right="94"/>
              <w:spacing w:after="0"/>
              <w:rPr>
                <w:sz w:val="20"/>
                <w:szCs w:val="20"/>
                <w:color w:val="auto"/>
              </w:rPr>
            </w:pPr>
            <w:r>
              <w:rPr>
                <w:rFonts w:ascii="Arial" w:cs="Arial" w:eastAsia="Arial" w:hAnsi="Arial"/>
                <w:sz w:val="5"/>
                <w:szCs w:val="5"/>
                <w:color w:val="auto"/>
                <w:w w:val="70"/>
              </w:rPr>
              <w:t>$</w:t>
            </w:r>
          </w:p>
        </w:tc>
        <w:tc>
          <w:tcPr>
            <w:tcW w:w="1000" w:type="dxa"/>
            <w:vAlign w:val="bottom"/>
            <w:tcBorders>
              <w:right w:val="single" w:sz="8" w:color="auto"/>
            </w:tcBorders>
            <w:shd w:val="clear" w:color="auto" w:fill="CCEBFF"/>
          </w:tcPr>
          <w:p>
            <w:pPr>
              <w:jc w:val="right"/>
              <w:ind w:right="8"/>
              <w:spacing w:after="0" w:line="149" w:lineRule="exact"/>
              <w:rPr>
                <w:sz w:val="20"/>
                <w:szCs w:val="20"/>
                <w:color w:val="auto"/>
              </w:rPr>
            </w:pPr>
            <w:r>
              <w:rPr>
                <w:rFonts w:ascii="Arial" w:cs="Arial" w:eastAsia="Arial" w:hAnsi="Arial"/>
                <w:sz w:val="14"/>
                <w:szCs w:val="14"/>
                <w:color w:val="auto"/>
              </w:rPr>
              <w:t>988</w:t>
            </w:r>
          </w:p>
        </w:tc>
        <w:tc>
          <w:tcPr>
            <w:tcW w:w="720" w:type="dxa"/>
            <w:vAlign w:val="bottom"/>
            <w:tcBorders>
              <w:right w:val="single" w:sz="8" w:color="auto"/>
            </w:tcBorders>
            <w:shd w:val="clear" w:color="auto" w:fill="CCEBFF"/>
          </w:tcPr>
          <w:p>
            <w:pPr>
              <w:jc w:val="center"/>
              <w:spacing w:after="0" w:line="149" w:lineRule="exact"/>
              <w:rPr>
                <w:sz w:val="20"/>
                <w:szCs w:val="20"/>
                <w:color w:val="auto"/>
              </w:rPr>
            </w:pPr>
            <w:r>
              <w:rPr>
                <w:rFonts w:ascii="Arial" w:cs="Arial" w:eastAsia="Arial" w:hAnsi="Arial"/>
                <w:sz w:val="14"/>
                <w:szCs w:val="14"/>
                <w:color w:val="auto"/>
                <w:w w:val="93"/>
              </w:rPr>
              <w:t>North</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4"/>
                <w:szCs w:val="14"/>
                <w:color w:val="auto"/>
                <w:w w:val="93"/>
              </w:rPr>
              <w:t>Wolverine Wood Products, Inc.</w:t>
            </w:r>
          </w:p>
        </w:tc>
        <w:tc>
          <w:tcPr>
            <w:tcW w:w="1500" w:type="dxa"/>
            <w:vAlign w:val="bottom"/>
            <w:tcBorders>
              <w:bottom w:val="single" w:sz="8" w:color="auto"/>
              <w:right w:val="single" w:sz="8" w:color="auto"/>
            </w:tcBorders>
            <w:shd w:val="clear" w:color="auto" w:fill="CCEBFF"/>
          </w:tcPr>
          <w:p>
            <w:pPr>
              <w:spacing w:after="0"/>
              <w:rPr>
                <w:sz w:val="14"/>
                <w:szCs w:val="14"/>
                <w:color w:val="auto"/>
              </w:rPr>
            </w:pPr>
          </w:p>
        </w:tc>
        <w:tc>
          <w:tcPr>
            <w:tcW w:w="18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4"/>
                <w:szCs w:val="14"/>
                <w:color w:val="auto"/>
                <w:w w:val="90"/>
              </w:rPr>
              <w:t>purchase</w:t>
            </w:r>
          </w:p>
        </w:tc>
        <w:tc>
          <w:tcPr>
            <w:tcW w:w="220" w:type="dxa"/>
            <w:vAlign w:val="bottom"/>
            <w:tcBorders>
              <w:bottom w:val="single" w:sz="8" w:color="auto"/>
            </w:tcBorders>
            <w:shd w:val="clear" w:color="auto" w:fill="CCEBFF"/>
          </w:tcPr>
          <w:p>
            <w:pPr>
              <w:spacing w:after="0"/>
              <w:rPr>
                <w:sz w:val="14"/>
                <w:szCs w:val="14"/>
                <w:color w:val="auto"/>
              </w:rPr>
            </w:pPr>
          </w:p>
        </w:tc>
        <w:tc>
          <w:tcPr>
            <w:tcW w:w="960" w:type="dxa"/>
            <w:vAlign w:val="bottom"/>
            <w:tcBorders>
              <w:bottom w:val="single" w:sz="8" w:color="auto"/>
              <w:right w:val="single" w:sz="8" w:color="auto"/>
            </w:tcBorders>
            <w:shd w:val="clear" w:color="auto" w:fill="CCEBFF"/>
          </w:tcPr>
          <w:p>
            <w:pPr>
              <w:spacing w:after="0"/>
              <w:rPr>
                <w:sz w:val="14"/>
                <w:szCs w:val="14"/>
                <w:color w:val="auto"/>
              </w:rPr>
            </w:pPr>
          </w:p>
        </w:tc>
        <w:tc>
          <w:tcPr>
            <w:tcW w:w="160" w:type="dxa"/>
            <w:vAlign w:val="bottom"/>
            <w:tcBorders>
              <w:bottom w:val="single" w:sz="8" w:color="auto"/>
            </w:tcBorders>
            <w:shd w:val="clear" w:color="auto" w:fill="CCEBFF"/>
          </w:tcPr>
          <w:p>
            <w:pPr>
              <w:spacing w:after="0"/>
              <w:rPr>
                <w:sz w:val="14"/>
                <w:szCs w:val="14"/>
                <w:color w:val="auto"/>
              </w:rPr>
            </w:pPr>
          </w:p>
        </w:tc>
        <w:tc>
          <w:tcPr>
            <w:tcW w:w="1000" w:type="dxa"/>
            <w:vAlign w:val="bottom"/>
            <w:tcBorders>
              <w:bottom w:val="single" w:sz="8" w:color="auto"/>
              <w:right w:val="single" w:sz="8" w:color="auto"/>
            </w:tcBorders>
            <w:shd w:val="clear" w:color="auto" w:fill="CCEBFF"/>
          </w:tcPr>
          <w:p>
            <w:pPr>
              <w:spacing w:after="0"/>
              <w:rPr>
                <w:sz w:val="14"/>
                <w:szCs w:val="14"/>
                <w:color w:val="auto"/>
              </w:rPr>
            </w:pPr>
          </w:p>
        </w:tc>
        <w:tc>
          <w:tcPr>
            <w:tcW w:w="720" w:type="dxa"/>
            <w:vAlign w:val="bottom"/>
            <w:tcBorders>
              <w:bottom w:val="single" w:sz="8" w:color="auto"/>
              <w:right w:val="single" w:sz="8" w:color="auto"/>
            </w:tcBorders>
            <w:shd w:val="clear" w:color="auto" w:fill="CCEBFF"/>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680" w:type="dxa"/>
            <w:vAlign w:val="bottom"/>
            <w:tcBorders>
              <w:left w:val="single" w:sz="8" w:color="auto"/>
              <w:right w:val="single" w:sz="8" w:color="auto"/>
            </w:tcBorders>
            <w:vMerge w:val="continue"/>
            <w:shd w:val="clear" w:color="auto" w:fill="CCEBFF"/>
          </w:tcPr>
          <w:p>
            <w:pPr>
              <w:spacing w:after="0"/>
              <w:rPr>
                <w:sz w:val="10"/>
                <w:szCs w:val="10"/>
                <w:color w:val="auto"/>
              </w:rPr>
            </w:pPr>
          </w:p>
        </w:tc>
        <w:tc>
          <w:tcPr>
            <w:tcW w:w="6380" w:type="dxa"/>
            <w:vAlign w:val="bottom"/>
            <w:tcBorders>
              <w:right w:val="single" w:sz="8" w:color="auto"/>
            </w:tcBorders>
            <w:gridSpan w:val="7"/>
            <w:shd w:val="clear" w:color="auto" w:fill="CCEBFF"/>
          </w:tcPr>
          <w:p>
            <w:pPr>
              <w:spacing w:after="0" w:line="115" w:lineRule="exact"/>
              <w:rPr>
                <w:sz w:val="20"/>
                <w:szCs w:val="20"/>
                <w:color w:val="auto"/>
              </w:rPr>
            </w:pPr>
            <w:r>
              <w:rPr>
                <w:rFonts w:ascii="Arial" w:cs="Arial" w:eastAsia="Arial" w:hAnsi="Arial"/>
                <w:sz w:val="13"/>
                <w:szCs w:val="13"/>
                <w:color w:val="auto"/>
              </w:rPr>
              <w:t>A manufacturer of wood panel components for furniture, store fixtures and case goods. Wolverine had annual</w:t>
            </w:r>
          </w:p>
        </w:tc>
        <w:tc>
          <w:tcPr>
            <w:tcW w:w="0" w:type="dxa"/>
            <w:vAlign w:val="bottom"/>
          </w:tcPr>
          <w:p>
            <w:pPr>
              <w:spacing w:after="0"/>
              <w:rPr>
                <w:sz w:val="1"/>
                <w:szCs w:val="1"/>
                <w:color w:val="auto"/>
              </w:rPr>
            </w:pPr>
          </w:p>
        </w:tc>
      </w:tr>
      <w:tr>
        <w:trPr>
          <w:trHeight w:val="157"/>
        </w:trPr>
        <w:tc>
          <w:tcPr>
            <w:tcW w:w="2680" w:type="dxa"/>
            <w:vAlign w:val="bottom"/>
            <w:tcBorders>
              <w:left w:val="single" w:sz="8" w:color="auto"/>
              <w:right w:val="single" w:sz="8" w:color="auto"/>
            </w:tcBorders>
            <w:shd w:val="clear" w:color="auto" w:fill="CCEBFF"/>
          </w:tcPr>
          <w:p>
            <w:pPr>
              <w:jc w:val="center"/>
              <w:spacing w:after="0" w:line="157" w:lineRule="exact"/>
              <w:rPr>
                <w:sz w:val="20"/>
                <w:szCs w:val="20"/>
                <w:color w:val="auto"/>
              </w:rPr>
            </w:pPr>
            <w:r>
              <w:rPr>
                <w:rFonts w:ascii="Arial" w:cs="Arial" w:eastAsia="Arial" w:hAnsi="Arial"/>
                <w:sz w:val="14"/>
                <w:szCs w:val="14"/>
                <w:color w:val="auto"/>
              </w:rPr>
              <w:t>("Wolverine")</w:t>
            </w:r>
          </w:p>
        </w:tc>
        <w:tc>
          <w:tcPr>
            <w:tcW w:w="6380" w:type="dxa"/>
            <w:vAlign w:val="bottom"/>
            <w:tcBorders>
              <w:right w:val="single" w:sz="8" w:color="auto"/>
            </w:tcBorders>
            <w:gridSpan w:val="7"/>
            <w:shd w:val="clear" w:color="auto" w:fill="CCEBFF"/>
          </w:tcPr>
          <w:p>
            <w:pPr>
              <w:spacing w:after="0" w:line="157" w:lineRule="exact"/>
              <w:rPr>
                <w:sz w:val="20"/>
                <w:szCs w:val="20"/>
                <w:color w:val="auto"/>
              </w:rPr>
            </w:pPr>
            <w:r>
              <w:rPr>
                <w:rFonts w:ascii="Arial" w:cs="Arial" w:eastAsia="Arial" w:hAnsi="Arial"/>
                <w:sz w:val="14"/>
                <w:szCs w:val="14"/>
                <w:color w:val="auto"/>
                <w:w w:val="99"/>
              </w:rPr>
              <w:t>sales of approximately $5 million. The acquisition of Wolverine allows us to expand capacity to produce</w:t>
            </w:r>
          </w:p>
        </w:tc>
        <w:tc>
          <w:tcPr>
            <w:tcW w:w="0" w:type="dxa"/>
            <w:vAlign w:val="bottom"/>
          </w:tcPr>
          <w:p>
            <w:pPr>
              <w:spacing w:after="0"/>
              <w:rPr>
                <w:sz w:val="1"/>
                <w:szCs w:val="1"/>
                <w:color w:val="auto"/>
              </w:rPr>
            </w:pPr>
          </w:p>
        </w:tc>
      </w:tr>
      <w:tr>
        <w:trPr>
          <w:trHeight w:val="174"/>
        </w:trPr>
        <w:tc>
          <w:tcPr>
            <w:tcW w:w="2680" w:type="dxa"/>
            <w:vAlign w:val="bottom"/>
            <w:tcBorders>
              <w:left w:val="single" w:sz="8" w:color="auto"/>
              <w:bottom w:val="single" w:sz="8" w:color="auto"/>
              <w:right w:val="single" w:sz="8" w:color="auto"/>
            </w:tcBorders>
            <w:shd w:val="clear" w:color="auto" w:fill="CCEBFF"/>
          </w:tcPr>
          <w:p>
            <w:pPr>
              <w:spacing w:after="0"/>
              <w:rPr>
                <w:sz w:val="15"/>
                <w:szCs w:val="15"/>
                <w:color w:val="auto"/>
              </w:rPr>
            </w:pPr>
          </w:p>
        </w:tc>
        <w:tc>
          <w:tcPr>
            <w:tcW w:w="354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4"/>
                <w:szCs w:val="14"/>
                <w:color w:val="auto"/>
                <w:w w:val="92"/>
              </w:rPr>
              <w:t>value-added wood components for customers in the Midwest.</w:t>
            </w:r>
          </w:p>
        </w:tc>
        <w:tc>
          <w:tcPr>
            <w:tcW w:w="960" w:type="dxa"/>
            <w:vAlign w:val="bottom"/>
            <w:tcBorders>
              <w:bottom w:val="single" w:sz="8" w:color="auto"/>
              <w:right w:val="single" w:sz="8" w:color="CCEBFF"/>
            </w:tcBorders>
            <w:shd w:val="clear" w:color="auto" w:fill="CCEBFF"/>
          </w:tcPr>
          <w:p>
            <w:pPr>
              <w:spacing w:after="0"/>
              <w:rPr>
                <w:sz w:val="15"/>
                <w:szCs w:val="15"/>
                <w:color w:val="auto"/>
              </w:rPr>
            </w:pPr>
          </w:p>
        </w:tc>
        <w:tc>
          <w:tcPr>
            <w:tcW w:w="160" w:type="dxa"/>
            <w:vAlign w:val="bottom"/>
            <w:tcBorders>
              <w:bottom w:val="single" w:sz="8" w:color="auto"/>
            </w:tcBorders>
            <w:shd w:val="clear" w:color="auto" w:fill="CCEBFF"/>
          </w:tcPr>
          <w:p>
            <w:pPr>
              <w:spacing w:after="0"/>
              <w:rPr>
                <w:sz w:val="15"/>
                <w:szCs w:val="15"/>
                <w:color w:val="auto"/>
              </w:rPr>
            </w:pPr>
          </w:p>
        </w:tc>
        <w:tc>
          <w:tcPr>
            <w:tcW w:w="1000" w:type="dxa"/>
            <w:vAlign w:val="bottom"/>
            <w:tcBorders>
              <w:bottom w:val="single" w:sz="8" w:color="auto"/>
              <w:right w:val="single" w:sz="8" w:color="CCEBFF"/>
            </w:tcBorders>
            <w:shd w:val="clear" w:color="auto" w:fill="CCEBFF"/>
          </w:tcPr>
          <w:p>
            <w:pPr>
              <w:spacing w:after="0"/>
              <w:rPr>
                <w:sz w:val="15"/>
                <w:szCs w:val="15"/>
                <w:color w:val="auto"/>
              </w:rPr>
            </w:pPr>
          </w:p>
        </w:tc>
        <w:tc>
          <w:tcPr>
            <w:tcW w:w="720" w:type="dxa"/>
            <w:vAlign w:val="bottom"/>
            <w:tcBorders>
              <w:bottom w:val="single" w:sz="8" w:color="auto"/>
              <w:right w:val="single" w:sz="8" w:color="auto"/>
            </w:tcBorders>
            <w:shd w:val="clear" w:color="auto" w:fill="CCEB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680" w:type="dxa"/>
            <w:vAlign w:val="bottom"/>
            <w:tcBorders>
              <w:left w:val="single" w:sz="8" w:color="auto"/>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jc w:val="center"/>
              <w:ind w:right="8"/>
              <w:spacing w:after="0" w:line="130" w:lineRule="exact"/>
              <w:rPr>
                <w:sz w:val="20"/>
                <w:szCs w:val="20"/>
                <w:color w:val="auto"/>
              </w:rPr>
            </w:pPr>
            <w:r>
              <w:rPr>
                <w:rFonts w:ascii="Arial" w:cs="Arial" w:eastAsia="Arial" w:hAnsi="Arial"/>
                <w:sz w:val="14"/>
                <w:szCs w:val="14"/>
                <w:color w:val="auto"/>
                <w:w w:val="90"/>
              </w:rPr>
              <w:t>$15,115</w:t>
            </w:r>
          </w:p>
        </w:tc>
        <w:tc>
          <w:tcPr>
            <w:tcW w:w="22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October 22, 2018</w:t>
            </w:r>
          </w:p>
        </w:tc>
        <w:tc>
          <w:tcPr>
            <w:tcW w:w="18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0"/>
              </w:rPr>
              <w:t>cash paid for 100% asset</w:t>
            </w:r>
          </w:p>
        </w:tc>
        <w:tc>
          <w:tcPr>
            <w:tcW w:w="220" w:type="dxa"/>
            <w:vAlign w:val="bottom"/>
          </w:tcPr>
          <w:p>
            <w:pPr>
              <w:jc w:val="right"/>
              <w:ind w:right="15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8,592</w:t>
            </w:r>
          </w:p>
        </w:tc>
        <w:tc>
          <w:tcPr>
            <w:tcW w:w="160" w:type="dxa"/>
            <w:vAlign w:val="bottom"/>
          </w:tcPr>
          <w:p>
            <w:pPr>
              <w:jc w:val="right"/>
              <w:ind w:right="94"/>
              <w:spacing w:after="0"/>
              <w:rPr>
                <w:sz w:val="20"/>
                <w:szCs w:val="20"/>
                <w:color w:val="auto"/>
              </w:rPr>
            </w:pPr>
            <w:r>
              <w:rPr>
                <w:rFonts w:ascii="Arial" w:cs="Arial" w:eastAsia="Arial" w:hAnsi="Arial"/>
                <w:sz w:val="5"/>
                <w:szCs w:val="5"/>
                <w:color w:val="auto"/>
                <w:w w:val="70"/>
              </w:rPr>
              <w:t>$</w:t>
            </w:r>
          </w:p>
        </w:tc>
        <w:tc>
          <w:tcPr>
            <w:tcW w:w="100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6,523</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North</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Pak-Rite, LTD ("Pak-Rite")</w:t>
            </w:r>
          </w:p>
        </w:tc>
        <w:tc>
          <w:tcPr>
            <w:tcW w:w="150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purchase</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680" w:type="dxa"/>
            <w:vAlign w:val="bottom"/>
            <w:tcBorders>
              <w:left w:val="single" w:sz="8" w:color="auto"/>
              <w:right w:val="single" w:sz="8" w:color="auto"/>
            </w:tcBorders>
            <w:vMerge w:val="continue"/>
          </w:tcPr>
          <w:p>
            <w:pPr>
              <w:spacing w:after="0"/>
              <w:rPr>
                <w:sz w:val="10"/>
                <w:szCs w:val="10"/>
                <w:color w:val="auto"/>
              </w:rPr>
            </w:pPr>
          </w:p>
        </w:tc>
        <w:tc>
          <w:tcPr>
            <w:tcW w:w="6380" w:type="dxa"/>
            <w:vAlign w:val="bottom"/>
            <w:tcBorders>
              <w:right w:val="single" w:sz="8" w:color="auto"/>
            </w:tcBorders>
            <w:gridSpan w:val="7"/>
          </w:tcPr>
          <w:p>
            <w:pPr>
              <w:spacing w:after="0" w:line="123" w:lineRule="exact"/>
              <w:rPr>
                <w:sz w:val="20"/>
                <w:szCs w:val="20"/>
                <w:color w:val="auto"/>
              </w:rPr>
            </w:pPr>
            <w:r>
              <w:rPr>
                <w:rFonts w:ascii="Arial" w:cs="Arial" w:eastAsia="Arial" w:hAnsi="Arial"/>
                <w:sz w:val="14"/>
                <w:szCs w:val="14"/>
                <w:color w:val="auto"/>
              </w:rPr>
              <w:t>A designer and manufacturer of packaging for high-value products, such as medical, aerospace and</w:t>
            </w: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right w:val="single" w:sz="8" w:color="auto"/>
            </w:tcBorders>
          </w:tcPr>
          <w:p>
            <w:pPr>
              <w:spacing w:after="0"/>
              <w:rPr>
                <w:sz w:val="12"/>
                <w:szCs w:val="12"/>
                <w:color w:val="auto"/>
              </w:rPr>
            </w:pPr>
          </w:p>
        </w:tc>
        <w:tc>
          <w:tcPr>
            <w:tcW w:w="6380" w:type="dxa"/>
            <w:vAlign w:val="bottom"/>
            <w:tcBorders>
              <w:right w:val="single" w:sz="8" w:color="auto"/>
            </w:tcBorders>
            <w:gridSpan w:val="7"/>
          </w:tcPr>
          <w:p>
            <w:pPr>
              <w:spacing w:after="0" w:line="149" w:lineRule="exact"/>
              <w:rPr>
                <w:sz w:val="20"/>
                <w:szCs w:val="20"/>
                <w:color w:val="auto"/>
              </w:rPr>
            </w:pPr>
            <w:r>
              <w:rPr>
                <w:rFonts w:ascii="Arial" w:cs="Arial" w:eastAsia="Arial" w:hAnsi="Arial"/>
                <w:sz w:val="14"/>
                <w:szCs w:val="14"/>
                <w:color w:val="auto"/>
                <w:w w:val="95"/>
              </w:rPr>
              <w:t>automation equipment. Pak-Rite had annual sales of approximately $15 million. The acquisition of Pak-Rite</w:t>
            </w:r>
          </w:p>
        </w:tc>
        <w:tc>
          <w:tcPr>
            <w:tcW w:w="0" w:type="dxa"/>
            <w:vAlign w:val="bottom"/>
          </w:tcPr>
          <w:p>
            <w:pPr>
              <w:spacing w:after="0"/>
              <w:rPr>
                <w:sz w:val="1"/>
                <w:szCs w:val="1"/>
                <w:color w:val="auto"/>
              </w:rPr>
            </w:pPr>
          </w:p>
        </w:tc>
      </w:tr>
      <w:tr>
        <w:trPr>
          <w:trHeight w:val="174"/>
        </w:trPr>
        <w:tc>
          <w:tcPr>
            <w:tcW w:w="2680" w:type="dxa"/>
            <w:vAlign w:val="bottom"/>
            <w:tcBorders>
              <w:left w:val="single" w:sz="8" w:color="auto"/>
              <w:bottom w:val="single" w:sz="8" w:color="auto"/>
              <w:right w:val="single" w:sz="8" w:color="auto"/>
            </w:tcBorders>
          </w:tcPr>
          <w:p>
            <w:pPr>
              <w:spacing w:after="0"/>
              <w:rPr>
                <w:sz w:val="15"/>
                <w:szCs w:val="15"/>
                <w:color w:val="auto"/>
              </w:rPr>
            </w:pPr>
          </w:p>
        </w:tc>
        <w:tc>
          <w:tcPr>
            <w:tcW w:w="566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rPr>
              <w:t>allows us to grow our portfolio of packaging products and our presence in this region.</w:t>
            </w:r>
          </w:p>
        </w:tc>
        <w:tc>
          <w:tcPr>
            <w:tcW w:w="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680" w:type="dxa"/>
            <w:vAlign w:val="bottom"/>
            <w:tcBorders>
              <w:left w:val="single" w:sz="8" w:color="auto"/>
              <w:right w:val="single" w:sz="8" w:color="auto"/>
            </w:tcBorders>
            <w:shd w:val="clear" w:color="auto" w:fill="CCEBFF"/>
          </w:tcPr>
          <w:p>
            <w:pPr>
              <w:spacing w:after="0"/>
              <w:rPr>
                <w:sz w:val="11"/>
                <w:szCs w:val="11"/>
                <w:color w:val="auto"/>
              </w:rPr>
            </w:pPr>
          </w:p>
        </w:tc>
        <w:tc>
          <w:tcPr>
            <w:tcW w:w="1500" w:type="dxa"/>
            <w:vAlign w:val="bottom"/>
            <w:tcBorders>
              <w:right w:val="single" w:sz="8" w:color="auto"/>
            </w:tcBorders>
            <w:shd w:val="clear" w:color="auto" w:fill="CCEBFF"/>
          </w:tcPr>
          <w:p>
            <w:pPr>
              <w:spacing w:after="0"/>
              <w:rPr>
                <w:sz w:val="11"/>
                <w:szCs w:val="11"/>
                <w:color w:val="auto"/>
              </w:rPr>
            </w:pPr>
          </w:p>
        </w:tc>
        <w:tc>
          <w:tcPr>
            <w:tcW w:w="1820" w:type="dxa"/>
            <w:vAlign w:val="bottom"/>
            <w:tcBorders>
              <w:right w:val="single" w:sz="8" w:color="auto"/>
            </w:tcBorders>
            <w:shd w:val="clear" w:color="auto" w:fill="CCEBFF"/>
          </w:tcPr>
          <w:p>
            <w:pPr>
              <w:jc w:val="center"/>
              <w:spacing w:after="0" w:line="130" w:lineRule="exact"/>
              <w:rPr>
                <w:sz w:val="20"/>
                <w:szCs w:val="20"/>
                <w:color w:val="auto"/>
              </w:rPr>
            </w:pPr>
            <w:r>
              <w:rPr>
                <w:rFonts w:ascii="Arial" w:cs="Arial" w:eastAsia="Arial" w:hAnsi="Arial"/>
                <w:sz w:val="14"/>
                <w:szCs w:val="14"/>
                <w:color w:val="auto"/>
                <w:w w:val="93"/>
              </w:rPr>
              <w:t>$1,016</w:t>
            </w:r>
          </w:p>
        </w:tc>
        <w:tc>
          <w:tcPr>
            <w:tcW w:w="220" w:type="dxa"/>
            <w:vAlign w:val="bottom"/>
            <w:shd w:val="clear" w:color="auto" w:fill="CCEBFF"/>
          </w:tcPr>
          <w:p>
            <w:pPr>
              <w:spacing w:after="0"/>
              <w:rPr>
                <w:sz w:val="11"/>
                <w:szCs w:val="11"/>
                <w:color w:val="auto"/>
              </w:rPr>
            </w:pPr>
          </w:p>
        </w:tc>
        <w:tc>
          <w:tcPr>
            <w:tcW w:w="960" w:type="dxa"/>
            <w:vAlign w:val="bottom"/>
            <w:tcBorders>
              <w:right w:val="single" w:sz="8" w:color="auto"/>
            </w:tcBorders>
            <w:shd w:val="clear" w:color="auto" w:fill="CCEBFF"/>
          </w:tcPr>
          <w:p>
            <w:pPr>
              <w:spacing w:after="0"/>
              <w:rPr>
                <w:sz w:val="11"/>
                <w:szCs w:val="11"/>
                <w:color w:val="auto"/>
              </w:rPr>
            </w:pPr>
          </w:p>
        </w:tc>
        <w:tc>
          <w:tcPr>
            <w:tcW w:w="160" w:type="dxa"/>
            <w:vAlign w:val="bottom"/>
            <w:shd w:val="clear" w:color="auto" w:fill="CCEBFF"/>
          </w:tcPr>
          <w:p>
            <w:pPr>
              <w:spacing w:after="0"/>
              <w:rPr>
                <w:sz w:val="11"/>
                <w:szCs w:val="11"/>
                <w:color w:val="auto"/>
              </w:rPr>
            </w:pPr>
          </w:p>
        </w:tc>
        <w:tc>
          <w:tcPr>
            <w:tcW w:w="1000" w:type="dxa"/>
            <w:vAlign w:val="bottom"/>
            <w:tcBorders>
              <w:right w:val="single" w:sz="8" w:color="auto"/>
            </w:tcBorders>
            <w:shd w:val="clear" w:color="auto" w:fill="CCEBFF"/>
          </w:tcPr>
          <w:p>
            <w:pPr>
              <w:spacing w:after="0"/>
              <w:rPr>
                <w:sz w:val="11"/>
                <w:szCs w:val="11"/>
                <w:color w:val="auto"/>
              </w:rPr>
            </w:pPr>
          </w:p>
        </w:tc>
        <w:tc>
          <w:tcPr>
            <w:tcW w:w="720" w:type="dxa"/>
            <w:vAlign w:val="bottom"/>
            <w:tcBorders>
              <w:right w:val="single" w:sz="8" w:color="auto"/>
            </w:tcBorders>
            <w:shd w:val="clear" w:color="auto" w:fill="CCEB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right w:val="single" w:sz="8" w:color="auto"/>
            </w:tcBorders>
            <w:shd w:val="clear" w:color="auto" w:fill="CCEBFF"/>
          </w:tcPr>
          <w:p>
            <w:pPr>
              <w:spacing w:after="0"/>
              <w:rPr>
                <w:sz w:val="12"/>
                <w:szCs w:val="12"/>
                <w:color w:val="auto"/>
              </w:rPr>
            </w:pPr>
          </w:p>
        </w:tc>
        <w:tc>
          <w:tcPr>
            <w:tcW w:w="1500" w:type="dxa"/>
            <w:vAlign w:val="bottom"/>
            <w:tcBorders>
              <w:right w:val="single" w:sz="8" w:color="auto"/>
            </w:tcBorders>
            <w:shd w:val="clear" w:color="auto" w:fill="CCEBFF"/>
          </w:tcPr>
          <w:p>
            <w:pPr>
              <w:jc w:val="center"/>
              <w:spacing w:after="0" w:line="149" w:lineRule="exact"/>
              <w:rPr>
                <w:sz w:val="20"/>
                <w:szCs w:val="20"/>
                <w:color w:val="auto"/>
              </w:rPr>
            </w:pPr>
            <w:r>
              <w:rPr>
                <w:rFonts w:ascii="Arial" w:cs="Arial" w:eastAsia="Arial" w:hAnsi="Arial"/>
                <w:sz w:val="14"/>
                <w:szCs w:val="14"/>
                <w:color w:val="auto"/>
                <w:w w:val="91"/>
              </w:rPr>
              <w:t>July 31, 2018</w:t>
            </w:r>
          </w:p>
        </w:tc>
        <w:tc>
          <w:tcPr>
            <w:tcW w:w="1820" w:type="dxa"/>
            <w:vAlign w:val="bottom"/>
            <w:tcBorders>
              <w:right w:val="single" w:sz="8" w:color="auto"/>
            </w:tcBorders>
            <w:shd w:val="clear" w:color="auto" w:fill="CCEBFF"/>
          </w:tcPr>
          <w:p>
            <w:pPr>
              <w:jc w:val="center"/>
              <w:ind w:right="8"/>
              <w:spacing w:after="0" w:line="149" w:lineRule="exact"/>
              <w:rPr>
                <w:sz w:val="20"/>
                <w:szCs w:val="20"/>
                <w:color w:val="auto"/>
              </w:rPr>
            </w:pPr>
            <w:r>
              <w:rPr>
                <w:rFonts w:ascii="Arial" w:cs="Arial" w:eastAsia="Arial" w:hAnsi="Arial"/>
                <w:sz w:val="14"/>
                <w:szCs w:val="14"/>
                <w:color w:val="auto"/>
                <w:w w:val="90"/>
              </w:rPr>
              <w:t>cash paid for 100% asset</w:t>
            </w:r>
          </w:p>
        </w:tc>
        <w:tc>
          <w:tcPr>
            <w:tcW w:w="220" w:type="dxa"/>
            <w:vAlign w:val="bottom"/>
            <w:shd w:val="clear" w:color="auto" w:fill="CCEBFF"/>
          </w:tcPr>
          <w:p>
            <w:pPr>
              <w:jc w:val="right"/>
              <w:ind w:right="15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shd w:val="clear" w:color="auto" w:fill="CCEBFF"/>
          </w:tcPr>
          <w:p>
            <w:pPr>
              <w:jc w:val="right"/>
              <w:ind w:right="28"/>
              <w:spacing w:after="0" w:line="149" w:lineRule="exact"/>
              <w:rPr>
                <w:sz w:val="20"/>
                <w:szCs w:val="20"/>
                <w:color w:val="auto"/>
              </w:rPr>
            </w:pPr>
            <w:r>
              <w:rPr>
                <w:rFonts w:ascii="Arial" w:cs="Arial" w:eastAsia="Arial" w:hAnsi="Arial"/>
                <w:sz w:val="14"/>
                <w:szCs w:val="14"/>
                <w:color w:val="auto"/>
              </w:rPr>
              <w:t>250</w:t>
            </w:r>
          </w:p>
        </w:tc>
        <w:tc>
          <w:tcPr>
            <w:tcW w:w="160" w:type="dxa"/>
            <w:vAlign w:val="bottom"/>
            <w:shd w:val="clear" w:color="auto" w:fill="CCEBFF"/>
          </w:tcPr>
          <w:p>
            <w:pPr>
              <w:jc w:val="right"/>
              <w:ind w:right="94"/>
              <w:spacing w:after="0"/>
              <w:rPr>
                <w:sz w:val="20"/>
                <w:szCs w:val="20"/>
                <w:color w:val="auto"/>
              </w:rPr>
            </w:pPr>
            <w:r>
              <w:rPr>
                <w:rFonts w:ascii="Arial" w:cs="Arial" w:eastAsia="Arial" w:hAnsi="Arial"/>
                <w:sz w:val="5"/>
                <w:szCs w:val="5"/>
                <w:color w:val="auto"/>
                <w:w w:val="70"/>
              </w:rPr>
              <w:t>$</w:t>
            </w:r>
          </w:p>
        </w:tc>
        <w:tc>
          <w:tcPr>
            <w:tcW w:w="1000" w:type="dxa"/>
            <w:vAlign w:val="bottom"/>
            <w:tcBorders>
              <w:right w:val="single" w:sz="8" w:color="auto"/>
            </w:tcBorders>
            <w:shd w:val="clear" w:color="auto" w:fill="CCEBFF"/>
          </w:tcPr>
          <w:p>
            <w:pPr>
              <w:jc w:val="right"/>
              <w:ind w:right="8"/>
              <w:spacing w:after="0" w:line="149" w:lineRule="exact"/>
              <w:rPr>
                <w:sz w:val="20"/>
                <w:szCs w:val="20"/>
                <w:color w:val="auto"/>
              </w:rPr>
            </w:pPr>
            <w:r>
              <w:rPr>
                <w:rFonts w:ascii="Arial" w:cs="Arial" w:eastAsia="Arial" w:hAnsi="Arial"/>
                <w:sz w:val="14"/>
                <w:szCs w:val="14"/>
                <w:color w:val="auto"/>
              </w:rPr>
              <w:t>766</w:t>
            </w:r>
          </w:p>
        </w:tc>
        <w:tc>
          <w:tcPr>
            <w:tcW w:w="720" w:type="dxa"/>
            <w:vAlign w:val="bottom"/>
            <w:tcBorders>
              <w:right w:val="single" w:sz="8" w:color="auto"/>
            </w:tcBorders>
            <w:shd w:val="clear" w:color="auto" w:fill="CCEBFF"/>
          </w:tcPr>
          <w:p>
            <w:pPr>
              <w:jc w:val="center"/>
              <w:spacing w:after="0" w:line="149" w:lineRule="exact"/>
              <w:rPr>
                <w:sz w:val="20"/>
                <w:szCs w:val="20"/>
                <w:color w:val="auto"/>
              </w:rPr>
            </w:pPr>
            <w:r>
              <w:rPr>
                <w:rFonts w:ascii="Arial" w:cs="Arial" w:eastAsia="Arial" w:hAnsi="Arial"/>
                <w:sz w:val="14"/>
                <w:szCs w:val="14"/>
                <w:color w:val="auto"/>
                <w:w w:val="87"/>
              </w:rPr>
              <w:t>West</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4"/>
                <w:szCs w:val="14"/>
                <w:color w:val="auto"/>
                <w:w w:val="94"/>
              </w:rPr>
              <w:t>The Pallet Place, LLC ("Pallet Place")</w:t>
            </w:r>
          </w:p>
        </w:tc>
        <w:tc>
          <w:tcPr>
            <w:tcW w:w="1500" w:type="dxa"/>
            <w:vAlign w:val="bottom"/>
            <w:tcBorders>
              <w:bottom w:val="single" w:sz="8" w:color="auto"/>
              <w:right w:val="single" w:sz="8" w:color="auto"/>
            </w:tcBorders>
            <w:shd w:val="clear" w:color="auto" w:fill="CCEBFF"/>
          </w:tcPr>
          <w:p>
            <w:pPr>
              <w:spacing w:after="0"/>
              <w:rPr>
                <w:sz w:val="14"/>
                <w:szCs w:val="14"/>
                <w:color w:val="auto"/>
              </w:rPr>
            </w:pPr>
          </w:p>
        </w:tc>
        <w:tc>
          <w:tcPr>
            <w:tcW w:w="18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4"/>
                <w:szCs w:val="14"/>
                <w:color w:val="auto"/>
                <w:w w:val="90"/>
              </w:rPr>
              <w:t>purchase</w:t>
            </w:r>
          </w:p>
        </w:tc>
        <w:tc>
          <w:tcPr>
            <w:tcW w:w="220" w:type="dxa"/>
            <w:vAlign w:val="bottom"/>
            <w:tcBorders>
              <w:bottom w:val="single" w:sz="8" w:color="auto"/>
            </w:tcBorders>
            <w:shd w:val="clear" w:color="auto" w:fill="CCEBFF"/>
          </w:tcPr>
          <w:p>
            <w:pPr>
              <w:spacing w:after="0"/>
              <w:rPr>
                <w:sz w:val="14"/>
                <w:szCs w:val="14"/>
                <w:color w:val="auto"/>
              </w:rPr>
            </w:pPr>
          </w:p>
        </w:tc>
        <w:tc>
          <w:tcPr>
            <w:tcW w:w="960" w:type="dxa"/>
            <w:vAlign w:val="bottom"/>
            <w:tcBorders>
              <w:bottom w:val="single" w:sz="8" w:color="auto"/>
              <w:right w:val="single" w:sz="8" w:color="auto"/>
            </w:tcBorders>
            <w:shd w:val="clear" w:color="auto" w:fill="CCEBFF"/>
          </w:tcPr>
          <w:p>
            <w:pPr>
              <w:spacing w:after="0"/>
              <w:rPr>
                <w:sz w:val="14"/>
                <w:szCs w:val="14"/>
                <w:color w:val="auto"/>
              </w:rPr>
            </w:pPr>
          </w:p>
        </w:tc>
        <w:tc>
          <w:tcPr>
            <w:tcW w:w="160" w:type="dxa"/>
            <w:vAlign w:val="bottom"/>
            <w:tcBorders>
              <w:bottom w:val="single" w:sz="8" w:color="auto"/>
            </w:tcBorders>
            <w:shd w:val="clear" w:color="auto" w:fill="CCEBFF"/>
          </w:tcPr>
          <w:p>
            <w:pPr>
              <w:spacing w:after="0"/>
              <w:rPr>
                <w:sz w:val="14"/>
                <w:szCs w:val="14"/>
                <w:color w:val="auto"/>
              </w:rPr>
            </w:pPr>
          </w:p>
        </w:tc>
        <w:tc>
          <w:tcPr>
            <w:tcW w:w="1000" w:type="dxa"/>
            <w:vAlign w:val="bottom"/>
            <w:tcBorders>
              <w:bottom w:val="single" w:sz="8" w:color="auto"/>
              <w:right w:val="single" w:sz="8" w:color="auto"/>
            </w:tcBorders>
            <w:shd w:val="clear" w:color="auto" w:fill="CCEBFF"/>
          </w:tcPr>
          <w:p>
            <w:pPr>
              <w:spacing w:after="0"/>
              <w:rPr>
                <w:sz w:val="14"/>
                <w:szCs w:val="14"/>
                <w:color w:val="auto"/>
              </w:rPr>
            </w:pPr>
          </w:p>
        </w:tc>
        <w:tc>
          <w:tcPr>
            <w:tcW w:w="720" w:type="dxa"/>
            <w:vAlign w:val="bottom"/>
            <w:tcBorders>
              <w:bottom w:val="single" w:sz="8" w:color="auto"/>
              <w:right w:val="single" w:sz="8" w:color="auto"/>
            </w:tcBorders>
            <w:shd w:val="clear" w:color="auto" w:fill="CCEB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680" w:type="dxa"/>
            <w:vAlign w:val="bottom"/>
            <w:tcBorders>
              <w:left w:val="single" w:sz="8" w:color="auto"/>
              <w:right w:val="single" w:sz="8" w:color="auto"/>
            </w:tcBorders>
            <w:vMerge w:val="continue"/>
            <w:shd w:val="clear" w:color="auto" w:fill="CCEBFF"/>
          </w:tcPr>
          <w:p>
            <w:pPr>
              <w:spacing w:after="0"/>
              <w:rPr>
                <w:sz w:val="10"/>
                <w:szCs w:val="10"/>
                <w:color w:val="auto"/>
              </w:rPr>
            </w:pPr>
          </w:p>
        </w:tc>
        <w:tc>
          <w:tcPr>
            <w:tcW w:w="6380" w:type="dxa"/>
            <w:vAlign w:val="bottom"/>
            <w:tcBorders>
              <w:right w:val="single" w:sz="8" w:color="auto"/>
            </w:tcBorders>
            <w:gridSpan w:val="7"/>
            <w:shd w:val="clear" w:color="auto" w:fill="CCEBFF"/>
          </w:tcPr>
          <w:p>
            <w:pPr>
              <w:spacing w:after="0" w:line="123" w:lineRule="exact"/>
              <w:rPr>
                <w:sz w:val="20"/>
                <w:szCs w:val="20"/>
                <w:color w:val="auto"/>
              </w:rPr>
            </w:pPr>
            <w:r>
              <w:rPr>
                <w:rFonts w:ascii="Arial" w:cs="Arial" w:eastAsia="Arial" w:hAnsi="Arial"/>
                <w:sz w:val="14"/>
                <w:szCs w:val="14"/>
                <w:color w:val="auto"/>
                <w:w w:val="95"/>
              </w:rPr>
              <w:t>A manufacturer and distributor of total packaging solutions in timber, crates, skids, and pallets. Pallet Place</w:t>
            </w: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right w:val="single" w:sz="8" w:color="auto"/>
            </w:tcBorders>
            <w:shd w:val="clear" w:color="auto" w:fill="CCEBFF"/>
          </w:tcPr>
          <w:p>
            <w:pPr>
              <w:spacing w:after="0"/>
              <w:rPr>
                <w:sz w:val="12"/>
                <w:szCs w:val="12"/>
                <w:color w:val="auto"/>
              </w:rPr>
            </w:pPr>
          </w:p>
        </w:tc>
        <w:tc>
          <w:tcPr>
            <w:tcW w:w="6380" w:type="dxa"/>
            <w:vAlign w:val="bottom"/>
            <w:tcBorders>
              <w:right w:val="single" w:sz="8" w:color="auto"/>
            </w:tcBorders>
            <w:gridSpan w:val="7"/>
            <w:shd w:val="clear" w:color="auto" w:fill="CCEBFF"/>
          </w:tcPr>
          <w:p>
            <w:pPr>
              <w:spacing w:after="0" w:line="149" w:lineRule="exact"/>
              <w:rPr>
                <w:sz w:val="20"/>
                <w:szCs w:val="20"/>
                <w:color w:val="auto"/>
              </w:rPr>
            </w:pPr>
            <w:r>
              <w:rPr>
                <w:rFonts w:ascii="Arial" w:cs="Arial" w:eastAsia="Arial" w:hAnsi="Arial"/>
                <w:sz w:val="14"/>
                <w:szCs w:val="14"/>
                <w:color w:val="auto"/>
              </w:rPr>
              <w:t>had annual sales of approximately $5 million. The acquisition of Pallet Place allows us to increase our</w:t>
            </w:r>
          </w:p>
        </w:tc>
        <w:tc>
          <w:tcPr>
            <w:tcW w:w="0" w:type="dxa"/>
            <w:vAlign w:val="bottom"/>
          </w:tcPr>
          <w:p>
            <w:pPr>
              <w:spacing w:after="0"/>
              <w:rPr>
                <w:sz w:val="1"/>
                <w:szCs w:val="1"/>
                <w:color w:val="auto"/>
              </w:rPr>
            </w:pPr>
          </w:p>
        </w:tc>
      </w:tr>
      <w:tr>
        <w:trPr>
          <w:trHeight w:val="174"/>
        </w:trPr>
        <w:tc>
          <w:tcPr>
            <w:tcW w:w="2680" w:type="dxa"/>
            <w:vAlign w:val="bottom"/>
            <w:tcBorders>
              <w:left w:val="single" w:sz="8" w:color="auto"/>
              <w:bottom w:val="single" w:sz="8" w:color="auto"/>
              <w:right w:val="single" w:sz="8" w:color="auto"/>
            </w:tcBorders>
            <w:shd w:val="clear" w:color="auto" w:fill="CCEBFF"/>
          </w:tcPr>
          <w:p>
            <w:pPr>
              <w:spacing w:after="0"/>
              <w:rPr>
                <w:sz w:val="15"/>
                <w:szCs w:val="15"/>
                <w:color w:val="auto"/>
              </w:rPr>
            </w:pPr>
          </w:p>
        </w:tc>
        <w:tc>
          <w:tcPr>
            <w:tcW w:w="6380" w:type="dxa"/>
            <w:vAlign w:val="bottom"/>
            <w:tcBorders>
              <w:bottom w:val="single" w:sz="8" w:color="auto"/>
              <w:right w:val="single" w:sz="8" w:color="auto"/>
            </w:tcBorders>
            <w:gridSpan w:val="7"/>
            <w:shd w:val="clear" w:color="auto" w:fill="CCEBFF"/>
          </w:tcPr>
          <w:p>
            <w:pPr>
              <w:spacing w:after="0"/>
              <w:rPr>
                <w:sz w:val="20"/>
                <w:szCs w:val="20"/>
                <w:color w:val="auto"/>
              </w:rPr>
            </w:pPr>
            <w:r>
              <w:rPr>
                <w:rFonts w:ascii="Arial" w:cs="Arial" w:eastAsia="Arial" w:hAnsi="Arial"/>
                <w:sz w:val="14"/>
                <w:szCs w:val="14"/>
                <w:color w:val="auto"/>
              </w:rPr>
              <w:t>industrial business and creates operating leverage by consolidating with another regional operation.</w:t>
            </w:r>
          </w:p>
        </w:tc>
        <w:tc>
          <w:tcPr>
            <w:tcW w:w="0" w:type="dxa"/>
            <w:vAlign w:val="bottom"/>
          </w:tcPr>
          <w:p>
            <w:pPr>
              <w:spacing w:after="0"/>
              <w:rPr>
                <w:sz w:val="1"/>
                <w:szCs w:val="1"/>
                <w:color w:val="auto"/>
              </w:rPr>
            </w:pPr>
          </w:p>
        </w:tc>
      </w:tr>
      <w:tr>
        <w:trPr>
          <w:trHeight w:val="130"/>
        </w:trPr>
        <w:tc>
          <w:tcPr>
            <w:tcW w:w="2680" w:type="dxa"/>
            <w:vAlign w:val="bottom"/>
            <w:tcBorders>
              <w:left w:val="single" w:sz="8" w:color="auto"/>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jc w:val="center"/>
              <w:ind w:right="8"/>
              <w:spacing w:after="0" w:line="130" w:lineRule="exact"/>
              <w:rPr>
                <w:sz w:val="20"/>
                <w:szCs w:val="20"/>
                <w:color w:val="auto"/>
              </w:rPr>
            </w:pPr>
            <w:r>
              <w:rPr>
                <w:rFonts w:ascii="Arial" w:cs="Arial" w:eastAsia="Arial" w:hAnsi="Arial"/>
                <w:sz w:val="14"/>
                <w:szCs w:val="14"/>
                <w:color w:val="auto"/>
                <w:w w:val="90"/>
              </w:rPr>
              <w:t>$23,866</w:t>
            </w:r>
          </w:p>
        </w:tc>
        <w:tc>
          <w:tcPr>
            <w:tcW w:w="22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June 1, 2018</w:t>
            </w:r>
          </w:p>
        </w:tc>
        <w:tc>
          <w:tcPr>
            <w:tcW w:w="18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0"/>
              </w:rPr>
              <w:t>cash paid for 100% asset</w:t>
            </w:r>
          </w:p>
        </w:tc>
        <w:tc>
          <w:tcPr>
            <w:tcW w:w="220" w:type="dxa"/>
            <w:vAlign w:val="bottom"/>
          </w:tcPr>
          <w:p>
            <w:pPr>
              <w:jc w:val="right"/>
              <w:ind w:right="15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12,497</w:t>
            </w:r>
          </w:p>
        </w:tc>
        <w:tc>
          <w:tcPr>
            <w:tcW w:w="160" w:type="dxa"/>
            <w:vAlign w:val="bottom"/>
          </w:tcPr>
          <w:p>
            <w:pPr>
              <w:jc w:val="right"/>
              <w:ind w:right="94"/>
              <w:spacing w:after="0"/>
              <w:rPr>
                <w:sz w:val="20"/>
                <w:szCs w:val="20"/>
                <w:color w:val="auto"/>
              </w:rPr>
            </w:pPr>
            <w:r>
              <w:rPr>
                <w:rFonts w:ascii="Arial" w:cs="Arial" w:eastAsia="Arial" w:hAnsi="Arial"/>
                <w:sz w:val="5"/>
                <w:szCs w:val="5"/>
                <w:color w:val="auto"/>
                <w:w w:val="70"/>
              </w:rPr>
              <w:t>$</w:t>
            </w:r>
          </w:p>
        </w:tc>
        <w:tc>
          <w:tcPr>
            <w:tcW w:w="100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11,369</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7"/>
              </w:rPr>
              <w:t>South</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North American Container Corporation</w:t>
            </w:r>
          </w:p>
        </w:tc>
        <w:tc>
          <w:tcPr>
            <w:tcW w:w="150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purchase</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680" w:type="dxa"/>
            <w:vAlign w:val="bottom"/>
            <w:tcBorders>
              <w:left w:val="single" w:sz="8" w:color="auto"/>
              <w:right w:val="single" w:sz="8" w:color="auto"/>
            </w:tcBorders>
            <w:vMerge w:val="continue"/>
          </w:tcPr>
          <w:p>
            <w:pPr>
              <w:spacing w:after="0"/>
              <w:rPr>
                <w:sz w:val="10"/>
                <w:szCs w:val="10"/>
                <w:color w:val="auto"/>
              </w:rPr>
            </w:pPr>
          </w:p>
        </w:tc>
        <w:tc>
          <w:tcPr>
            <w:tcW w:w="6380" w:type="dxa"/>
            <w:vAlign w:val="bottom"/>
            <w:tcBorders>
              <w:right w:val="single" w:sz="8" w:color="auto"/>
            </w:tcBorders>
            <w:gridSpan w:val="7"/>
          </w:tcPr>
          <w:p>
            <w:pPr>
              <w:spacing w:after="0" w:line="115" w:lineRule="exact"/>
              <w:rPr>
                <w:sz w:val="20"/>
                <w:szCs w:val="20"/>
                <w:color w:val="auto"/>
              </w:rPr>
            </w:pPr>
            <w:r>
              <w:rPr>
                <w:rFonts w:ascii="Arial" w:cs="Arial" w:eastAsia="Arial" w:hAnsi="Arial"/>
                <w:sz w:val="13"/>
                <w:szCs w:val="13"/>
                <w:color w:val="auto"/>
              </w:rPr>
              <w:t>A manufacturer of structural packaging products, including steel, corrugated and hardwood packaging.</w:t>
            </w:r>
          </w:p>
        </w:tc>
        <w:tc>
          <w:tcPr>
            <w:tcW w:w="0" w:type="dxa"/>
            <w:vAlign w:val="bottom"/>
          </w:tcPr>
          <w:p>
            <w:pPr>
              <w:spacing w:after="0"/>
              <w:rPr>
                <w:sz w:val="1"/>
                <w:szCs w:val="1"/>
                <w:color w:val="auto"/>
              </w:rPr>
            </w:pPr>
          </w:p>
        </w:tc>
      </w:tr>
      <w:tr>
        <w:trPr>
          <w:trHeight w:val="157"/>
        </w:trPr>
        <w:tc>
          <w:tcPr>
            <w:tcW w:w="26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rPr>
              <w:t>("NACC")</w:t>
            </w:r>
          </w:p>
        </w:tc>
        <w:tc>
          <w:tcPr>
            <w:tcW w:w="6380" w:type="dxa"/>
            <w:vAlign w:val="bottom"/>
            <w:tcBorders>
              <w:right w:val="single" w:sz="8" w:color="auto"/>
            </w:tcBorders>
            <w:gridSpan w:val="7"/>
          </w:tcPr>
          <w:p>
            <w:pPr>
              <w:spacing w:after="0" w:line="157" w:lineRule="exact"/>
              <w:rPr>
                <w:sz w:val="20"/>
                <w:szCs w:val="20"/>
                <w:color w:val="auto"/>
              </w:rPr>
            </w:pPr>
            <w:r>
              <w:rPr>
                <w:rFonts w:ascii="Arial" w:cs="Arial" w:eastAsia="Arial" w:hAnsi="Arial"/>
                <w:sz w:val="14"/>
                <w:szCs w:val="14"/>
                <w:color w:val="auto"/>
                <w:w w:val="98"/>
              </w:rPr>
              <w:t>NACC had annual sales of approximately $71 million. The acquisition of NACC allows us to enhance our</w:t>
            </w:r>
          </w:p>
        </w:tc>
        <w:tc>
          <w:tcPr>
            <w:tcW w:w="0" w:type="dxa"/>
            <w:vAlign w:val="bottom"/>
          </w:tcPr>
          <w:p>
            <w:pPr>
              <w:spacing w:after="0"/>
              <w:rPr>
                <w:sz w:val="1"/>
                <w:szCs w:val="1"/>
                <w:color w:val="auto"/>
              </w:rPr>
            </w:pPr>
          </w:p>
        </w:tc>
      </w:tr>
      <w:tr>
        <w:trPr>
          <w:trHeight w:val="174"/>
        </w:trPr>
        <w:tc>
          <w:tcPr>
            <w:tcW w:w="2680" w:type="dxa"/>
            <w:vAlign w:val="bottom"/>
            <w:tcBorders>
              <w:left w:val="single" w:sz="8" w:color="auto"/>
              <w:bottom w:val="single" w:sz="8" w:color="auto"/>
              <w:right w:val="single" w:sz="8" w:color="auto"/>
            </w:tcBorders>
          </w:tcPr>
          <w:p>
            <w:pPr>
              <w:spacing w:after="0"/>
              <w:rPr>
                <w:sz w:val="15"/>
                <w:szCs w:val="15"/>
                <w:color w:val="auto"/>
              </w:rPr>
            </w:pPr>
          </w:p>
        </w:tc>
        <w:tc>
          <w:tcPr>
            <w:tcW w:w="566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w w:val="94"/>
              </w:rPr>
              <w:t>presence in this region, expand our product offering, and serve customers more cost effectively.</w:t>
            </w:r>
          </w:p>
        </w:tc>
        <w:tc>
          <w:tcPr>
            <w:tcW w:w="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680" w:type="dxa"/>
            <w:vAlign w:val="bottom"/>
            <w:tcBorders>
              <w:left w:val="single" w:sz="8" w:color="auto"/>
              <w:right w:val="single" w:sz="8" w:color="auto"/>
            </w:tcBorders>
            <w:shd w:val="clear" w:color="auto" w:fill="CCEBFF"/>
          </w:tcPr>
          <w:p>
            <w:pPr>
              <w:spacing w:after="0"/>
              <w:rPr>
                <w:sz w:val="11"/>
                <w:szCs w:val="11"/>
                <w:color w:val="auto"/>
              </w:rPr>
            </w:pPr>
          </w:p>
        </w:tc>
        <w:tc>
          <w:tcPr>
            <w:tcW w:w="1500" w:type="dxa"/>
            <w:vAlign w:val="bottom"/>
            <w:tcBorders>
              <w:right w:val="single" w:sz="8" w:color="auto"/>
            </w:tcBorders>
            <w:shd w:val="clear" w:color="auto" w:fill="CCEBFF"/>
          </w:tcPr>
          <w:p>
            <w:pPr>
              <w:spacing w:after="0"/>
              <w:rPr>
                <w:sz w:val="11"/>
                <w:szCs w:val="11"/>
                <w:color w:val="auto"/>
              </w:rPr>
            </w:pPr>
          </w:p>
        </w:tc>
        <w:tc>
          <w:tcPr>
            <w:tcW w:w="1820" w:type="dxa"/>
            <w:vAlign w:val="bottom"/>
            <w:tcBorders>
              <w:right w:val="single" w:sz="8" w:color="auto"/>
            </w:tcBorders>
            <w:shd w:val="clear" w:color="auto" w:fill="CCEBFF"/>
          </w:tcPr>
          <w:p>
            <w:pPr>
              <w:jc w:val="center"/>
              <w:spacing w:after="0" w:line="130" w:lineRule="exact"/>
              <w:rPr>
                <w:sz w:val="20"/>
                <w:szCs w:val="20"/>
                <w:color w:val="auto"/>
              </w:rPr>
            </w:pPr>
            <w:r>
              <w:rPr>
                <w:rFonts w:ascii="Arial" w:cs="Arial" w:eastAsia="Arial" w:hAnsi="Arial"/>
                <w:sz w:val="14"/>
                <w:szCs w:val="14"/>
                <w:color w:val="auto"/>
                <w:w w:val="93"/>
              </w:rPr>
              <w:t>$3,890</w:t>
            </w:r>
          </w:p>
        </w:tc>
        <w:tc>
          <w:tcPr>
            <w:tcW w:w="220" w:type="dxa"/>
            <w:vAlign w:val="bottom"/>
            <w:shd w:val="clear" w:color="auto" w:fill="CCEBFF"/>
          </w:tcPr>
          <w:p>
            <w:pPr>
              <w:spacing w:after="0"/>
              <w:rPr>
                <w:sz w:val="11"/>
                <w:szCs w:val="11"/>
                <w:color w:val="auto"/>
              </w:rPr>
            </w:pPr>
          </w:p>
        </w:tc>
        <w:tc>
          <w:tcPr>
            <w:tcW w:w="960" w:type="dxa"/>
            <w:vAlign w:val="bottom"/>
            <w:tcBorders>
              <w:right w:val="single" w:sz="8" w:color="auto"/>
            </w:tcBorders>
            <w:shd w:val="clear" w:color="auto" w:fill="CCEBFF"/>
          </w:tcPr>
          <w:p>
            <w:pPr>
              <w:spacing w:after="0"/>
              <w:rPr>
                <w:sz w:val="11"/>
                <w:szCs w:val="11"/>
                <w:color w:val="auto"/>
              </w:rPr>
            </w:pPr>
          </w:p>
        </w:tc>
        <w:tc>
          <w:tcPr>
            <w:tcW w:w="160" w:type="dxa"/>
            <w:vAlign w:val="bottom"/>
            <w:shd w:val="clear" w:color="auto" w:fill="CCEBFF"/>
          </w:tcPr>
          <w:p>
            <w:pPr>
              <w:spacing w:after="0"/>
              <w:rPr>
                <w:sz w:val="11"/>
                <w:szCs w:val="11"/>
                <w:color w:val="auto"/>
              </w:rPr>
            </w:pPr>
          </w:p>
        </w:tc>
        <w:tc>
          <w:tcPr>
            <w:tcW w:w="1000" w:type="dxa"/>
            <w:vAlign w:val="bottom"/>
            <w:tcBorders>
              <w:right w:val="single" w:sz="8" w:color="auto"/>
            </w:tcBorders>
            <w:shd w:val="clear" w:color="auto" w:fill="CCEBFF"/>
          </w:tcPr>
          <w:p>
            <w:pPr>
              <w:spacing w:after="0"/>
              <w:rPr>
                <w:sz w:val="11"/>
                <w:szCs w:val="11"/>
                <w:color w:val="auto"/>
              </w:rPr>
            </w:pPr>
          </w:p>
        </w:tc>
        <w:tc>
          <w:tcPr>
            <w:tcW w:w="720" w:type="dxa"/>
            <w:vAlign w:val="bottom"/>
            <w:tcBorders>
              <w:right w:val="single" w:sz="8" w:color="auto"/>
            </w:tcBorders>
            <w:shd w:val="clear" w:color="auto" w:fill="CCEB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right w:val="single" w:sz="8" w:color="auto"/>
            </w:tcBorders>
            <w:shd w:val="clear" w:color="auto" w:fill="CCEBFF"/>
          </w:tcPr>
          <w:p>
            <w:pPr>
              <w:spacing w:after="0"/>
              <w:rPr>
                <w:sz w:val="12"/>
                <w:szCs w:val="12"/>
                <w:color w:val="auto"/>
              </w:rPr>
            </w:pPr>
          </w:p>
        </w:tc>
        <w:tc>
          <w:tcPr>
            <w:tcW w:w="1500" w:type="dxa"/>
            <w:vAlign w:val="bottom"/>
            <w:tcBorders>
              <w:right w:val="single" w:sz="8" w:color="auto"/>
            </w:tcBorders>
            <w:shd w:val="clear" w:color="auto" w:fill="CCEBFF"/>
          </w:tcPr>
          <w:p>
            <w:pPr>
              <w:jc w:val="center"/>
              <w:spacing w:after="0" w:line="149" w:lineRule="exact"/>
              <w:rPr>
                <w:sz w:val="20"/>
                <w:szCs w:val="20"/>
                <w:color w:val="auto"/>
              </w:rPr>
            </w:pPr>
            <w:r>
              <w:rPr>
                <w:rFonts w:ascii="Arial" w:cs="Arial" w:eastAsia="Arial" w:hAnsi="Arial"/>
                <w:sz w:val="14"/>
                <w:szCs w:val="14"/>
                <w:color w:val="auto"/>
                <w:w w:val="96"/>
              </w:rPr>
              <w:t>April 9, 2018</w:t>
            </w:r>
          </w:p>
        </w:tc>
        <w:tc>
          <w:tcPr>
            <w:tcW w:w="1820" w:type="dxa"/>
            <w:vAlign w:val="bottom"/>
            <w:tcBorders>
              <w:right w:val="single" w:sz="8" w:color="auto"/>
            </w:tcBorders>
            <w:shd w:val="clear" w:color="auto" w:fill="CCEBFF"/>
          </w:tcPr>
          <w:p>
            <w:pPr>
              <w:jc w:val="center"/>
              <w:ind w:right="8"/>
              <w:spacing w:after="0" w:line="149" w:lineRule="exact"/>
              <w:rPr>
                <w:sz w:val="20"/>
                <w:szCs w:val="20"/>
                <w:color w:val="auto"/>
              </w:rPr>
            </w:pPr>
            <w:r>
              <w:rPr>
                <w:rFonts w:ascii="Arial" w:cs="Arial" w:eastAsia="Arial" w:hAnsi="Arial"/>
                <w:sz w:val="14"/>
                <w:szCs w:val="14"/>
                <w:color w:val="auto"/>
                <w:w w:val="90"/>
              </w:rPr>
              <w:t>cash paid for 100% asset</w:t>
            </w:r>
          </w:p>
        </w:tc>
        <w:tc>
          <w:tcPr>
            <w:tcW w:w="220" w:type="dxa"/>
            <w:vAlign w:val="bottom"/>
            <w:shd w:val="clear" w:color="auto" w:fill="CCEBFF"/>
          </w:tcPr>
          <w:p>
            <w:pPr>
              <w:jc w:val="right"/>
              <w:ind w:right="15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shd w:val="clear" w:color="auto" w:fill="CCEBFF"/>
          </w:tcPr>
          <w:p>
            <w:pPr>
              <w:jc w:val="right"/>
              <w:ind w:right="28"/>
              <w:spacing w:after="0" w:line="149" w:lineRule="exact"/>
              <w:rPr>
                <w:sz w:val="20"/>
                <w:szCs w:val="20"/>
                <w:color w:val="auto"/>
              </w:rPr>
            </w:pPr>
            <w:r>
              <w:rPr>
                <w:rFonts w:ascii="Arial" w:cs="Arial" w:eastAsia="Arial" w:hAnsi="Arial"/>
                <w:sz w:val="14"/>
                <w:szCs w:val="14"/>
                <w:color w:val="auto"/>
              </w:rPr>
              <w:t>2,235</w:t>
            </w:r>
          </w:p>
        </w:tc>
        <w:tc>
          <w:tcPr>
            <w:tcW w:w="160" w:type="dxa"/>
            <w:vAlign w:val="bottom"/>
            <w:shd w:val="clear" w:color="auto" w:fill="CCEBFF"/>
          </w:tcPr>
          <w:p>
            <w:pPr>
              <w:jc w:val="right"/>
              <w:ind w:right="94"/>
              <w:spacing w:after="0"/>
              <w:rPr>
                <w:sz w:val="20"/>
                <w:szCs w:val="20"/>
                <w:color w:val="auto"/>
              </w:rPr>
            </w:pPr>
            <w:r>
              <w:rPr>
                <w:rFonts w:ascii="Arial" w:cs="Arial" w:eastAsia="Arial" w:hAnsi="Arial"/>
                <w:sz w:val="5"/>
                <w:szCs w:val="5"/>
                <w:color w:val="auto"/>
                <w:w w:val="70"/>
              </w:rPr>
              <w:t>$</w:t>
            </w:r>
          </w:p>
        </w:tc>
        <w:tc>
          <w:tcPr>
            <w:tcW w:w="1000" w:type="dxa"/>
            <w:vAlign w:val="bottom"/>
            <w:tcBorders>
              <w:right w:val="single" w:sz="8" w:color="auto"/>
            </w:tcBorders>
            <w:shd w:val="clear" w:color="auto" w:fill="CCEBFF"/>
          </w:tcPr>
          <w:p>
            <w:pPr>
              <w:jc w:val="right"/>
              <w:ind w:right="8"/>
              <w:spacing w:after="0" w:line="149" w:lineRule="exact"/>
              <w:rPr>
                <w:sz w:val="20"/>
                <w:szCs w:val="20"/>
                <w:color w:val="auto"/>
              </w:rPr>
            </w:pPr>
            <w:r>
              <w:rPr>
                <w:rFonts w:ascii="Arial" w:cs="Arial" w:eastAsia="Arial" w:hAnsi="Arial"/>
                <w:sz w:val="14"/>
                <w:szCs w:val="14"/>
                <w:color w:val="auto"/>
              </w:rPr>
              <w:t>1,655</w:t>
            </w:r>
          </w:p>
        </w:tc>
        <w:tc>
          <w:tcPr>
            <w:tcW w:w="720" w:type="dxa"/>
            <w:vAlign w:val="bottom"/>
            <w:tcBorders>
              <w:right w:val="single" w:sz="8" w:color="auto"/>
            </w:tcBorders>
            <w:shd w:val="clear" w:color="auto" w:fill="CCEBFF"/>
          </w:tcPr>
          <w:p>
            <w:pPr>
              <w:jc w:val="center"/>
              <w:spacing w:after="0" w:line="149" w:lineRule="exact"/>
              <w:rPr>
                <w:sz w:val="20"/>
                <w:szCs w:val="20"/>
                <w:color w:val="auto"/>
              </w:rPr>
            </w:pPr>
            <w:r>
              <w:rPr>
                <w:rFonts w:ascii="Arial" w:cs="Arial" w:eastAsia="Arial" w:hAnsi="Arial"/>
                <w:sz w:val="14"/>
                <w:szCs w:val="14"/>
                <w:color w:val="auto"/>
                <w:w w:val="87"/>
              </w:rPr>
              <w:t>West</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4"/>
                <w:szCs w:val="14"/>
                <w:color w:val="auto"/>
                <w:w w:val="93"/>
              </w:rPr>
              <w:t>Fontana Wood Products ("Fontana")</w:t>
            </w:r>
          </w:p>
        </w:tc>
        <w:tc>
          <w:tcPr>
            <w:tcW w:w="1500" w:type="dxa"/>
            <w:vAlign w:val="bottom"/>
            <w:tcBorders>
              <w:bottom w:val="single" w:sz="8" w:color="auto"/>
              <w:right w:val="single" w:sz="8" w:color="auto"/>
            </w:tcBorders>
            <w:shd w:val="clear" w:color="auto" w:fill="CCEBFF"/>
          </w:tcPr>
          <w:p>
            <w:pPr>
              <w:spacing w:after="0"/>
              <w:rPr>
                <w:sz w:val="14"/>
                <w:szCs w:val="14"/>
                <w:color w:val="auto"/>
              </w:rPr>
            </w:pPr>
          </w:p>
        </w:tc>
        <w:tc>
          <w:tcPr>
            <w:tcW w:w="18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4"/>
                <w:szCs w:val="14"/>
                <w:color w:val="auto"/>
                <w:w w:val="90"/>
              </w:rPr>
              <w:t>purchase</w:t>
            </w:r>
          </w:p>
        </w:tc>
        <w:tc>
          <w:tcPr>
            <w:tcW w:w="220" w:type="dxa"/>
            <w:vAlign w:val="bottom"/>
            <w:tcBorders>
              <w:bottom w:val="single" w:sz="8" w:color="auto"/>
            </w:tcBorders>
            <w:shd w:val="clear" w:color="auto" w:fill="CCEBFF"/>
          </w:tcPr>
          <w:p>
            <w:pPr>
              <w:spacing w:after="0"/>
              <w:rPr>
                <w:sz w:val="14"/>
                <w:szCs w:val="14"/>
                <w:color w:val="auto"/>
              </w:rPr>
            </w:pPr>
          </w:p>
        </w:tc>
        <w:tc>
          <w:tcPr>
            <w:tcW w:w="960" w:type="dxa"/>
            <w:vAlign w:val="bottom"/>
            <w:tcBorders>
              <w:bottom w:val="single" w:sz="8" w:color="auto"/>
              <w:right w:val="single" w:sz="8" w:color="auto"/>
            </w:tcBorders>
            <w:shd w:val="clear" w:color="auto" w:fill="CCEBFF"/>
          </w:tcPr>
          <w:p>
            <w:pPr>
              <w:spacing w:after="0"/>
              <w:rPr>
                <w:sz w:val="14"/>
                <w:szCs w:val="14"/>
                <w:color w:val="auto"/>
              </w:rPr>
            </w:pPr>
          </w:p>
        </w:tc>
        <w:tc>
          <w:tcPr>
            <w:tcW w:w="160" w:type="dxa"/>
            <w:vAlign w:val="bottom"/>
            <w:tcBorders>
              <w:bottom w:val="single" w:sz="8" w:color="auto"/>
            </w:tcBorders>
            <w:shd w:val="clear" w:color="auto" w:fill="CCEBFF"/>
          </w:tcPr>
          <w:p>
            <w:pPr>
              <w:spacing w:after="0"/>
              <w:rPr>
                <w:sz w:val="14"/>
                <w:szCs w:val="14"/>
                <w:color w:val="auto"/>
              </w:rPr>
            </w:pPr>
          </w:p>
        </w:tc>
        <w:tc>
          <w:tcPr>
            <w:tcW w:w="1000" w:type="dxa"/>
            <w:vAlign w:val="bottom"/>
            <w:tcBorders>
              <w:bottom w:val="single" w:sz="8" w:color="auto"/>
              <w:right w:val="single" w:sz="8" w:color="auto"/>
            </w:tcBorders>
            <w:shd w:val="clear" w:color="auto" w:fill="CCEBFF"/>
          </w:tcPr>
          <w:p>
            <w:pPr>
              <w:spacing w:after="0"/>
              <w:rPr>
                <w:sz w:val="14"/>
                <w:szCs w:val="14"/>
                <w:color w:val="auto"/>
              </w:rPr>
            </w:pPr>
          </w:p>
        </w:tc>
        <w:tc>
          <w:tcPr>
            <w:tcW w:w="720" w:type="dxa"/>
            <w:vAlign w:val="bottom"/>
            <w:tcBorders>
              <w:bottom w:val="single" w:sz="8" w:color="auto"/>
              <w:right w:val="single" w:sz="8" w:color="auto"/>
            </w:tcBorders>
            <w:shd w:val="clear" w:color="auto" w:fill="CCEB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680" w:type="dxa"/>
            <w:vAlign w:val="bottom"/>
            <w:tcBorders>
              <w:left w:val="single" w:sz="8" w:color="auto"/>
              <w:right w:val="single" w:sz="8" w:color="auto"/>
            </w:tcBorders>
            <w:vMerge w:val="continue"/>
            <w:shd w:val="clear" w:color="auto" w:fill="CCEBFF"/>
          </w:tcPr>
          <w:p>
            <w:pPr>
              <w:spacing w:after="0"/>
              <w:rPr>
                <w:sz w:val="10"/>
                <w:szCs w:val="10"/>
                <w:color w:val="auto"/>
              </w:rPr>
            </w:pPr>
          </w:p>
        </w:tc>
        <w:tc>
          <w:tcPr>
            <w:tcW w:w="6380" w:type="dxa"/>
            <w:vAlign w:val="bottom"/>
            <w:tcBorders>
              <w:right w:val="single" w:sz="8" w:color="auto"/>
            </w:tcBorders>
            <w:gridSpan w:val="7"/>
            <w:shd w:val="clear" w:color="auto" w:fill="CCEBFF"/>
          </w:tcPr>
          <w:p>
            <w:pPr>
              <w:spacing w:after="0" w:line="123" w:lineRule="exact"/>
              <w:rPr>
                <w:sz w:val="20"/>
                <w:szCs w:val="20"/>
                <w:color w:val="auto"/>
              </w:rPr>
            </w:pPr>
            <w:r>
              <w:rPr>
                <w:rFonts w:ascii="Arial" w:cs="Arial" w:eastAsia="Arial" w:hAnsi="Arial"/>
                <w:sz w:val="14"/>
                <w:szCs w:val="14"/>
                <w:color w:val="auto"/>
                <w:w w:val="95"/>
              </w:rPr>
              <w:t>A manufacturer and distributor of lumber and trusses in the Southern California region. Fontana had annual</w:t>
            </w: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right w:val="single" w:sz="8" w:color="auto"/>
            </w:tcBorders>
            <w:shd w:val="clear" w:color="auto" w:fill="CCEBFF"/>
          </w:tcPr>
          <w:p>
            <w:pPr>
              <w:spacing w:after="0"/>
              <w:rPr>
                <w:sz w:val="12"/>
                <w:szCs w:val="12"/>
                <w:color w:val="auto"/>
              </w:rPr>
            </w:pPr>
          </w:p>
        </w:tc>
        <w:tc>
          <w:tcPr>
            <w:tcW w:w="6380" w:type="dxa"/>
            <w:vAlign w:val="bottom"/>
            <w:tcBorders>
              <w:right w:val="single" w:sz="8" w:color="auto"/>
            </w:tcBorders>
            <w:gridSpan w:val="7"/>
            <w:shd w:val="clear" w:color="auto" w:fill="CCEBFF"/>
          </w:tcPr>
          <w:p>
            <w:pPr>
              <w:spacing w:after="0" w:line="149" w:lineRule="exact"/>
              <w:rPr>
                <w:sz w:val="20"/>
                <w:szCs w:val="20"/>
                <w:color w:val="auto"/>
              </w:rPr>
            </w:pPr>
            <w:r>
              <w:rPr>
                <w:rFonts w:ascii="Arial" w:cs="Arial" w:eastAsia="Arial" w:hAnsi="Arial"/>
                <w:sz w:val="14"/>
                <w:szCs w:val="14"/>
                <w:color w:val="auto"/>
              </w:rPr>
              <w:t>sales of approximately $12 million. The acquisition of Fontana allows us to expand our manufactured</w:t>
            </w:r>
          </w:p>
        </w:tc>
        <w:tc>
          <w:tcPr>
            <w:tcW w:w="0" w:type="dxa"/>
            <w:vAlign w:val="bottom"/>
          </w:tcPr>
          <w:p>
            <w:pPr>
              <w:spacing w:after="0"/>
              <w:rPr>
                <w:sz w:val="1"/>
                <w:szCs w:val="1"/>
                <w:color w:val="auto"/>
              </w:rPr>
            </w:pPr>
          </w:p>
        </w:tc>
      </w:tr>
      <w:tr>
        <w:trPr>
          <w:trHeight w:val="174"/>
        </w:trPr>
        <w:tc>
          <w:tcPr>
            <w:tcW w:w="2680" w:type="dxa"/>
            <w:vAlign w:val="bottom"/>
            <w:tcBorders>
              <w:left w:val="single" w:sz="8" w:color="auto"/>
              <w:bottom w:val="single" w:sz="8" w:color="auto"/>
              <w:right w:val="single" w:sz="8" w:color="auto"/>
            </w:tcBorders>
            <w:shd w:val="clear" w:color="auto" w:fill="CCEBFF"/>
          </w:tcPr>
          <w:p>
            <w:pPr>
              <w:spacing w:after="0"/>
              <w:rPr>
                <w:sz w:val="15"/>
                <w:szCs w:val="15"/>
                <w:color w:val="auto"/>
              </w:rPr>
            </w:pPr>
          </w:p>
        </w:tc>
        <w:tc>
          <w:tcPr>
            <w:tcW w:w="5660" w:type="dxa"/>
            <w:vAlign w:val="bottom"/>
            <w:tcBorders>
              <w:bottom w:val="single" w:sz="8" w:color="auto"/>
              <w:right w:val="single" w:sz="8" w:color="CCEBFF"/>
            </w:tcBorders>
            <w:gridSpan w:val="6"/>
            <w:shd w:val="clear" w:color="auto" w:fill="CCEBFF"/>
          </w:tcPr>
          <w:p>
            <w:pPr>
              <w:spacing w:after="0"/>
              <w:rPr>
                <w:sz w:val="20"/>
                <w:szCs w:val="20"/>
                <w:color w:val="auto"/>
              </w:rPr>
            </w:pPr>
            <w:r>
              <w:rPr>
                <w:rFonts w:ascii="Arial" w:cs="Arial" w:eastAsia="Arial" w:hAnsi="Arial"/>
                <w:sz w:val="14"/>
                <w:szCs w:val="14"/>
                <w:color w:val="auto"/>
                <w:w w:val="92"/>
              </w:rPr>
              <w:t>housing business and creates operating leverage by consolidating with another regional operation.</w:t>
            </w:r>
          </w:p>
        </w:tc>
        <w:tc>
          <w:tcPr>
            <w:tcW w:w="720" w:type="dxa"/>
            <w:vAlign w:val="bottom"/>
            <w:tcBorders>
              <w:bottom w:val="single" w:sz="8" w:color="auto"/>
              <w:right w:val="single" w:sz="8" w:color="auto"/>
            </w:tcBorders>
            <w:shd w:val="clear" w:color="auto" w:fill="CCEB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680" w:type="dxa"/>
            <w:vAlign w:val="bottom"/>
            <w:tcBorders>
              <w:left w:val="single" w:sz="8" w:color="auto"/>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color w:val="auto"/>
                <w:w w:val="93"/>
              </w:rPr>
              <w:t>$1,347</w:t>
            </w:r>
          </w:p>
        </w:tc>
        <w:tc>
          <w:tcPr>
            <w:tcW w:w="22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April 3, 2018</w:t>
            </w:r>
          </w:p>
        </w:tc>
        <w:tc>
          <w:tcPr>
            <w:tcW w:w="18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0"/>
              </w:rPr>
              <w:t>cash paid for 100% asset</w:t>
            </w:r>
          </w:p>
        </w:tc>
        <w:tc>
          <w:tcPr>
            <w:tcW w:w="220" w:type="dxa"/>
            <w:vAlign w:val="bottom"/>
          </w:tcPr>
          <w:p>
            <w:pPr>
              <w:jc w:val="right"/>
              <w:ind w:right="15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1,287</w:t>
            </w:r>
          </w:p>
        </w:tc>
        <w:tc>
          <w:tcPr>
            <w:tcW w:w="160" w:type="dxa"/>
            <w:vAlign w:val="bottom"/>
          </w:tcPr>
          <w:p>
            <w:pPr>
              <w:jc w:val="right"/>
              <w:ind w:right="94"/>
              <w:spacing w:after="0"/>
              <w:rPr>
                <w:sz w:val="20"/>
                <w:szCs w:val="20"/>
                <w:color w:val="auto"/>
              </w:rPr>
            </w:pPr>
            <w:r>
              <w:rPr>
                <w:rFonts w:ascii="Arial" w:cs="Arial" w:eastAsia="Arial" w:hAnsi="Arial"/>
                <w:sz w:val="5"/>
                <w:szCs w:val="5"/>
                <w:color w:val="auto"/>
                <w:w w:val="70"/>
              </w:rPr>
              <w:t>$</w:t>
            </w:r>
          </w:p>
        </w:tc>
        <w:tc>
          <w:tcPr>
            <w:tcW w:w="100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60</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All Other</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Expert Packaging ("Expert")</w:t>
            </w:r>
          </w:p>
        </w:tc>
        <w:tc>
          <w:tcPr>
            <w:tcW w:w="150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purchase</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680" w:type="dxa"/>
            <w:vAlign w:val="bottom"/>
            <w:tcBorders>
              <w:left w:val="single" w:sz="8" w:color="auto"/>
              <w:right w:val="single" w:sz="8" w:color="auto"/>
            </w:tcBorders>
            <w:vMerge w:val="continue"/>
          </w:tcPr>
          <w:p>
            <w:pPr>
              <w:spacing w:after="0"/>
              <w:rPr>
                <w:sz w:val="10"/>
                <w:szCs w:val="10"/>
                <w:color w:val="auto"/>
              </w:rPr>
            </w:pPr>
          </w:p>
        </w:tc>
        <w:tc>
          <w:tcPr>
            <w:tcW w:w="6380" w:type="dxa"/>
            <w:vAlign w:val="bottom"/>
            <w:tcBorders>
              <w:right w:val="single" w:sz="8" w:color="auto"/>
            </w:tcBorders>
            <w:gridSpan w:val="7"/>
          </w:tcPr>
          <w:p>
            <w:pPr>
              <w:spacing w:after="0" w:line="123" w:lineRule="exact"/>
              <w:rPr>
                <w:sz w:val="20"/>
                <w:szCs w:val="20"/>
                <w:color w:val="auto"/>
              </w:rPr>
            </w:pPr>
            <w:r>
              <w:rPr>
                <w:rFonts w:ascii="Arial" w:cs="Arial" w:eastAsia="Arial" w:hAnsi="Arial"/>
                <w:sz w:val="14"/>
                <w:szCs w:val="14"/>
                <w:color w:val="auto"/>
                <w:w w:val="96"/>
              </w:rPr>
              <w:t>A manufacturer and distributor of total packaging solutions in timber, crates, pallets, and skids. Expert had</w:t>
            </w: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right w:val="single" w:sz="8" w:color="auto"/>
            </w:tcBorders>
          </w:tcPr>
          <w:p>
            <w:pPr>
              <w:spacing w:after="0"/>
              <w:rPr>
                <w:sz w:val="12"/>
                <w:szCs w:val="12"/>
                <w:color w:val="auto"/>
              </w:rPr>
            </w:pPr>
          </w:p>
        </w:tc>
        <w:tc>
          <w:tcPr>
            <w:tcW w:w="6380" w:type="dxa"/>
            <w:vAlign w:val="bottom"/>
            <w:tcBorders>
              <w:right w:val="single" w:sz="8" w:color="auto"/>
            </w:tcBorders>
            <w:gridSpan w:val="7"/>
          </w:tcPr>
          <w:p>
            <w:pPr>
              <w:spacing w:after="0" w:line="149" w:lineRule="exact"/>
              <w:rPr>
                <w:sz w:val="20"/>
                <w:szCs w:val="20"/>
                <w:color w:val="auto"/>
              </w:rPr>
            </w:pPr>
            <w:r>
              <w:rPr>
                <w:rFonts w:ascii="Arial" w:cs="Arial" w:eastAsia="Arial" w:hAnsi="Arial"/>
                <w:sz w:val="14"/>
                <w:szCs w:val="14"/>
                <w:color w:val="auto"/>
                <w:w w:val="94"/>
              </w:rPr>
              <w:t>annual sales of approximately $3.6 million. The acquisition of Expert allows us to make progress on our goal</w:t>
            </w:r>
          </w:p>
        </w:tc>
        <w:tc>
          <w:tcPr>
            <w:tcW w:w="0" w:type="dxa"/>
            <w:vAlign w:val="bottom"/>
          </w:tcPr>
          <w:p>
            <w:pPr>
              <w:spacing w:after="0"/>
              <w:rPr>
                <w:sz w:val="1"/>
                <w:szCs w:val="1"/>
                <w:color w:val="auto"/>
              </w:rPr>
            </w:pPr>
          </w:p>
        </w:tc>
      </w:tr>
      <w:tr>
        <w:trPr>
          <w:trHeight w:val="174"/>
        </w:trPr>
        <w:tc>
          <w:tcPr>
            <w:tcW w:w="2680" w:type="dxa"/>
            <w:vAlign w:val="bottom"/>
            <w:tcBorders>
              <w:left w:val="single" w:sz="8" w:color="auto"/>
              <w:bottom w:val="single" w:sz="8" w:color="auto"/>
              <w:right w:val="single" w:sz="8" w:color="auto"/>
            </w:tcBorders>
          </w:tcPr>
          <w:p>
            <w:pPr>
              <w:spacing w:after="0"/>
              <w:rPr>
                <w:sz w:val="15"/>
                <w:szCs w:val="15"/>
                <w:color w:val="auto"/>
              </w:rPr>
            </w:pPr>
          </w:p>
        </w:tc>
        <w:tc>
          <w:tcPr>
            <w:tcW w:w="3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9"/>
              </w:rPr>
              <w:t>of becoming a global provider of packaging solutions.</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680" w:type="dxa"/>
            <w:vAlign w:val="bottom"/>
            <w:tcBorders>
              <w:left w:val="single" w:sz="8" w:color="auto"/>
              <w:right w:val="single" w:sz="8" w:color="auto"/>
            </w:tcBorders>
            <w:shd w:val="clear" w:color="auto" w:fill="CCEBFF"/>
          </w:tcPr>
          <w:p>
            <w:pPr>
              <w:spacing w:after="0"/>
              <w:rPr>
                <w:sz w:val="11"/>
                <w:szCs w:val="11"/>
                <w:color w:val="auto"/>
              </w:rPr>
            </w:pPr>
          </w:p>
        </w:tc>
        <w:tc>
          <w:tcPr>
            <w:tcW w:w="1500" w:type="dxa"/>
            <w:vAlign w:val="bottom"/>
            <w:tcBorders>
              <w:right w:val="single" w:sz="8" w:color="auto"/>
            </w:tcBorders>
            <w:shd w:val="clear" w:color="auto" w:fill="CCEBFF"/>
          </w:tcPr>
          <w:p>
            <w:pPr>
              <w:spacing w:after="0"/>
              <w:rPr>
                <w:sz w:val="11"/>
                <w:szCs w:val="11"/>
                <w:color w:val="auto"/>
              </w:rPr>
            </w:pPr>
          </w:p>
        </w:tc>
        <w:tc>
          <w:tcPr>
            <w:tcW w:w="1820" w:type="dxa"/>
            <w:vAlign w:val="bottom"/>
            <w:tcBorders>
              <w:right w:val="single" w:sz="8" w:color="auto"/>
            </w:tcBorders>
            <w:shd w:val="clear" w:color="auto" w:fill="CCEBFF"/>
          </w:tcPr>
          <w:p>
            <w:pPr>
              <w:jc w:val="center"/>
              <w:spacing w:after="0" w:line="130" w:lineRule="exact"/>
              <w:rPr>
                <w:sz w:val="20"/>
                <w:szCs w:val="20"/>
                <w:color w:val="auto"/>
              </w:rPr>
            </w:pPr>
            <w:r>
              <w:rPr>
                <w:rFonts w:ascii="Arial" w:cs="Arial" w:eastAsia="Arial" w:hAnsi="Arial"/>
                <w:sz w:val="14"/>
                <w:szCs w:val="14"/>
                <w:color w:val="auto"/>
                <w:w w:val="93"/>
              </w:rPr>
              <w:t>$2,942</w:t>
            </w:r>
          </w:p>
        </w:tc>
        <w:tc>
          <w:tcPr>
            <w:tcW w:w="220" w:type="dxa"/>
            <w:vAlign w:val="bottom"/>
            <w:shd w:val="clear" w:color="auto" w:fill="CCEBFF"/>
          </w:tcPr>
          <w:p>
            <w:pPr>
              <w:spacing w:after="0"/>
              <w:rPr>
                <w:sz w:val="11"/>
                <w:szCs w:val="11"/>
                <w:color w:val="auto"/>
              </w:rPr>
            </w:pPr>
          </w:p>
        </w:tc>
        <w:tc>
          <w:tcPr>
            <w:tcW w:w="960" w:type="dxa"/>
            <w:vAlign w:val="bottom"/>
            <w:tcBorders>
              <w:right w:val="single" w:sz="8" w:color="auto"/>
            </w:tcBorders>
            <w:shd w:val="clear" w:color="auto" w:fill="CCEBFF"/>
          </w:tcPr>
          <w:p>
            <w:pPr>
              <w:spacing w:after="0"/>
              <w:rPr>
                <w:sz w:val="11"/>
                <w:szCs w:val="11"/>
                <w:color w:val="auto"/>
              </w:rPr>
            </w:pPr>
          </w:p>
        </w:tc>
        <w:tc>
          <w:tcPr>
            <w:tcW w:w="160" w:type="dxa"/>
            <w:vAlign w:val="bottom"/>
            <w:shd w:val="clear" w:color="auto" w:fill="CCEBFF"/>
          </w:tcPr>
          <w:p>
            <w:pPr>
              <w:spacing w:after="0"/>
              <w:rPr>
                <w:sz w:val="11"/>
                <w:szCs w:val="11"/>
                <w:color w:val="auto"/>
              </w:rPr>
            </w:pPr>
          </w:p>
        </w:tc>
        <w:tc>
          <w:tcPr>
            <w:tcW w:w="1000" w:type="dxa"/>
            <w:vAlign w:val="bottom"/>
            <w:tcBorders>
              <w:right w:val="single" w:sz="8" w:color="auto"/>
            </w:tcBorders>
            <w:shd w:val="clear" w:color="auto" w:fill="CCEBFF"/>
          </w:tcPr>
          <w:p>
            <w:pPr>
              <w:spacing w:after="0"/>
              <w:rPr>
                <w:sz w:val="11"/>
                <w:szCs w:val="11"/>
                <w:color w:val="auto"/>
              </w:rPr>
            </w:pPr>
          </w:p>
        </w:tc>
        <w:tc>
          <w:tcPr>
            <w:tcW w:w="720" w:type="dxa"/>
            <w:vAlign w:val="bottom"/>
            <w:tcBorders>
              <w:right w:val="single" w:sz="8" w:color="auto"/>
            </w:tcBorders>
            <w:shd w:val="clear" w:color="auto" w:fill="CCEB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right w:val="single" w:sz="8" w:color="auto"/>
            </w:tcBorders>
            <w:shd w:val="clear" w:color="auto" w:fill="CCEBFF"/>
          </w:tcPr>
          <w:p>
            <w:pPr>
              <w:spacing w:after="0"/>
              <w:rPr>
                <w:sz w:val="12"/>
                <w:szCs w:val="12"/>
                <w:color w:val="auto"/>
              </w:rPr>
            </w:pPr>
          </w:p>
        </w:tc>
        <w:tc>
          <w:tcPr>
            <w:tcW w:w="1500" w:type="dxa"/>
            <w:vAlign w:val="bottom"/>
            <w:tcBorders>
              <w:right w:val="single" w:sz="8" w:color="auto"/>
            </w:tcBorders>
            <w:shd w:val="clear" w:color="auto" w:fill="CCEBFF"/>
          </w:tcPr>
          <w:p>
            <w:pPr>
              <w:jc w:val="center"/>
              <w:spacing w:after="0" w:line="149" w:lineRule="exact"/>
              <w:rPr>
                <w:sz w:val="20"/>
                <w:szCs w:val="20"/>
                <w:color w:val="auto"/>
              </w:rPr>
            </w:pPr>
            <w:r>
              <w:rPr>
                <w:rFonts w:ascii="Arial" w:cs="Arial" w:eastAsia="Arial" w:hAnsi="Arial"/>
                <w:sz w:val="14"/>
                <w:szCs w:val="14"/>
                <w:color w:val="auto"/>
                <w:w w:val="92"/>
              </w:rPr>
              <w:t>January 23, 2018</w:t>
            </w:r>
          </w:p>
        </w:tc>
        <w:tc>
          <w:tcPr>
            <w:tcW w:w="1820" w:type="dxa"/>
            <w:vAlign w:val="bottom"/>
            <w:tcBorders>
              <w:right w:val="single" w:sz="8" w:color="auto"/>
            </w:tcBorders>
            <w:shd w:val="clear" w:color="auto" w:fill="CCEBFF"/>
          </w:tcPr>
          <w:p>
            <w:pPr>
              <w:jc w:val="center"/>
              <w:ind w:right="8"/>
              <w:spacing w:after="0" w:line="149" w:lineRule="exact"/>
              <w:rPr>
                <w:sz w:val="20"/>
                <w:szCs w:val="20"/>
                <w:color w:val="auto"/>
              </w:rPr>
            </w:pPr>
            <w:r>
              <w:rPr>
                <w:rFonts w:ascii="Arial" w:cs="Arial" w:eastAsia="Arial" w:hAnsi="Arial"/>
                <w:sz w:val="14"/>
                <w:szCs w:val="14"/>
                <w:color w:val="auto"/>
                <w:w w:val="90"/>
              </w:rPr>
              <w:t>cash paid for 100% asset</w:t>
            </w:r>
          </w:p>
        </w:tc>
        <w:tc>
          <w:tcPr>
            <w:tcW w:w="220" w:type="dxa"/>
            <w:vAlign w:val="bottom"/>
            <w:shd w:val="clear" w:color="auto" w:fill="CCEBFF"/>
          </w:tcPr>
          <w:p>
            <w:pPr>
              <w:jc w:val="right"/>
              <w:ind w:right="15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shd w:val="clear" w:color="auto" w:fill="CCEBFF"/>
          </w:tcPr>
          <w:p>
            <w:pPr>
              <w:jc w:val="right"/>
              <w:ind w:right="28"/>
              <w:spacing w:after="0" w:line="149" w:lineRule="exact"/>
              <w:rPr>
                <w:sz w:val="20"/>
                <w:szCs w:val="20"/>
                <w:color w:val="auto"/>
              </w:rPr>
            </w:pPr>
            <w:r>
              <w:rPr>
                <w:rFonts w:ascii="Arial" w:cs="Arial" w:eastAsia="Arial" w:hAnsi="Arial"/>
                <w:sz w:val="14"/>
                <w:szCs w:val="14"/>
                <w:color w:val="auto"/>
              </w:rPr>
              <w:t>850</w:t>
            </w:r>
          </w:p>
        </w:tc>
        <w:tc>
          <w:tcPr>
            <w:tcW w:w="160" w:type="dxa"/>
            <w:vAlign w:val="bottom"/>
            <w:shd w:val="clear" w:color="auto" w:fill="CCEBFF"/>
          </w:tcPr>
          <w:p>
            <w:pPr>
              <w:jc w:val="right"/>
              <w:ind w:right="94"/>
              <w:spacing w:after="0"/>
              <w:rPr>
                <w:sz w:val="20"/>
                <w:szCs w:val="20"/>
                <w:color w:val="auto"/>
              </w:rPr>
            </w:pPr>
            <w:r>
              <w:rPr>
                <w:rFonts w:ascii="Arial" w:cs="Arial" w:eastAsia="Arial" w:hAnsi="Arial"/>
                <w:sz w:val="5"/>
                <w:szCs w:val="5"/>
                <w:color w:val="auto"/>
                <w:w w:val="70"/>
              </w:rPr>
              <w:t>$</w:t>
            </w:r>
          </w:p>
        </w:tc>
        <w:tc>
          <w:tcPr>
            <w:tcW w:w="1000" w:type="dxa"/>
            <w:vAlign w:val="bottom"/>
            <w:tcBorders>
              <w:right w:val="single" w:sz="8" w:color="auto"/>
            </w:tcBorders>
            <w:shd w:val="clear" w:color="auto" w:fill="CCEBFF"/>
          </w:tcPr>
          <w:p>
            <w:pPr>
              <w:jc w:val="right"/>
              <w:ind w:right="8"/>
              <w:spacing w:after="0" w:line="149" w:lineRule="exact"/>
              <w:rPr>
                <w:sz w:val="20"/>
                <w:szCs w:val="20"/>
                <w:color w:val="auto"/>
              </w:rPr>
            </w:pPr>
            <w:r>
              <w:rPr>
                <w:rFonts w:ascii="Arial" w:cs="Arial" w:eastAsia="Arial" w:hAnsi="Arial"/>
                <w:sz w:val="14"/>
                <w:szCs w:val="14"/>
                <w:color w:val="auto"/>
              </w:rPr>
              <w:t>2,092</w:t>
            </w:r>
          </w:p>
        </w:tc>
        <w:tc>
          <w:tcPr>
            <w:tcW w:w="720" w:type="dxa"/>
            <w:vAlign w:val="bottom"/>
            <w:tcBorders>
              <w:right w:val="single" w:sz="8" w:color="auto"/>
            </w:tcBorders>
            <w:shd w:val="clear" w:color="auto" w:fill="CCEBFF"/>
          </w:tcPr>
          <w:p>
            <w:pPr>
              <w:jc w:val="center"/>
              <w:spacing w:after="0" w:line="149" w:lineRule="exact"/>
              <w:rPr>
                <w:sz w:val="20"/>
                <w:szCs w:val="20"/>
                <w:color w:val="auto"/>
              </w:rPr>
            </w:pPr>
            <w:r>
              <w:rPr>
                <w:rFonts w:ascii="Arial" w:cs="Arial" w:eastAsia="Arial" w:hAnsi="Arial"/>
                <w:sz w:val="14"/>
                <w:szCs w:val="14"/>
                <w:color w:val="auto"/>
                <w:w w:val="87"/>
              </w:rPr>
              <w:t>West</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4"/>
                <w:szCs w:val="14"/>
                <w:color w:val="auto"/>
                <w:w w:val="94"/>
              </w:rPr>
              <w:t>Spinner Wood Products, LLC ("Spinner")</w:t>
            </w:r>
          </w:p>
        </w:tc>
        <w:tc>
          <w:tcPr>
            <w:tcW w:w="1500" w:type="dxa"/>
            <w:vAlign w:val="bottom"/>
            <w:tcBorders>
              <w:bottom w:val="single" w:sz="8" w:color="auto"/>
              <w:right w:val="single" w:sz="8" w:color="auto"/>
            </w:tcBorders>
            <w:shd w:val="clear" w:color="auto" w:fill="CCEBFF"/>
          </w:tcPr>
          <w:p>
            <w:pPr>
              <w:spacing w:after="0"/>
              <w:rPr>
                <w:sz w:val="14"/>
                <w:szCs w:val="14"/>
                <w:color w:val="auto"/>
              </w:rPr>
            </w:pPr>
          </w:p>
        </w:tc>
        <w:tc>
          <w:tcPr>
            <w:tcW w:w="182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4"/>
                <w:szCs w:val="14"/>
                <w:color w:val="auto"/>
                <w:w w:val="90"/>
              </w:rPr>
              <w:t>purchase</w:t>
            </w:r>
          </w:p>
        </w:tc>
        <w:tc>
          <w:tcPr>
            <w:tcW w:w="220" w:type="dxa"/>
            <w:vAlign w:val="bottom"/>
            <w:tcBorders>
              <w:bottom w:val="single" w:sz="8" w:color="auto"/>
            </w:tcBorders>
            <w:shd w:val="clear" w:color="auto" w:fill="CCEBFF"/>
          </w:tcPr>
          <w:p>
            <w:pPr>
              <w:spacing w:after="0"/>
              <w:rPr>
                <w:sz w:val="14"/>
                <w:szCs w:val="14"/>
                <w:color w:val="auto"/>
              </w:rPr>
            </w:pPr>
          </w:p>
        </w:tc>
        <w:tc>
          <w:tcPr>
            <w:tcW w:w="960" w:type="dxa"/>
            <w:vAlign w:val="bottom"/>
            <w:tcBorders>
              <w:bottom w:val="single" w:sz="8" w:color="auto"/>
              <w:right w:val="single" w:sz="8" w:color="auto"/>
            </w:tcBorders>
            <w:shd w:val="clear" w:color="auto" w:fill="CCEBFF"/>
          </w:tcPr>
          <w:p>
            <w:pPr>
              <w:spacing w:after="0"/>
              <w:rPr>
                <w:sz w:val="14"/>
                <w:szCs w:val="14"/>
                <w:color w:val="auto"/>
              </w:rPr>
            </w:pPr>
          </w:p>
        </w:tc>
        <w:tc>
          <w:tcPr>
            <w:tcW w:w="160" w:type="dxa"/>
            <w:vAlign w:val="bottom"/>
            <w:tcBorders>
              <w:bottom w:val="single" w:sz="8" w:color="auto"/>
            </w:tcBorders>
            <w:shd w:val="clear" w:color="auto" w:fill="CCEBFF"/>
          </w:tcPr>
          <w:p>
            <w:pPr>
              <w:spacing w:after="0"/>
              <w:rPr>
                <w:sz w:val="14"/>
                <w:szCs w:val="14"/>
                <w:color w:val="auto"/>
              </w:rPr>
            </w:pPr>
          </w:p>
        </w:tc>
        <w:tc>
          <w:tcPr>
            <w:tcW w:w="1000" w:type="dxa"/>
            <w:vAlign w:val="bottom"/>
            <w:tcBorders>
              <w:bottom w:val="single" w:sz="8" w:color="auto"/>
              <w:right w:val="single" w:sz="8" w:color="auto"/>
            </w:tcBorders>
            <w:shd w:val="clear" w:color="auto" w:fill="CCEBFF"/>
          </w:tcPr>
          <w:p>
            <w:pPr>
              <w:spacing w:after="0"/>
              <w:rPr>
                <w:sz w:val="14"/>
                <w:szCs w:val="14"/>
                <w:color w:val="auto"/>
              </w:rPr>
            </w:pPr>
          </w:p>
        </w:tc>
        <w:tc>
          <w:tcPr>
            <w:tcW w:w="720" w:type="dxa"/>
            <w:vAlign w:val="bottom"/>
            <w:tcBorders>
              <w:bottom w:val="single" w:sz="8" w:color="auto"/>
              <w:right w:val="single" w:sz="8" w:color="auto"/>
            </w:tcBorders>
            <w:shd w:val="clear" w:color="auto" w:fill="CCEB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680" w:type="dxa"/>
            <w:vAlign w:val="bottom"/>
            <w:tcBorders>
              <w:left w:val="single" w:sz="8" w:color="auto"/>
              <w:right w:val="single" w:sz="8" w:color="auto"/>
            </w:tcBorders>
            <w:vMerge w:val="continue"/>
            <w:shd w:val="clear" w:color="auto" w:fill="CCEBFF"/>
          </w:tcPr>
          <w:p>
            <w:pPr>
              <w:spacing w:after="0"/>
              <w:rPr>
                <w:sz w:val="10"/>
                <w:szCs w:val="10"/>
                <w:color w:val="auto"/>
              </w:rPr>
            </w:pPr>
          </w:p>
        </w:tc>
        <w:tc>
          <w:tcPr>
            <w:tcW w:w="6380" w:type="dxa"/>
            <w:vAlign w:val="bottom"/>
            <w:tcBorders>
              <w:right w:val="single" w:sz="8" w:color="auto"/>
            </w:tcBorders>
            <w:gridSpan w:val="7"/>
            <w:shd w:val="clear" w:color="auto" w:fill="CCEBFF"/>
          </w:tcPr>
          <w:p>
            <w:pPr>
              <w:spacing w:after="0" w:line="123" w:lineRule="exact"/>
              <w:rPr>
                <w:sz w:val="20"/>
                <w:szCs w:val="20"/>
                <w:color w:val="auto"/>
              </w:rPr>
            </w:pPr>
            <w:r>
              <w:rPr>
                <w:rFonts w:ascii="Arial" w:cs="Arial" w:eastAsia="Arial" w:hAnsi="Arial"/>
                <w:sz w:val="14"/>
                <w:szCs w:val="14"/>
                <w:color w:val="auto"/>
                <w:w w:val="94"/>
              </w:rPr>
              <w:t>A manufacturer and distributor of agricultural bin and various industrial packaging. Spinner had annual sales</w:t>
            </w: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right w:val="single" w:sz="8" w:color="auto"/>
            </w:tcBorders>
            <w:shd w:val="clear" w:color="auto" w:fill="CCEBFF"/>
          </w:tcPr>
          <w:p>
            <w:pPr>
              <w:spacing w:after="0"/>
              <w:rPr>
                <w:sz w:val="12"/>
                <w:szCs w:val="12"/>
                <w:color w:val="auto"/>
              </w:rPr>
            </w:pPr>
          </w:p>
        </w:tc>
        <w:tc>
          <w:tcPr>
            <w:tcW w:w="6380" w:type="dxa"/>
            <w:vAlign w:val="bottom"/>
            <w:tcBorders>
              <w:right w:val="single" w:sz="8" w:color="auto"/>
            </w:tcBorders>
            <w:gridSpan w:val="7"/>
            <w:shd w:val="clear" w:color="auto" w:fill="CCEBFF"/>
          </w:tcPr>
          <w:p>
            <w:pPr>
              <w:spacing w:after="0" w:line="149" w:lineRule="exact"/>
              <w:rPr>
                <w:sz w:val="20"/>
                <w:szCs w:val="20"/>
                <w:color w:val="auto"/>
              </w:rPr>
            </w:pPr>
            <w:r>
              <w:rPr>
                <w:rFonts w:ascii="Arial" w:cs="Arial" w:eastAsia="Arial" w:hAnsi="Arial"/>
                <w:sz w:val="14"/>
                <w:szCs w:val="14"/>
                <w:color w:val="auto"/>
                <w:w w:val="95"/>
              </w:rPr>
              <w:t>of approximately $8 million. The acquisition of Spinner allows us to expand our industrial packaging product</w:t>
            </w:r>
          </w:p>
        </w:tc>
        <w:tc>
          <w:tcPr>
            <w:tcW w:w="0" w:type="dxa"/>
            <w:vAlign w:val="bottom"/>
          </w:tcPr>
          <w:p>
            <w:pPr>
              <w:spacing w:after="0"/>
              <w:rPr>
                <w:sz w:val="1"/>
                <w:szCs w:val="1"/>
                <w:color w:val="auto"/>
              </w:rPr>
            </w:pPr>
          </w:p>
        </w:tc>
      </w:tr>
      <w:tr>
        <w:trPr>
          <w:trHeight w:val="174"/>
        </w:trPr>
        <w:tc>
          <w:tcPr>
            <w:tcW w:w="2680" w:type="dxa"/>
            <w:vAlign w:val="bottom"/>
            <w:tcBorders>
              <w:left w:val="single" w:sz="8" w:color="auto"/>
              <w:bottom w:val="single" w:sz="8" w:color="auto"/>
              <w:right w:val="single" w:sz="8" w:color="auto"/>
            </w:tcBorders>
            <w:shd w:val="clear" w:color="auto" w:fill="CCEBFF"/>
          </w:tcPr>
          <w:p>
            <w:pPr>
              <w:spacing w:after="0"/>
              <w:rPr>
                <w:sz w:val="15"/>
                <w:szCs w:val="15"/>
                <w:color w:val="auto"/>
              </w:rPr>
            </w:pPr>
          </w:p>
        </w:tc>
        <w:tc>
          <w:tcPr>
            <w:tcW w:w="5660" w:type="dxa"/>
            <w:vAlign w:val="bottom"/>
            <w:tcBorders>
              <w:bottom w:val="single" w:sz="8" w:color="auto"/>
              <w:right w:val="single" w:sz="8" w:color="CCEBFF"/>
            </w:tcBorders>
            <w:gridSpan w:val="6"/>
            <w:shd w:val="clear" w:color="auto" w:fill="CCEBFF"/>
          </w:tcPr>
          <w:p>
            <w:pPr>
              <w:spacing w:after="0"/>
              <w:rPr>
                <w:sz w:val="20"/>
                <w:szCs w:val="20"/>
                <w:color w:val="auto"/>
              </w:rPr>
            </w:pPr>
            <w:r>
              <w:rPr>
                <w:rFonts w:ascii="Arial" w:cs="Arial" w:eastAsia="Arial" w:hAnsi="Arial"/>
                <w:sz w:val="14"/>
                <w:szCs w:val="14"/>
                <w:color w:val="auto"/>
              </w:rPr>
              <w:t>offering and creates operating leverage by consolidating with other regional operations.</w:t>
            </w:r>
          </w:p>
        </w:tc>
        <w:tc>
          <w:tcPr>
            <w:tcW w:w="720" w:type="dxa"/>
            <w:vAlign w:val="bottom"/>
            <w:tcBorders>
              <w:bottom w:val="single" w:sz="8" w:color="auto"/>
              <w:right w:val="single" w:sz="8" w:color="auto"/>
            </w:tcBorders>
            <w:shd w:val="clear" w:color="auto" w:fill="CCEB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680" w:type="dxa"/>
            <w:vAlign w:val="bottom"/>
            <w:tcBorders>
              <w:left w:val="single" w:sz="8" w:color="auto"/>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4"/>
                <w:szCs w:val="14"/>
                <w:color w:val="auto"/>
                <w:w w:val="93"/>
              </w:rPr>
              <w:t>$5,784</w:t>
            </w:r>
          </w:p>
        </w:tc>
        <w:tc>
          <w:tcPr>
            <w:tcW w:w="22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right w:val="single" w:sz="8" w:color="auto"/>
            </w:tcBorders>
          </w:tcPr>
          <w:p>
            <w:pPr>
              <w:spacing w:after="0"/>
              <w:rPr>
                <w:sz w:val="12"/>
                <w:szCs w:val="12"/>
                <w:color w:val="auto"/>
              </w:rPr>
            </w:pP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January 15, 2018</w:t>
            </w:r>
          </w:p>
        </w:tc>
        <w:tc>
          <w:tcPr>
            <w:tcW w:w="1820" w:type="dxa"/>
            <w:vAlign w:val="bottom"/>
            <w:tcBorders>
              <w:right w:val="single" w:sz="8" w:color="auto"/>
            </w:tcBorders>
          </w:tcPr>
          <w:p>
            <w:pPr>
              <w:jc w:val="center"/>
              <w:ind w:right="8"/>
              <w:spacing w:after="0" w:line="149" w:lineRule="exact"/>
              <w:rPr>
                <w:sz w:val="20"/>
                <w:szCs w:val="20"/>
                <w:color w:val="auto"/>
              </w:rPr>
            </w:pPr>
            <w:r>
              <w:rPr>
                <w:rFonts w:ascii="Arial" w:cs="Arial" w:eastAsia="Arial" w:hAnsi="Arial"/>
                <w:sz w:val="14"/>
                <w:szCs w:val="14"/>
                <w:color w:val="auto"/>
                <w:w w:val="90"/>
              </w:rPr>
              <w:t>cash paid for 100% asset</w:t>
            </w:r>
          </w:p>
        </w:tc>
        <w:tc>
          <w:tcPr>
            <w:tcW w:w="220" w:type="dxa"/>
            <w:vAlign w:val="bottom"/>
          </w:tcPr>
          <w:p>
            <w:pPr>
              <w:jc w:val="right"/>
              <w:ind w:right="154"/>
              <w:spacing w:after="0"/>
              <w:rPr>
                <w:sz w:val="20"/>
                <w:szCs w:val="20"/>
                <w:color w:val="auto"/>
              </w:rPr>
            </w:pPr>
            <w:r>
              <w:rPr>
                <w:rFonts w:ascii="Arial" w:cs="Arial" w:eastAsia="Arial" w:hAnsi="Arial"/>
                <w:sz w:val="5"/>
                <w:szCs w:val="5"/>
                <w:color w:val="auto"/>
                <w:w w:val="70"/>
              </w:rPr>
              <w:t>$</w:t>
            </w:r>
          </w:p>
        </w:tc>
        <w:tc>
          <w:tcPr>
            <w:tcW w:w="960" w:type="dxa"/>
            <w:vAlign w:val="bottom"/>
            <w:tcBorders>
              <w:right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50</w:t>
            </w:r>
          </w:p>
        </w:tc>
        <w:tc>
          <w:tcPr>
            <w:tcW w:w="160" w:type="dxa"/>
            <w:vAlign w:val="bottom"/>
          </w:tcPr>
          <w:p>
            <w:pPr>
              <w:jc w:val="right"/>
              <w:ind w:right="94"/>
              <w:spacing w:after="0"/>
              <w:rPr>
                <w:sz w:val="20"/>
                <w:szCs w:val="20"/>
                <w:color w:val="auto"/>
              </w:rPr>
            </w:pPr>
            <w:r>
              <w:rPr>
                <w:rFonts w:ascii="Arial" w:cs="Arial" w:eastAsia="Arial" w:hAnsi="Arial"/>
                <w:sz w:val="5"/>
                <w:szCs w:val="5"/>
                <w:color w:val="auto"/>
                <w:w w:val="70"/>
              </w:rPr>
              <w:t>$</w:t>
            </w:r>
          </w:p>
        </w:tc>
        <w:tc>
          <w:tcPr>
            <w:tcW w:w="1000" w:type="dxa"/>
            <w:vAlign w:val="bottom"/>
            <w:tcBorders>
              <w:right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5,734</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North</w:t>
            </w:r>
          </w:p>
        </w:tc>
        <w:tc>
          <w:tcPr>
            <w:tcW w:w="0" w:type="dxa"/>
            <w:vAlign w:val="bottom"/>
          </w:tcPr>
          <w:p>
            <w:pPr>
              <w:spacing w:after="0"/>
              <w:rPr>
                <w:sz w:val="1"/>
                <w:szCs w:val="1"/>
                <w:color w:val="auto"/>
              </w:rPr>
            </w:pPr>
          </w:p>
        </w:tc>
      </w:tr>
      <w:tr>
        <w:trPr>
          <w:trHeight w:val="167"/>
        </w:trPr>
        <w:tc>
          <w:tcPr>
            <w:tcW w:w="26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Great Northern Lumber, LLC</w:t>
            </w:r>
          </w:p>
        </w:tc>
        <w:tc>
          <w:tcPr>
            <w:tcW w:w="1500" w:type="dxa"/>
            <w:vAlign w:val="bottom"/>
            <w:tcBorders>
              <w:bottom w:val="single" w:sz="8" w:color="auto"/>
              <w:right w:val="single" w:sz="8" w:color="auto"/>
            </w:tcBorders>
          </w:tcPr>
          <w:p>
            <w:pPr>
              <w:spacing w:after="0"/>
              <w:rPr>
                <w:sz w:val="14"/>
                <w:szCs w:val="14"/>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purchase</w:t>
            </w: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680" w:type="dxa"/>
            <w:vAlign w:val="bottom"/>
            <w:tcBorders>
              <w:left w:val="single" w:sz="8" w:color="auto"/>
              <w:right w:val="single" w:sz="8" w:color="auto"/>
            </w:tcBorders>
            <w:vMerge w:val="continue"/>
          </w:tcPr>
          <w:p>
            <w:pPr>
              <w:spacing w:after="0"/>
              <w:rPr>
                <w:sz w:val="10"/>
                <w:szCs w:val="10"/>
                <w:color w:val="auto"/>
              </w:rPr>
            </w:pPr>
          </w:p>
        </w:tc>
        <w:tc>
          <w:tcPr>
            <w:tcW w:w="6380" w:type="dxa"/>
            <w:vAlign w:val="bottom"/>
            <w:tcBorders>
              <w:right w:val="single" w:sz="8" w:color="auto"/>
            </w:tcBorders>
            <w:gridSpan w:val="7"/>
          </w:tcPr>
          <w:p>
            <w:pPr>
              <w:spacing w:after="0" w:line="123" w:lineRule="exact"/>
              <w:rPr>
                <w:sz w:val="20"/>
                <w:szCs w:val="20"/>
                <w:color w:val="auto"/>
              </w:rPr>
            </w:pPr>
            <w:r>
              <w:rPr>
                <w:rFonts w:ascii="Arial" w:cs="Arial" w:eastAsia="Arial" w:hAnsi="Arial"/>
                <w:sz w:val="14"/>
                <w:szCs w:val="14"/>
                <w:color w:val="auto"/>
                <w:w w:val="97"/>
              </w:rPr>
              <w:t>A manufacturer of industrial products as well as serving the concrete forming market in the Chicago area.</w:t>
            </w:r>
          </w:p>
        </w:tc>
        <w:tc>
          <w:tcPr>
            <w:tcW w:w="0" w:type="dxa"/>
            <w:vAlign w:val="bottom"/>
          </w:tcPr>
          <w:p>
            <w:pPr>
              <w:spacing w:after="0"/>
              <w:rPr>
                <w:sz w:val="1"/>
                <w:szCs w:val="1"/>
                <w:color w:val="auto"/>
              </w:rPr>
            </w:pPr>
          </w:p>
        </w:tc>
      </w:tr>
      <w:tr>
        <w:trPr>
          <w:trHeight w:val="149"/>
        </w:trPr>
        <w:tc>
          <w:tcPr>
            <w:tcW w:w="2680" w:type="dxa"/>
            <w:vAlign w:val="bottom"/>
            <w:tcBorders>
              <w:left w:val="single" w:sz="8" w:color="auto"/>
              <w:right w:val="single" w:sz="8" w:color="auto"/>
            </w:tcBorders>
          </w:tcPr>
          <w:p>
            <w:pPr>
              <w:spacing w:after="0"/>
              <w:rPr>
                <w:sz w:val="12"/>
                <w:szCs w:val="12"/>
                <w:color w:val="auto"/>
              </w:rPr>
            </w:pPr>
          </w:p>
        </w:tc>
        <w:tc>
          <w:tcPr>
            <w:tcW w:w="6380" w:type="dxa"/>
            <w:vAlign w:val="bottom"/>
            <w:tcBorders>
              <w:right w:val="single" w:sz="8" w:color="auto"/>
            </w:tcBorders>
            <w:gridSpan w:val="7"/>
          </w:tcPr>
          <w:p>
            <w:pPr>
              <w:spacing w:after="0" w:line="149" w:lineRule="exact"/>
              <w:rPr>
                <w:sz w:val="20"/>
                <w:szCs w:val="20"/>
                <w:color w:val="auto"/>
              </w:rPr>
            </w:pPr>
            <w:r>
              <w:rPr>
                <w:rFonts w:ascii="Arial" w:cs="Arial" w:eastAsia="Arial" w:hAnsi="Arial"/>
                <w:sz w:val="14"/>
                <w:szCs w:val="14"/>
                <w:color w:val="auto"/>
                <w:w w:val="98"/>
              </w:rPr>
              <w:t>Great Northern Lumber had annual sales of approximately $25 million. The acquisition of Great Northern</w:t>
            </w:r>
          </w:p>
        </w:tc>
        <w:tc>
          <w:tcPr>
            <w:tcW w:w="0" w:type="dxa"/>
            <w:vAlign w:val="bottom"/>
          </w:tcPr>
          <w:p>
            <w:pPr>
              <w:spacing w:after="0"/>
              <w:rPr>
                <w:sz w:val="1"/>
                <w:szCs w:val="1"/>
                <w:color w:val="auto"/>
              </w:rPr>
            </w:pPr>
          </w:p>
        </w:tc>
      </w:tr>
      <w:tr>
        <w:trPr>
          <w:trHeight w:val="174"/>
        </w:trPr>
        <w:tc>
          <w:tcPr>
            <w:tcW w:w="2680" w:type="dxa"/>
            <w:vAlign w:val="bottom"/>
            <w:tcBorders>
              <w:left w:val="single" w:sz="8" w:color="auto"/>
              <w:bottom w:val="single" w:sz="8" w:color="auto"/>
              <w:right w:val="single" w:sz="8" w:color="auto"/>
            </w:tcBorders>
          </w:tcPr>
          <w:p>
            <w:pPr>
              <w:spacing w:after="0"/>
              <w:rPr>
                <w:sz w:val="15"/>
                <w:szCs w:val="15"/>
                <w:color w:val="auto"/>
              </w:rPr>
            </w:pPr>
          </w:p>
        </w:tc>
        <w:tc>
          <w:tcPr>
            <w:tcW w:w="566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w w:val="99"/>
              </w:rPr>
              <w:t>Lumber enables us to expand our concrete forming product offering and regional coverage.</w:t>
            </w:r>
          </w:p>
        </w:tc>
        <w:tc>
          <w:tcPr>
            <w:tcW w:w="7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intangible assets for each acquisition were finalized and allocated to their respective identifiable intangible asset and goodwill accounts during 2018 and 2019, except for the Wolverine acquisition. In aggregate, acquisitions completed since the end of June 2018 and not consolidated with other operations contributed approximately $20.3</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20" w:top="544" w:right="13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million and $48.9 million in revenue and a $1.8 million and $3.0 million in operating profit during the second quarter and first six months of 2019, respectively.</w:t>
      </w:r>
    </w:p>
    <w:p>
      <w:pPr>
        <w:spacing w:after="0" w:line="166" w:lineRule="exact"/>
        <w:rPr>
          <w:sz w:val="20"/>
          <w:szCs w:val="20"/>
          <w:color w:val="auto"/>
        </w:rPr>
      </w:pPr>
    </w:p>
    <w:p>
      <w:pPr>
        <w:ind w:left="500" w:hanging="491"/>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81" w:lineRule="exact"/>
        <w:rPr>
          <w:sz w:val="20"/>
          <w:szCs w:val="20"/>
          <w:color w:val="auto"/>
        </w:rPr>
      </w:pPr>
    </w:p>
    <w:p>
      <w:pPr>
        <w:ind w:right="340"/>
        <w:spacing w:after="0" w:line="285" w:lineRule="auto"/>
        <w:rPr>
          <w:sz w:val="20"/>
          <w:szCs w:val="20"/>
          <w:color w:val="auto"/>
        </w:rPr>
      </w:pPr>
      <w:r>
        <w:rPr>
          <w:rFonts w:ascii="Arial" w:cs="Arial" w:eastAsia="Arial" w:hAnsi="Arial"/>
          <w:sz w:val="16"/>
          <w:szCs w:val="16"/>
          <w:color w:val="auto"/>
        </w:rPr>
        <w:t>The Company operates manufacturing, treating and distribution facilities throughout North America, but primarily in the United States. The Company manages the operations of its individual locations primarily through a geographic reporting structure under which each location is included in a region and regions are included in our North, South, West, and International divisions. The exceptions to this geographic reporting and management structure are (a) the Company’s Alternative Materials Division, which offers a portfolio of non-wood products and distributes those products nation-wide</w:t>
      </w:r>
    </w:p>
    <w:p>
      <w:pPr>
        <w:spacing w:after="0" w:line="2" w:lineRule="exact"/>
        <w:rPr>
          <w:sz w:val="20"/>
          <w:szCs w:val="20"/>
          <w:color w:val="auto"/>
        </w:rPr>
      </w:pPr>
    </w:p>
    <w:p>
      <w:pPr>
        <w:ind w:right="360" w:firstLine="9"/>
        <w:spacing w:after="0" w:line="302" w:lineRule="auto"/>
        <w:tabs>
          <w:tab w:leader="none" w:pos="25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distribution unit (referred to as UFPD) which distributes a variety of products to the manufactured housing industry nation-wide and is accounted for as a reporting unit within the North segment, and (c) the idX division, which designs, produces, and installs customized in-store environments for customers world-wide.</w:t>
      </w:r>
    </w:p>
    <w:p>
      <w:pPr>
        <w:spacing w:after="0" w:line="15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With respect to the facilities in the north, south, and west segments, these facilities generally supply the three markets the Company serves nationally - Retail, Industrial, and Construction. Also, substantially all of our facilities support customers in the immediate geographical region surrounding the facility.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Our Alternative Materials, International and idX division have been included in the “All Other” column of the table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“Corporate” column includes unallocated administrative costs and certain incentive compensation expense.</w:t>
      </w:r>
    </w:p>
    <w:p>
      <w:pPr>
        <w:spacing w:after="0" w:line="21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During the second quarter and the first six months of 2019, management retrospectively reallocated the related bonus expense from Corporate to their respective segment to better assess the reporting unit’s productivity.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12"/>
          </w:tcPr>
          <w:p>
            <w:pPr>
              <w:ind w:left="80"/>
              <w:spacing w:after="0"/>
              <w:rPr>
                <w:sz w:val="20"/>
                <w:szCs w:val="20"/>
                <w:color w:val="auto"/>
              </w:rPr>
            </w:pPr>
            <w:r>
              <w:rPr>
                <w:rFonts w:ascii="Arial" w:cs="Arial" w:eastAsia="Arial" w:hAnsi="Arial"/>
                <w:sz w:val="14"/>
                <w:szCs w:val="14"/>
                <w:b w:val="1"/>
                <w:bCs w:val="1"/>
                <w:color w:val="auto"/>
                <w:w w:val="97"/>
              </w:rPr>
              <w:t>Three Months Ended June 29, 2019</w:t>
            </w: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3"/>
                <w:szCs w:val="13"/>
                <w:color w:val="auto"/>
              </w:rPr>
            </w:pPr>
          </w:p>
        </w:tc>
        <w:tc>
          <w:tcPr>
            <w:tcW w:w="8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South</w:t>
            </w: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West</w:t>
            </w:r>
          </w:p>
        </w:tc>
        <w:tc>
          <w:tcPr>
            <w:tcW w:w="96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96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r>
      <w:tr>
        <w:trPr>
          <w:trHeight w:val="216"/>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380,242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258,802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$ 421,273</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$ 179,500</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1,239,817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18,376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14,690</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65,998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119,781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25,772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25,422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74,237</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601"/>
        </w:trPr>
        <w:tc>
          <w:tcPr>
            <w:tcW w:w="3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2"/>
          </w:tcPr>
          <w:p>
            <w:pPr>
              <w:ind w:left="80"/>
              <w:spacing w:after="0"/>
              <w:rPr>
                <w:sz w:val="20"/>
                <w:szCs w:val="20"/>
                <w:color w:val="auto"/>
              </w:rPr>
            </w:pPr>
            <w:r>
              <w:rPr>
                <w:rFonts w:ascii="Arial" w:cs="Arial" w:eastAsia="Arial" w:hAnsi="Arial"/>
                <w:sz w:val="14"/>
                <w:szCs w:val="14"/>
                <w:b w:val="1"/>
                <w:bCs w:val="1"/>
                <w:color w:val="auto"/>
                <w:w w:val="97"/>
              </w:rPr>
              <w:t>Three Months Ended June 30, 2018</w:t>
            </w: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3"/>
                <w:szCs w:val="13"/>
                <w:color w:val="auto"/>
              </w:rPr>
            </w:pPr>
          </w:p>
        </w:tc>
        <w:tc>
          <w:tcPr>
            <w:tcW w:w="88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South</w:t>
            </w:r>
          </w:p>
        </w:tc>
        <w:tc>
          <w:tcPr>
            <w:tcW w:w="140" w:type="dxa"/>
            <w:vAlign w:val="bottom"/>
          </w:tcPr>
          <w:p>
            <w:pPr>
              <w:spacing w:after="0"/>
              <w:rPr>
                <w:sz w:val="13"/>
                <w:szCs w:val="13"/>
                <w:color w:val="auto"/>
              </w:rPr>
            </w:pPr>
          </w:p>
        </w:tc>
        <w:tc>
          <w:tcPr>
            <w:tcW w:w="8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West</w:t>
            </w:r>
          </w:p>
        </w:tc>
        <w:tc>
          <w:tcPr>
            <w:tcW w:w="960" w:type="dxa"/>
            <w:vAlign w:val="bottom"/>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960" w:type="dxa"/>
            <w:vAlign w:val="bottom"/>
            <w:gridSpan w:val="4"/>
          </w:tcPr>
          <w:p>
            <w:pPr>
              <w:jc w:val="right"/>
              <w:ind w:right="24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r>
      <w:tr>
        <w:trPr>
          <w:trHeight w:val="216"/>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390,821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291,320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$ 456,825</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$ 155,474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1,294,440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18,558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14,464</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61,957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115,654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17,477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25,864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60,617</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601"/>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10"/>
          </w:tcPr>
          <w:p>
            <w:pPr>
              <w:jc w:val="right"/>
              <w:ind w:right="59"/>
              <w:spacing w:after="0"/>
              <w:rPr>
                <w:sz w:val="20"/>
                <w:szCs w:val="20"/>
                <w:color w:val="auto"/>
              </w:rPr>
            </w:pPr>
            <w:r>
              <w:rPr>
                <w:rFonts w:ascii="Arial" w:cs="Arial" w:eastAsia="Arial" w:hAnsi="Arial"/>
                <w:sz w:val="14"/>
                <w:szCs w:val="14"/>
                <w:b w:val="1"/>
                <w:bCs w:val="1"/>
                <w:color w:val="auto"/>
                <w:w w:val="95"/>
              </w:rPr>
              <w:t>Six Months Ended June 29, 2019</w:t>
            </w: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3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3"/>
                <w:szCs w:val="13"/>
                <w:color w:val="auto"/>
              </w:rPr>
            </w:pPr>
          </w:p>
        </w:tc>
        <w:tc>
          <w:tcPr>
            <w:tcW w:w="880" w:type="dxa"/>
            <w:vAlign w:val="bottom"/>
            <w:gridSpan w:val="3"/>
          </w:tcPr>
          <w:p>
            <w:pPr>
              <w:ind w:left="260"/>
              <w:spacing w:after="0" w:line="149" w:lineRule="exact"/>
              <w:rPr>
                <w:sz w:val="20"/>
                <w:szCs w:val="20"/>
                <w:color w:val="auto"/>
              </w:rPr>
            </w:pPr>
            <w:r>
              <w:rPr>
                <w:rFonts w:ascii="Arial" w:cs="Arial" w:eastAsia="Arial" w:hAnsi="Arial"/>
                <w:sz w:val="14"/>
                <w:szCs w:val="14"/>
                <w:b w:val="1"/>
                <w:bCs w:val="1"/>
                <w:color w:val="auto"/>
              </w:rPr>
              <w:t>South</w:t>
            </w:r>
          </w:p>
        </w:tc>
        <w:tc>
          <w:tcPr>
            <w:tcW w:w="140" w:type="dxa"/>
            <w:vAlign w:val="bottom"/>
          </w:tcPr>
          <w:p>
            <w:pPr>
              <w:spacing w:after="0"/>
              <w:rPr>
                <w:sz w:val="13"/>
                <w:szCs w:val="13"/>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West</w:t>
            </w:r>
          </w:p>
        </w:tc>
        <w:tc>
          <w:tcPr>
            <w:tcW w:w="160" w:type="dxa"/>
            <w:vAlign w:val="bottom"/>
          </w:tcPr>
          <w:p>
            <w:pPr>
              <w:spacing w:after="0"/>
              <w:rPr>
                <w:sz w:val="13"/>
                <w:szCs w:val="13"/>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r>
      <w:tr>
        <w:trPr>
          <w:trHeight w:val="216"/>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658,575</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503,043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$ 781,370</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$ 311,955</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$ 2,254,943</w:t>
            </w:r>
          </w:p>
        </w:tc>
        <w:tc>
          <w:tcPr>
            <w:tcW w:w="20" w:type="dxa"/>
            <w:vAlign w:val="bottom"/>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30,073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39,334</w:t>
            </w:r>
          </w:p>
        </w:tc>
        <w:tc>
          <w:tcPr>
            <w:tcW w:w="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27,620</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123,565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220,592</w:t>
            </w:r>
          </w:p>
        </w:tc>
        <w:tc>
          <w:tcPr>
            <w:tcW w:w="2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40,191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29,742</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48,676</w:t>
            </w: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122,683</w:t>
            </w:r>
          </w:p>
        </w:tc>
        <w:tc>
          <w:tcPr>
            <w:tcW w:w="20" w:type="dxa"/>
            <w:vAlign w:val="bottom"/>
          </w:tcPr>
          <w:p>
            <w:pPr>
              <w:spacing w:after="0"/>
              <w:rPr>
                <w:sz w:val="18"/>
                <w:szCs w:val="18"/>
                <w:color w:val="auto"/>
              </w:rPr>
            </w:pPr>
          </w:p>
        </w:tc>
      </w:tr>
      <w:tr>
        <w:trPr>
          <w:trHeight w:val="648"/>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174"/>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44"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2"/>
              </w:rPr>
              <w:t>Six Months Ended June 30, 2018</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3"/>
                <w:szCs w:val="13"/>
                <w:color w:val="auto"/>
              </w:rPr>
            </w:pPr>
          </w:p>
        </w:tc>
        <w:tc>
          <w:tcPr>
            <w:tcW w:w="84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South</w:t>
            </w:r>
          </w:p>
        </w:tc>
        <w:tc>
          <w:tcPr>
            <w:tcW w:w="160" w:type="dxa"/>
            <w:vAlign w:val="bottom"/>
          </w:tcPr>
          <w:p>
            <w:pPr>
              <w:spacing w:after="0"/>
              <w:rPr>
                <w:sz w:val="13"/>
                <w:szCs w:val="13"/>
                <w:color w:val="auto"/>
              </w:rPr>
            </w:pPr>
          </w:p>
        </w:tc>
        <w:tc>
          <w:tcPr>
            <w:tcW w:w="82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West</w:t>
            </w:r>
          </w:p>
        </w:tc>
        <w:tc>
          <w:tcPr>
            <w:tcW w:w="160" w:type="dxa"/>
            <w:vAlign w:val="bottom"/>
          </w:tcPr>
          <w:p>
            <w:pPr>
              <w:spacing w:after="0"/>
              <w:rPr>
                <w:sz w:val="13"/>
                <w:szCs w:val="13"/>
                <w:color w:val="auto"/>
              </w:rPr>
            </w:pPr>
          </w:p>
        </w:tc>
        <w:tc>
          <w:tcPr>
            <w:tcW w:w="9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All Other</w:t>
            </w:r>
          </w:p>
        </w:tc>
        <w:tc>
          <w:tcPr>
            <w:tcW w:w="820" w:type="dxa"/>
            <w:vAlign w:val="bottom"/>
            <w:gridSpan w:val="2"/>
          </w:tcPr>
          <w:p>
            <w:pPr>
              <w:jc w:val="right"/>
              <w:ind w:right="10"/>
              <w:spacing w:after="0" w:line="149" w:lineRule="exact"/>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3"/>
                <w:szCs w:val="13"/>
                <w:color w:val="auto"/>
              </w:rPr>
            </w:pPr>
          </w:p>
        </w:tc>
        <w:tc>
          <w:tcPr>
            <w:tcW w:w="960" w:type="dxa"/>
            <w:vAlign w:val="bottom"/>
          </w:tcPr>
          <w:p>
            <w:pPr>
              <w:jc w:val="right"/>
              <w:ind w:right="259"/>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0" w:type="dxa"/>
            <w:vAlign w:val="bottom"/>
          </w:tcPr>
          <w:p>
            <w:pPr>
              <w:spacing w:after="0"/>
              <w:rPr>
                <w:sz w:val="18"/>
                <w:szCs w:val="18"/>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4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$ 661,007</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$ 533,340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$ 819,293</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$ 274,657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$ 2,288,297</w:t>
            </w: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30,583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39,323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30,063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124,677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224,646</w:t>
            </w: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31,264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44,558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104,835</w:t>
            </w:r>
          </w:p>
        </w:tc>
      </w:tr>
    </w:tbl>
    <w:p>
      <w:pPr>
        <w:spacing w:after="0" w:line="225" w:lineRule="exact"/>
        <w:rPr>
          <w:sz w:val="20"/>
          <w:szCs w:val="20"/>
          <w:color w:val="auto"/>
        </w:rPr>
      </w:pPr>
    </w:p>
    <w:p>
      <w:pPr>
        <w:ind w:left="500" w:hanging="491"/>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tax rates differ from statutory federal income tax rates, primarily due to provisions for state and local income taxes and permanent tax differences. Our effective tax rate was 24.0% in the second quarter of 2019 compared to 22.9% for same period in 2018. Our effective tax rate was 24.1% in the first six months of 2019 compared to 22.6% for the same period in 2018. The increase was primarily due to recording certain discrete tax benefits in 2018 related to state income tax and stock-based compensation deduction, which lowered the effective tax rate last year.</w:t>
      </w:r>
    </w:p>
    <w:p>
      <w:pPr>
        <w:spacing w:after="0" w:line="169" w:lineRule="exact"/>
        <w:rPr>
          <w:sz w:val="20"/>
          <w:szCs w:val="20"/>
          <w:color w:val="auto"/>
        </w:rPr>
      </w:pPr>
    </w:p>
    <w:p>
      <w:pPr>
        <w:ind w:left="440" w:hanging="431"/>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February 2016, the Financial Accounting Standards Board (FASB) issued Accounting Standard Update (ASU) No. 2016-02, “Leases (Topic 842)” (ASU 2016-02). Under ASU 2016-02, an entity will be required to recognize assets and liabilities for the rights and obligations created by leases on the entity’s balance sheet for both finance and operating leases. For leases with a term of 12 months or less, an entity can elect to not recognize lease assets and lease liabilities and expense the lease over a straight-line basis for the term of the lease. ASU 2016-02 requires new disclosures that depict the amount, timing, and uncertainty of cash flows pertaining to an entity’s leases. Companies are required to adopt the new standard for annual and interim periods beginning after December 15, 2018. Early adoption of ASU 2016-02 is permitted. The FASB decided to amend certain aspects of its new leasing standard in an attempt to provide a relief from implementation costs. Specifically, entities may elect not to restate their comparative periods in the period of adoption when transitioning to the new standard.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Upon adoption of ASC 842, there was no cumulative effect adjustment to retained earnings or other components of equity.</w:t>
      </w: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elected the package of practical expedients whereby we are not required to 1) reassess whether any expired or existing contracts contain leases, 2) reassess the lease classification of existing leases, and 3) reassess initial direct costs for any existing leases. Additionally, we did not elect the hindsight practical expedient to determine the reasonably certain lease term for existing leases. We did elect to account for lease and related non-lease components as a single lease component. We elected to not recognize leases with an original term of 12 months or less as they are not significant to our consolidated balance sheet and income statement. We have assessed and updated our business processes, systems, and controls to ensure compliance with the new accounting and disclosure requirements in accordance with the new standard.</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certain real estate under non-cancelable operating lease agreements with typical original terms ranging from one to ten years. We are required to pay real estate taxes and other occupancy costs under certain leases, which are variable in nature and not included in the right of use asset or lease liability. Certain leases carry renewal options of five to fifteen years. We believe that future leases will likely have similar terms. We also lease motor vehicles, equipment, and an aircraft under operating lease agreements for periods of one to ten years. We do not typically enter into leases with residual value guarantees.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finance leases will have no significant impact to our consolidated balance sheet and income statement as of June 29,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29, 2019, we have no leases that have not yet commenced that would significantly impact the rights, obligations, and financial position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rates implicit in our leases are primarily not readily available. To determine the discount rate used to present value the lease payments, the Company utilized the 5-year treasury note rate plus a blend of rate spreads associated with our revolver and 10-12-year senior notes. We feel the determined rate is a reasonable collectively representation of our lease population.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payments under non-cancelable operating leases on June 29, 2019 are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Operating</w:t>
            </w:r>
          </w:p>
        </w:tc>
      </w:tr>
      <w:tr>
        <w:trPr>
          <w:trHeight w:val="178"/>
        </w:trPr>
        <w:tc>
          <w:tcPr>
            <w:tcW w:w="8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Leases</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2019 (remainder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8,959</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16,165</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13,996</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11,958</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w:t>
            </w:r>
          </w:p>
        </w:tc>
      </w:tr>
      <w:tr>
        <w:trPr>
          <w:trHeight w:val="223"/>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21,743</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82,223</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Less present value discount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(11,430)</w:t>
            </w:r>
          </w:p>
        </w:tc>
      </w:tr>
      <w:tr>
        <w:trPr>
          <w:trHeight w:val="216"/>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70,793</w:t>
            </w:r>
          </w:p>
        </w:tc>
      </w:tr>
      <w:tr>
        <w:trPr>
          <w:trHeight w:val="20"/>
        </w:trPr>
        <w:tc>
          <w:tcPr>
            <w:tcW w:w="8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Rent expense was approximately $6.3 million and $7.8 million during the second quarter of 2019 and 2018,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For comparison purposes, we have included the future minimum payments under non-cancelable operating leases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29, 2018, (in thousands):</w:t>
      </w:r>
    </w:p>
    <w:tbl>
      <w:tblPr>
        <w:tblLayout w:type="fixed"/>
        <w:tblInd w:w="0" w:type="dxa"/>
        <w:tblCellMar>
          <w:top w:w="0" w:type="dxa"/>
          <w:left w:w="0" w:type="dxa"/>
          <w:bottom w:w="0" w:type="dxa"/>
          <w:right w:w="0" w:type="dxa"/>
        </w:tblCellMar>
      </w:tblPr>
      <w:tr>
        <w:trPr>
          <w:trHeight w:val="148"/>
        </w:trPr>
        <w:tc>
          <w:tcPr>
            <w:tcW w:w="8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6"/>
              </w:rPr>
              <w:t>Operating</w:t>
            </w:r>
          </w:p>
        </w:tc>
      </w:tr>
      <w:tr>
        <w:trPr>
          <w:trHeight w:val="149"/>
        </w:trPr>
        <w:tc>
          <w:tcPr>
            <w:tcW w:w="8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4"/>
              </w:rPr>
              <w:t>Leases</w:t>
            </w:r>
          </w:p>
        </w:tc>
      </w:tr>
      <w:tr>
        <w:trPr>
          <w:trHeight w:val="178"/>
        </w:trPr>
        <w:tc>
          <w:tcPr>
            <w:tcW w:w="8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4"/>
              </w:rPr>
              <w:t>12/29/2018</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17,242</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11,969</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8,346</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r>
      <w:tr>
        <w:trPr>
          <w:trHeight w:val="223"/>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22,498</w:t>
            </w:r>
          </w:p>
        </w:tc>
      </w:tr>
      <w:tr>
        <w:trPr>
          <w:trHeight w:val="216"/>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76,221</w:t>
            </w:r>
          </w:p>
        </w:tc>
      </w:tr>
      <w:tr>
        <w:trPr>
          <w:trHeight w:val="20"/>
        </w:trPr>
        <w:tc>
          <w:tcPr>
            <w:tcW w:w="8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first quarter of 2018, the Company completed a sale and leaseback transaction related to one facility in Medley, Florida. The sale price for the property was approximately $36 million and created a $7 million pre-tax gain, which was entirely recognized in 2018. The Company leased back the facility for two years as it executes its long-term plan for Florida and the Southeast region, however, only a minor portion of the property sold was leased back.</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29, 2019, the weighted average lease term for operating leases is 6.96 years. Similarly, the weighted average discount rate for operating leases is 3.78%.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460" w:type="dxa"/>
            <w:vAlign w:val="bottom"/>
          </w:tcPr>
          <w:p>
            <w:pPr>
              <w:ind w:left="1060"/>
              <w:spacing w:after="0"/>
              <w:rPr>
                <w:sz w:val="20"/>
                <w:szCs w:val="20"/>
                <w:color w:val="auto"/>
              </w:rPr>
            </w:pPr>
            <w:r>
              <w:rPr>
                <w:rFonts w:ascii="Arial" w:cs="Arial" w:eastAsia="Arial" w:hAnsi="Arial"/>
                <w:sz w:val="18"/>
                <w:szCs w:val="18"/>
                <w:b w:val="1"/>
                <w:bCs w:val="1"/>
                <w:color w:val="auto"/>
              </w:rPr>
              <w:t>UNIVERSAL FOREST PRODUCTS, INC.</w:t>
            </w: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J.</w:t>
            </w:r>
          </w:p>
        </w:tc>
        <w:tc>
          <w:tcPr>
            <w:tcW w:w="7120" w:type="dxa"/>
            <w:vAlign w:val="bottom"/>
            <w:gridSpan w:val="2"/>
          </w:tcPr>
          <w:p>
            <w:pPr>
              <w:ind w:left="300"/>
              <w:spacing w:after="0"/>
              <w:rPr>
                <w:sz w:val="20"/>
                <w:szCs w:val="20"/>
                <w:color w:val="auto"/>
              </w:rPr>
            </w:pPr>
            <w:r>
              <w:rPr>
                <w:rFonts w:ascii="Arial" w:cs="Arial" w:eastAsia="Arial" w:hAnsi="Arial"/>
                <w:sz w:val="18"/>
                <w:szCs w:val="18"/>
                <w:b w:val="1"/>
                <w:bCs w:val="1"/>
                <w:color w:val="auto"/>
              </w:rPr>
              <w:t>COMMON STOCK</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80" w:type="dxa"/>
            <w:vAlign w:val="bottom"/>
            <w:gridSpan w:val="4"/>
          </w:tcPr>
          <w:p>
            <w:pPr>
              <w:spacing w:after="0"/>
              <w:rPr>
                <w:sz w:val="20"/>
                <w:szCs w:val="20"/>
                <w:color w:val="auto"/>
              </w:rPr>
            </w:pPr>
            <w:r>
              <w:rPr>
                <w:rFonts w:ascii="Arial" w:cs="Arial" w:eastAsia="Arial" w:hAnsi="Arial"/>
                <w:sz w:val="18"/>
                <w:szCs w:val="18"/>
                <w:color w:val="auto"/>
              </w:rPr>
              <w:t>Below is a summary of common stock issuances for the first six months of 2019 and 2018:</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7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June 29,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3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54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1820" w:type="dxa"/>
            <w:vAlign w:val="bottom"/>
            <w:gridSpan w:val="3"/>
            <w:vMerge w:val="restart"/>
          </w:tcPr>
          <w:p>
            <w:pPr>
              <w:spacing w:after="0" w:line="192" w:lineRule="exact"/>
              <w:rPr>
                <w:sz w:val="20"/>
                <w:szCs w:val="20"/>
                <w:color w:val="auto"/>
              </w:rPr>
            </w:pPr>
            <w:r>
              <w:rPr>
                <w:rFonts w:ascii="Arial" w:cs="Arial" w:eastAsia="Arial" w:hAnsi="Arial"/>
                <w:sz w:val="18"/>
                <w:szCs w:val="18"/>
                <w:b w:val="1"/>
                <w:bCs w:val="1"/>
                <w:color w:val="auto"/>
                <w:w w:val="89"/>
              </w:rPr>
              <w:t>Share Issuance Activity</w:t>
            </w:r>
          </w:p>
        </w:tc>
        <w:tc>
          <w:tcPr>
            <w:tcW w:w="546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820" w:type="dxa"/>
            <w:vAlign w:val="bottom"/>
            <w:tcBorders>
              <w:bottom w:val="single" w:sz="8" w:color="auto"/>
            </w:tcBorders>
            <w:gridSpan w:val="3"/>
            <w:vMerge w:val="continue"/>
          </w:tcPr>
          <w:p>
            <w:pPr>
              <w:spacing w:after="0"/>
              <w:rPr>
                <w:sz w:val="11"/>
                <w:szCs w:val="11"/>
                <w:color w:val="auto"/>
              </w:rPr>
            </w:pPr>
          </w:p>
        </w:tc>
        <w:tc>
          <w:tcPr>
            <w:tcW w:w="54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0" w:type="dxa"/>
            <w:vAlign w:val="bottom"/>
            <w:tcBorders>
              <w:bottom w:val="single" w:sz="8" w:color="CCEEFF"/>
            </w:tcBorders>
            <w:gridSpan w:val="2"/>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issued under the long term stock incentive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120" w:type="dxa"/>
            <w:vAlign w:val="bottom"/>
            <w:gridSpan w:val="2"/>
          </w:tcPr>
          <w:p>
            <w:pPr>
              <w:ind w:left="20"/>
              <w:spacing w:after="0"/>
              <w:rPr>
                <w:sz w:val="20"/>
                <w:szCs w:val="20"/>
                <w:color w:val="auto"/>
              </w:rPr>
            </w:pPr>
            <w:r>
              <w:rPr>
                <w:rFonts w:ascii="Arial" w:cs="Arial" w:eastAsia="Arial" w:hAnsi="Arial"/>
                <w:sz w:val="18"/>
                <w:szCs w:val="18"/>
                <w:color w:val="auto"/>
              </w:rPr>
              <w:t>Shares issued under the executive stock match grants</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109</w:t>
            </w:r>
          </w:p>
        </w:tc>
        <w:tc>
          <w:tcPr>
            <w:tcW w:w="3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31.57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(16)</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shares issued under stock grant programs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309</w:t>
            </w:r>
          </w:p>
        </w:tc>
        <w:tc>
          <w:tcPr>
            <w:tcW w:w="3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31.11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Shares issued under the deferred compensation plans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155</w:t>
            </w:r>
          </w:p>
        </w:tc>
        <w:tc>
          <w:tcPr>
            <w:tcW w:w="3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32.58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464</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8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19"/>
        </w:trPr>
        <w:tc>
          <w:tcPr>
            <w:tcW w:w="18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3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1820" w:type="dxa"/>
            <w:vAlign w:val="bottom"/>
          </w:tcPr>
          <w:p>
            <w:pPr>
              <w:spacing w:after="0"/>
              <w:rPr>
                <w:sz w:val="5"/>
                <w:szCs w:val="5"/>
                <w:color w:val="auto"/>
              </w:rPr>
            </w:pPr>
          </w:p>
        </w:tc>
        <w:tc>
          <w:tcPr>
            <w:tcW w:w="54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182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9"/>
              </w:rPr>
              <w:t>Share Issuance Activity</w:t>
            </w:r>
          </w:p>
        </w:tc>
        <w:tc>
          <w:tcPr>
            <w:tcW w:w="54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3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820" w:type="dxa"/>
            <w:vAlign w:val="bottom"/>
            <w:tcBorders>
              <w:bottom w:val="single" w:sz="8" w:color="auto"/>
            </w:tcBorders>
            <w:vMerge w:val="continue"/>
          </w:tcPr>
          <w:p>
            <w:pPr>
              <w:spacing w:after="0"/>
              <w:rPr>
                <w:sz w:val="11"/>
                <w:szCs w:val="11"/>
                <w:color w:val="auto"/>
              </w:rPr>
            </w:pPr>
          </w:p>
        </w:tc>
        <w:tc>
          <w:tcPr>
            <w:tcW w:w="54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
        </w:trPr>
        <w:tc>
          <w:tcPr>
            <w:tcW w:w="1820" w:type="dxa"/>
            <w:vAlign w:val="bottom"/>
            <w:tcBorders>
              <w:bottom w:val="single" w:sz="8" w:color="CCEEFF"/>
            </w:tcBorders>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34.78</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35.47</w:t>
            </w:r>
          </w:p>
        </w:tc>
        <w:tc>
          <w:tcPr>
            <w:tcW w:w="0" w:type="dxa"/>
            <w:vAlign w:val="bottom"/>
          </w:tcPr>
          <w:p>
            <w:pPr>
              <w:spacing w:after="0"/>
              <w:rPr>
                <w:sz w:val="1"/>
                <w:szCs w:val="1"/>
                <w:color w:val="auto"/>
              </w:rPr>
            </w:pP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97</w:t>
            </w:r>
          </w:p>
        </w:tc>
        <w:tc>
          <w:tcPr>
            <w:tcW w:w="3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16.57</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long term stock incentive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164</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34.75</w:t>
            </w:r>
          </w:p>
        </w:tc>
        <w:tc>
          <w:tcPr>
            <w:tcW w:w="0" w:type="dxa"/>
            <w:vAlign w:val="bottom"/>
          </w:tcPr>
          <w:p>
            <w:pPr>
              <w:spacing w:after="0"/>
              <w:rPr>
                <w:sz w:val="1"/>
                <w:szCs w:val="1"/>
                <w:color w:val="auto"/>
              </w:rPr>
            </w:pPr>
          </w:p>
        </w:tc>
      </w:tr>
      <w:tr>
        <w:trPr>
          <w:trHeight w:val="216"/>
        </w:trPr>
        <w:tc>
          <w:tcPr>
            <w:tcW w:w="726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executive stock match grants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94</w:t>
            </w:r>
          </w:p>
        </w:tc>
        <w:tc>
          <w:tcPr>
            <w:tcW w:w="3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32.94</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shares issued under stock grant programs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347</w:t>
            </w:r>
          </w:p>
        </w:tc>
        <w:tc>
          <w:tcPr>
            <w:tcW w:w="3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29.33</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Shares issued under the deferred compensation plans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132</w:t>
            </w:r>
          </w:p>
        </w:tc>
        <w:tc>
          <w:tcPr>
            <w:tcW w:w="3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36.04</w:t>
            </w:r>
          </w:p>
        </w:tc>
        <w:tc>
          <w:tcPr>
            <w:tcW w:w="0" w:type="dxa"/>
            <w:vAlign w:val="bottom"/>
          </w:tcPr>
          <w:p>
            <w:pPr>
              <w:spacing w:after="0"/>
              <w:rPr>
                <w:sz w:val="1"/>
                <w:szCs w:val="1"/>
                <w:color w:val="auto"/>
              </w:rPr>
            </w:pPr>
          </w:p>
        </w:tc>
      </w:tr>
      <w:tr>
        <w:trPr>
          <w:trHeight w:val="210"/>
        </w:trPr>
        <w:tc>
          <w:tcPr>
            <w:tcW w:w="7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479</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31.27</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Universal Forest Products, Inc. is a holding company with subsidiaries throughout North America, Europe, Asia, and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Australia that supply wood, wood composite and other products to three robust markets: retail, industrial,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construction. The Company is headquartered in Grand Rapids, Mich. For more information about Universal Forest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 or its affiliated operations, go to www.ufpi.com.</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2019.</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the second quarter of 2019 were impacted by the following:</w:t>
      </w:r>
    </w:p>
    <w:p>
      <w:pPr>
        <w:spacing w:after="0" w:line="225" w:lineRule="exact"/>
        <w:rPr>
          <w:sz w:val="20"/>
          <w:szCs w:val="20"/>
          <w:color w:val="auto"/>
        </w:rPr>
      </w:pPr>
    </w:p>
    <w:p>
      <w:pPr>
        <w:ind w:left="840" w:right="40" w:hanging="318"/>
        <w:spacing w:after="0" w:line="302" w:lineRule="auto"/>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gross sales decreased by 4% compared to the second quarter of 2018, which was comprised of a 5% increase in unit sales, offset by a 9% decrease in selling prices primarily due to the commodity lumber market (see Historical Lumber Prices below). Organic growth contributed 4% of our unit sales increase, while acquisitions contributed 1%. We experienced favorable unit growth to each of the primary markets we serve.</w:t>
      </w:r>
    </w:p>
    <w:p>
      <w:pPr>
        <w:spacing w:after="0" w:line="154" w:lineRule="exact"/>
        <w:rPr>
          <w:rFonts w:ascii="Arial" w:cs="Arial" w:eastAsia="Arial" w:hAnsi="Arial"/>
          <w:sz w:val="16"/>
          <w:szCs w:val="16"/>
          <w:color w:val="auto"/>
        </w:rPr>
      </w:pPr>
    </w:p>
    <w:p>
      <w:pPr>
        <w:jc w:val="both"/>
        <w:ind w:left="840" w:right="320" w:hanging="318"/>
        <w:spacing w:after="0" w:line="312" w:lineRule="auto"/>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operating profits increased over 22%, which compares favorably with our 5% increase in unit sales. The improvement in our profitability was primarily due to a favorable change in our product mix to sales of more value-added products and the impact of lower lumber costs on products we sell with fixed selling prices.</w:t>
      </w:r>
    </w:p>
    <w:p>
      <w:pPr>
        <w:spacing w:after="0" w:line="146" w:lineRule="exact"/>
        <w:rPr>
          <w:rFonts w:ascii="Arial" w:cs="Arial" w:eastAsia="Arial" w:hAnsi="Arial"/>
          <w:sz w:val="16"/>
          <w:szCs w:val="16"/>
          <w:color w:val="auto"/>
        </w:rPr>
      </w:pPr>
    </w:p>
    <w:p>
      <w:pPr>
        <w:ind w:left="840" w:right="280" w:hanging="318"/>
        <w:spacing w:after="0" w:line="264"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cash flow from operating activities improved by $107 million due, in part, to lower lumber prices which lowered our investment in working capital and opportunistic buying of inventory in the fourth quarter of 2018 which was sold in 2019.</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44" w:right="14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experience significant fluctuations in the cost of commodity lumber products from primary producers (“Lumber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 The following table presents the Random Lengths framing lumber composite price:</w:t>
      </w:r>
    </w:p>
    <w:p>
      <w:pPr>
        <w:spacing w:after="0" w:line="216"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Random Lengths Composite</w:t>
      </w:r>
    </w:p>
    <w:p>
      <w:pPr>
        <w:jc w:val="center"/>
        <w:ind w:left="6920"/>
        <w:spacing w:after="0" w:line="236" w:lineRule="auto"/>
        <w:rPr>
          <w:sz w:val="20"/>
          <w:szCs w:val="20"/>
          <w:color w:val="auto"/>
        </w:rPr>
      </w:pPr>
      <w:r>
        <w:rPr>
          <w:rFonts w:ascii="Arial" w:cs="Arial" w:eastAsia="Arial" w:hAnsi="Arial"/>
          <w:sz w:val="14"/>
          <w:szCs w:val="14"/>
          <w:b w:val="1"/>
          <w:bCs w:val="1"/>
          <w:color w:val="auto"/>
        </w:rPr>
        <w:t>Average $/MBF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23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February</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April</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June</w:t>
            </w: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Second quarter average</w:t>
            </w:r>
          </w:p>
        </w:tc>
        <w:tc>
          <w:tcPr>
            <w:tcW w:w="246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Year-to-date average</w:t>
            </w:r>
          </w:p>
        </w:tc>
        <w:tc>
          <w:tcPr>
            <w:tcW w:w="2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percentage change</w:t>
            </w:r>
          </w:p>
        </w:tc>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Year-to-date percentage change</w:t>
            </w:r>
          </w:p>
        </w:tc>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addition, a Southern Yellow Pine (“SYP”) composite price, which we prepare and use, is presented below. Our purchases of this species comprised approximately 45% of total lumber purchases through the first six months of 2019 and 2018.</w:t>
      </w:r>
    </w:p>
    <w:p>
      <w:pPr>
        <w:spacing w:after="0" w:line="129"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Southern Yellow Pine</w:t>
      </w:r>
    </w:p>
    <w:p>
      <w:pPr>
        <w:jc w:val="center"/>
        <w:ind w:left="7220"/>
        <w:spacing w:after="0" w:line="236" w:lineRule="auto"/>
        <w:rPr>
          <w:sz w:val="20"/>
          <w:szCs w:val="20"/>
          <w:color w:val="auto"/>
        </w:rPr>
      </w:pPr>
      <w:r>
        <w:rPr>
          <w:rFonts w:ascii="Arial" w:cs="Arial" w:eastAsia="Arial" w:hAnsi="Arial"/>
          <w:sz w:val="14"/>
          <w:szCs w:val="14"/>
          <w:b w:val="1"/>
          <w:bCs w:val="1"/>
          <w:color w:val="auto"/>
        </w:rPr>
        <w:t>Average $/MBF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2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February</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April</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June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16"/>
        </w:trPr>
        <w:tc>
          <w:tcPr>
            <w:tcW w:w="7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Second quarter average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Year-to-date average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percentage change</w:t>
            </w:r>
          </w:p>
        </w:tc>
        <w:tc>
          <w:tcPr>
            <w:tcW w:w="56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(28.7)%</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Year-to-date percentage change</w:t>
            </w:r>
          </w:p>
        </w:tc>
        <w:tc>
          <w:tcPr>
            <w:tcW w:w="5600" w:type="dxa"/>
            <w:vAlign w:val="bottom"/>
          </w:tcPr>
          <w:p>
            <w:pPr>
              <w:jc w:val="right"/>
              <w:ind w:right="810"/>
              <w:spacing w:after="0"/>
              <w:rPr>
                <w:sz w:val="20"/>
                <w:szCs w:val="20"/>
                <w:color w:val="auto"/>
              </w:rPr>
            </w:pPr>
            <w:r>
              <w:rPr>
                <w:rFonts w:ascii="Arial" w:cs="Arial" w:eastAsia="Arial" w:hAnsi="Arial"/>
                <w:sz w:val="18"/>
                <w:szCs w:val="18"/>
                <w:color w:val="auto"/>
              </w:rPr>
              <w:t>(21.4)%</w:t>
            </w:r>
          </w:p>
        </w:tc>
      </w:tr>
      <w:tr>
        <w:trPr>
          <w:trHeight w:val="850"/>
        </w:trPr>
        <w:tc>
          <w:tcPr>
            <w:tcW w:w="3460" w:type="dxa"/>
            <w:vAlign w:val="bottom"/>
          </w:tcPr>
          <w:p>
            <w:pPr>
              <w:spacing w:after="0"/>
              <w:rPr>
                <w:sz w:val="24"/>
                <w:szCs w:val="24"/>
                <w:color w:val="auto"/>
              </w:rPr>
            </w:pPr>
          </w:p>
        </w:tc>
        <w:tc>
          <w:tcPr>
            <w:tcW w:w="5600" w:type="dxa"/>
            <w:vAlign w:val="bottom"/>
          </w:tcPr>
          <w:p>
            <w:pPr>
              <w:jc w:val="right"/>
              <w:ind w:right="4350"/>
              <w:spacing w:after="0"/>
              <w:rPr>
                <w:sz w:val="20"/>
                <w:szCs w:val="20"/>
                <w:color w:val="auto"/>
              </w:rPr>
            </w:pPr>
            <w:r>
              <w:rPr>
                <w:rFonts w:ascii="Arial" w:cs="Arial" w:eastAsia="Arial" w:hAnsi="Arial"/>
                <w:sz w:val="18"/>
                <w:szCs w:val="18"/>
                <w:color w:val="auto"/>
              </w:rPr>
              <w:t>18</w:t>
            </w:r>
          </w:p>
        </w:tc>
      </w:tr>
      <w:tr>
        <w:trPr>
          <w:trHeight w:val="547"/>
        </w:trPr>
        <w:tc>
          <w:tcPr>
            <w:tcW w:w="34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44" w:right="14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43.4% and 52.8% of our sales in the first six months of 2019 and 2018, respectively.</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ind w:left="840" w:right="20" w:hanging="318"/>
        <w:spacing w:after="0" w:line="271" w:lineRule="auto"/>
        <w:tabs>
          <w:tab w:leader="none" w:pos="84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Products with fixed selling prices.</w:t>
      </w:r>
      <w:r>
        <w:rPr>
          <w:rFonts w:ascii="Arial" w:cs="Arial" w:eastAsia="Arial" w:hAnsi="Arial"/>
          <w:sz w:val="17"/>
          <w:szCs w:val="17"/>
          <w:color w:val="auto"/>
        </w:rPr>
        <w:t xml:space="preserve"> These products include value-added products such as deck components and fencing sold to retail customers, as well as trusses, wall panels and other components sold to the construction market, and most industrial packaging products. Prices for these products are generally fixed at the time of the sales quotation for a specified period of time or are based upon a specific quantity. In order to maintain margins and reduce any exposure to adverse trends in the price of component lumber products, we attempt to lock in costs with our suppliers for these sales commitments. Also, the time period and quantity limitations eventually allow us to re-price our products for changes in lumber costs from our suppliers. We believe our sales of these products are at their highest relative level in our third and fourth quarter.</w:t>
      </w:r>
    </w:p>
    <w:p>
      <w:pPr>
        <w:spacing w:after="0" w:line="178" w:lineRule="exact"/>
        <w:rPr>
          <w:rFonts w:ascii="Arial" w:cs="Arial" w:eastAsia="Arial" w:hAnsi="Arial"/>
          <w:sz w:val="17"/>
          <w:szCs w:val="17"/>
          <w:color w:val="auto"/>
        </w:rPr>
      </w:pPr>
    </w:p>
    <w:p>
      <w:pPr>
        <w:ind w:left="840" w:right="140" w:hanging="318"/>
        <w:spacing w:after="0" w:line="255"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Products with selling prices indexed to the reported Lumber Market with a fixed dollar “adder” to cover conversion costs and profits.</w:t>
      </w:r>
      <w:r>
        <w:rPr>
          <w:rFonts w:ascii="Arial" w:cs="Arial" w:eastAsia="Arial" w:hAnsi="Arial"/>
          <w:sz w:val="18"/>
          <w:szCs w:val="18"/>
          <w:color w:val="auto"/>
        </w:rPr>
        <w:t xml:space="preserve"> These products primarily include treated lumber, remanufactured lumber,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treated lumber sold to the retail market.</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each of the product pricing categories above, our margins are exposed to changes in the trend of lumber prices.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ind w:left="840" w:right="140" w:hanging="318"/>
        <w:spacing w:after="0" w:line="271" w:lineRule="auto"/>
        <w:tabs>
          <w:tab w:leader="none" w:pos="84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Products with significant inventory levels with low turnover rates, whose selling prices are indexed to the Lumber Market.</w:t>
      </w:r>
      <w:r>
        <w:rPr>
          <w:rFonts w:ascii="Arial" w:cs="Arial" w:eastAsia="Arial" w:hAnsi="Arial"/>
          <w:sz w:val="17"/>
          <w:szCs w:val="17"/>
          <w:color w:val="auto"/>
        </w:rPr>
        <w:t xml:space="preserve"> In other words, the longer the period of time these products remain in inventory, the greater the exposure to changes in the price of lumber. This would include treated lumber, which comprises approximately 16%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7"/>
          <w:szCs w:val="17"/>
          <w:i w:val="1"/>
          <w:iCs w:val="1"/>
          <w:color w:val="auto"/>
        </w:rPr>
        <w:t>Please refer to the “Risk Factors” section of our annual report on form 10-K, filed with the United States</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and Exchange Commission.</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840" w:right="140" w:hanging="318"/>
        <w:spacing w:after="0" w:line="264"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by locking in costs.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Period 2</w:t>
            </w:r>
          </w:p>
        </w:tc>
      </w:tr>
      <w:tr>
        <w:trPr>
          <w:trHeight w:val="216"/>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2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29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Product cost</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29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Sell price</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Gross margin</w:t>
            </w: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As is apparent from the preceding example,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lumber prices does not impact our overall profits, but does impact our margins. Gross margins are negatively impacted during periods of high lumber prices; conversely, we experience margin improvement when lumber prices are relatively low. In order to more effectively evaluate our profitability in such periods, we believe it is useful to compare our change in units shipped with our changes in costs and profits.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completed one business acquisition during the first six months of 2019 and seven during all of 2018. The annual historical sales attributable to acquisitions completed in the first six months of 2019 and all of 2018 were approximately $5 million and $140 million, respectively. These business combinations were not significant to our quarterly or year-to-date operating results individually or in aggregate and thus pro forma results for 2019 or 2018 are not presented.</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240" w:type="dxa"/>
            <w:vAlign w:val="bottom"/>
          </w:tcPr>
          <w:p>
            <w:pPr>
              <w:spacing w:after="0"/>
              <w:rPr>
                <w:sz w:val="15"/>
                <w:szCs w:val="15"/>
                <w:color w:val="auto"/>
              </w:rPr>
            </w:pPr>
          </w:p>
        </w:tc>
        <w:tc>
          <w:tcPr>
            <w:tcW w:w="14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5"/>
                <w:szCs w:val="15"/>
                <w:color w:val="auto"/>
              </w:rPr>
            </w:pPr>
          </w:p>
        </w:tc>
      </w:tr>
      <w:tr>
        <w:trPr>
          <w:trHeight w:val="126"/>
        </w:trPr>
        <w:tc>
          <w:tcPr>
            <w:tcW w:w="20" w:type="dxa"/>
            <w:vAlign w:val="bottom"/>
          </w:tcPr>
          <w:p>
            <w:pPr>
              <w:spacing w:after="0"/>
              <w:rPr>
                <w:sz w:val="10"/>
                <w:szCs w:val="10"/>
                <w:color w:val="auto"/>
              </w:rPr>
            </w:pPr>
          </w:p>
        </w:tc>
        <w:tc>
          <w:tcPr>
            <w:tcW w:w="562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6"/>
              </w:rPr>
              <w:t>June 29,</w:t>
            </w:r>
          </w:p>
        </w:tc>
        <w:tc>
          <w:tcPr>
            <w:tcW w:w="24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6"/>
              </w:rPr>
              <w:t>June 30,</w:t>
            </w:r>
          </w:p>
        </w:tc>
        <w:tc>
          <w:tcPr>
            <w:tcW w:w="24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2"/>
              </w:rPr>
              <w:t>June 29,</w:t>
            </w:r>
          </w:p>
        </w:tc>
        <w:tc>
          <w:tcPr>
            <w:tcW w:w="240" w:type="dxa"/>
            <w:vAlign w:val="bottom"/>
          </w:tcPr>
          <w:p>
            <w:pPr>
              <w:spacing w:after="0"/>
              <w:rPr>
                <w:sz w:val="10"/>
                <w:szCs w:val="10"/>
                <w:color w:val="auto"/>
              </w:rPr>
            </w:pPr>
          </w:p>
        </w:tc>
        <w:tc>
          <w:tcPr>
            <w:tcW w:w="60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6"/>
              </w:rPr>
              <w:t>June 30,</w:t>
            </w:r>
          </w:p>
        </w:tc>
        <w:tc>
          <w:tcPr>
            <w:tcW w:w="320" w:type="dxa"/>
            <w:vAlign w:val="bottom"/>
          </w:tcPr>
          <w:p>
            <w:pPr>
              <w:spacing w:after="0"/>
              <w:rPr>
                <w:sz w:val="10"/>
                <w:szCs w:val="10"/>
                <w:color w:val="auto"/>
              </w:rPr>
            </w:pPr>
          </w:p>
        </w:tc>
      </w:tr>
      <w:tr>
        <w:trPr>
          <w:trHeight w:val="178"/>
        </w:trPr>
        <w:tc>
          <w:tcPr>
            <w:tcW w:w="20" w:type="dxa"/>
            <w:vAlign w:val="bottom"/>
          </w:tcPr>
          <w:p>
            <w:pPr>
              <w:spacing w:after="0"/>
              <w:rPr>
                <w:sz w:val="15"/>
                <w:szCs w:val="15"/>
                <w:color w:val="auto"/>
              </w:rPr>
            </w:pPr>
          </w:p>
        </w:tc>
        <w:tc>
          <w:tcPr>
            <w:tcW w:w="56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r>
      <w:tr>
        <w:trPr>
          <w:trHeight w:val="223"/>
        </w:trPr>
        <w:tc>
          <w:tcPr>
            <w:tcW w:w="20" w:type="dxa"/>
            <w:vAlign w:val="bottom"/>
          </w:tcPr>
          <w:p>
            <w:pPr>
              <w:spacing w:after="0"/>
              <w:rPr>
                <w:sz w:val="19"/>
                <w:szCs w:val="19"/>
                <w:color w:val="auto"/>
              </w:rPr>
            </w:pPr>
          </w:p>
        </w:tc>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2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24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32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 on disposition and impairment of assets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line="203" w:lineRule="exact"/>
              <w:rPr>
                <w:sz w:val="20"/>
                <w:szCs w:val="20"/>
                <w:color w:val="auto"/>
              </w:rPr>
            </w:pPr>
            <w:r>
              <w:rPr>
                <w:rFonts w:ascii="Arial" w:cs="Arial" w:eastAsia="Arial" w:hAnsi="Arial"/>
                <w:sz w:val="18"/>
                <w:szCs w:val="18"/>
                <w:color w:val="auto"/>
              </w:rPr>
              <w:t>Earnings from operations</w:t>
            </w: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6.0</w:t>
            </w:r>
          </w:p>
        </w:tc>
        <w:tc>
          <w:tcPr>
            <w:tcW w:w="24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4.7</w:t>
            </w:r>
          </w:p>
        </w:tc>
        <w:tc>
          <w:tcPr>
            <w:tcW w:w="2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5.4</w:t>
            </w:r>
          </w:p>
        </w:tc>
        <w:tc>
          <w:tcPr>
            <w:tcW w:w="24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4.6</w:t>
            </w:r>
          </w:p>
        </w:tc>
        <w:tc>
          <w:tcPr>
            <w:tcW w:w="32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line="203" w:lineRule="exact"/>
              <w:rPr>
                <w:sz w:val="20"/>
                <w:szCs w:val="20"/>
                <w:color w:val="auto"/>
              </w:rPr>
            </w:pPr>
            <w:r>
              <w:rPr>
                <w:rFonts w:ascii="Arial" w:cs="Arial" w:eastAsia="Arial" w:hAnsi="Arial"/>
                <w:sz w:val="18"/>
                <w:szCs w:val="18"/>
                <w:color w:val="auto"/>
              </w:rPr>
              <w:t>Earnings before income taxes</w:t>
            </w: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5.8</w:t>
            </w:r>
          </w:p>
        </w:tc>
        <w:tc>
          <w:tcPr>
            <w:tcW w:w="24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4.5</w:t>
            </w:r>
          </w:p>
        </w:tc>
        <w:tc>
          <w:tcPr>
            <w:tcW w:w="2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5.3</w:t>
            </w:r>
          </w:p>
        </w:tc>
        <w:tc>
          <w:tcPr>
            <w:tcW w:w="24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4.4</w:t>
            </w:r>
          </w:p>
        </w:tc>
        <w:tc>
          <w:tcPr>
            <w:tcW w:w="32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5620" w:type="dxa"/>
            <w:vAlign w:val="bottom"/>
          </w:tcPr>
          <w:p>
            <w:pPr>
              <w:spacing w:after="0" w:line="203" w:lineRule="exact"/>
              <w:rPr>
                <w:sz w:val="20"/>
                <w:szCs w:val="20"/>
                <w:color w:val="auto"/>
              </w:rPr>
            </w:pPr>
            <w:r>
              <w:rPr>
                <w:rFonts w:ascii="Arial" w:cs="Arial" w:eastAsia="Arial" w:hAnsi="Arial"/>
                <w:sz w:val="18"/>
                <w:szCs w:val="18"/>
                <w:color w:val="auto"/>
              </w:rPr>
              <w:t>Net earnings</w:t>
            </w: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4.4</w:t>
            </w:r>
          </w:p>
        </w:tc>
        <w:tc>
          <w:tcPr>
            <w:tcW w:w="24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3.5</w:t>
            </w:r>
          </w:p>
        </w:tc>
        <w:tc>
          <w:tcPr>
            <w:tcW w:w="2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4.0</w:t>
            </w:r>
          </w:p>
        </w:tc>
        <w:tc>
          <w:tcPr>
            <w:tcW w:w="24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rPr>
              <w:t>3.4</w:t>
            </w:r>
          </w:p>
        </w:tc>
        <w:tc>
          <w:tcPr>
            <w:tcW w:w="32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tcBorders>
              <w:bottom w:val="single" w:sz="8" w:color="CCEEFF"/>
            </w:tcBorders>
            <w:shd w:val="clear" w:color="auto" w:fill="CCEEFF"/>
          </w:tcPr>
          <w:p>
            <w:pPr>
              <w:spacing w:after="0"/>
              <w:rPr>
                <w:sz w:val="20"/>
                <w:szCs w:val="20"/>
                <w:color w:val="auto"/>
              </w:rPr>
            </w:pPr>
          </w:p>
        </w:tc>
      </w:tr>
      <w:tr>
        <w:trPr>
          <w:trHeight w:val="210"/>
        </w:trPr>
        <w:tc>
          <w:tcPr>
            <w:tcW w:w="5640" w:type="dxa"/>
            <w:vAlign w:val="bottom"/>
            <w:gridSpan w:val="2"/>
          </w:tcPr>
          <w:p>
            <w:pPr>
              <w:spacing w:after="0" w:line="203" w:lineRule="exact"/>
              <w:rPr>
                <w:sz w:val="20"/>
                <w:szCs w:val="20"/>
                <w:color w:val="auto"/>
              </w:rPr>
            </w:pPr>
            <w:r>
              <w:rPr>
                <w:rFonts w:ascii="Arial" w:cs="Arial" w:eastAsia="Arial" w:hAnsi="Arial"/>
                <w:sz w:val="18"/>
                <w:szCs w:val="18"/>
                <w:color w:val="auto"/>
              </w:rPr>
              <w:t>Net earnings attributable to controlling interest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4"/>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4"/>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w:t>
            </w:r>
          </w:p>
        </w:tc>
        <w:tc>
          <w:tcPr>
            <w:tcW w:w="24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4"/>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320" w:type="dxa"/>
            <w:vAlign w:val="bottom"/>
          </w:tcPr>
          <w:p>
            <w:pPr>
              <w:jc w:val="right"/>
              <w:ind w:right="90"/>
              <w:spacing w:after="0" w:line="203" w:lineRule="exact"/>
              <w:rPr>
                <w:sz w:val="20"/>
                <w:szCs w:val="20"/>
                <w:color w:val="auto"/>
              </w:rPr>
            </w:pPr>
            <w:r>
              <w:rPr>
                <w:rFonts w:ascii="Arial" w:cs="Arial" w:eastAsia="Arial" w:hAnsi="Arial"/>
                <w:sz w:val="18"/>
                <w:szCs w:val="18"/>
                <w:color w:val="auto"/>
                <w:w w:val="74"/>
              </w:rPr>
              <w:t>%</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following table presents, for the periods indicated, the components of our Consolidated Statements of Earnings as a percentage of sales, adjusted to restate 2019 sales and cost of goods sold at prior year lumber prices. The restated sales amounts were calculated by applying the decrease in lumber prices in 2019 to 2018 sales levels. By eliminating the “pass-through” impact of higher or lower lumber prices on sales and cost of goods sold from year to year, we believe this provides an enhanced view of our change in profitability and costs as a percentage of sales. The amount of the adjustment to 2019 sales was also applied to cost of goods sold so that gross profit remains unchanged.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6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8"/>
              </w:rPr>
              <w:t>Adjusted for Lumber Market Change</w:t>
            </w:r>
          </w:p>
        </w:tc>
        <w:tc>
          <w:tcPr>
            <w:tcW w:w="25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w w:val="99"/>
              </w:rPr>
              <w:t>Adjusted for Lumber Market Change</w:t>
            </w:r>
          </w:p>
        </w:tc>
      </w:tr>
      <w:tr>
        <w:trPr>
          <w:trHeight w:val="178"/>
        </w:trPr>
        <w:tc>
          <w:tcPr>
            <w:tcW w:w="3940" w:type="dxa"/>
            <w:vAlign w:val="bottom"/>
          </w:tcPr>
          <w:p>
            <w:pPr>
              <w:spacing w:after="0"/>
              <w:rPr>
                <w:sz w:val="15"/>
                <w:szCs w:val="15"/>
                <w:color w:val="auto"/>
              </w:rPr>
            </w:pPr>
          </w:p>
        </w:tc>
        <w:tc>
          <w:tcPr>
            <w:tcW w:w="260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52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3940" w:type="dxa"/>
            <w:vAlign w:val="bottom"/>
          </w:tcPr>
          <w:p>
            <w:pPr>
              <w:spacing w:after="0"/>
              <w:rPr>
                <w:sz w:val="10"/>
                <w:szCs w:val="10"/>
                <w:color w:val="auto"/>
              </w:rPr>
            </w:pPr>
          </w:p>
        </w:tc>
        <w:tc>
          <w:tcPr>
            <w:tcW w:w="1240" w:type="dxa"/>
            <w:vAlign w:val="bottom"/>
            <w:tcBorders>
              <w:top w:val="single" w:sz="8" w:color="auto"/>
            </w:tcBorders>
            <w:gridSpan w:val="2"/>
          </w:tcPr>
          <w:p>
            <w:pPr>
              <w:jc w:val="right"/>
              <w:ind w:right="390"/>
              <w:spacing w:after="0" w:line="126" w:lineRule="exact"/>
              <w:rPr>
                <w:sz w:val="20"/>
                <w:szCs w:val="20"/>
                <w:color w:val="auto"/>
              </w:rPr>
            </w:pPr>
            <w:r>
              <w:rPr>
                <w:rFonts w:ascii="Arial" w:cs="Arial" w:eastAsia="Arial" w:hAnsi="Arial"/>
                <w:sz w:val="14"/>
                <w:szCs w:val="14"/>
                <w:b w:val="1"/>
                <w:bCs w:val="1"/>
                <w:color w:val="auto"/>
              </w:rPr>
              <w:t>June 29,</w:t>
            </w:r>
          </w:p>
        </w:tc>
        <w:tc>
          <w:tcPr>
            <w:tcW w:w="1220" w:type="dxa"/>
            <w:vAlign w:val="bottom"/>
            <w:tcBorders>
              <w:top w:val="single" w:sz="8" w:color="auto"/>
            </w:tcBorders>
            <w:gridSpan w:val="2"/>
          </w:tcPr>
          <w:p>
            <w:pPr>
              <w:jc w:val="right"/>
              <w:ind w:right="350"/>
              <w:spacing w:after="0" w:line="126"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0"/>
                <w:szCs w:val="10"/>
                <w:color w:val="auto"/>
              </w:rPr>
            </w:pPr>
          </w:p>
        </w:tc>
        <w:tc>
          <w:tcPr>
            <w:tcW w:w="1280" w:type="dxa"/>
            <w:vAlign w:val="bottom"/>
            <w:tcBorders>
              <w:top w:val="single" w:sz="8" w:color="auto"/>
            </w:tcBorders>
            <w:gridSpan w:val="2"/>
          </w:tcPr>
          <w:p>
            <w:pPr>
              <w:jc w:val="right"/>
              <w:ind w:right="410"/>
              <w:spacing w:after="0" w:line="126" w:lineRule="exact"/>
              <w:rPr>
                <w:sz w:val="20"/>
                <w:szCs w:val="20"/>
                <w:color w:val="auto"/>
              </w:rPr>
            </w:pPr>
            <w:r>
              <w:rPr>
                <w:rFonts w:ascii="Arial" w:cs="Arial" w:eastAsia="Arial" w:hAnsi="Arial"/>
                <w:sz w:val="14"/>
                <w:szCs w:val="14"/>
                <w:b w:val="1"/>
                <w:bCs w:val="1"/>
                <w:color w:val="auto"/>
              </w:rPr>
              <w:t>June 29,</w:t>
            </w:r>
          </w:p>
        </w:tc>
        <w:tc>
          <w:tcPr>
            <w:tcW w:w="1240" w:type="dxa"/>
            <w:vAlign w:val="bottom"/>
            <w:tcBorders>
              <w:top w:val="single" w:sz="8" w:color="auto"/>
            </w:tcBorders>
            <w:gridSpan w:val="2"/>
          </w:tcPr>
          <w:p>
            <w:pPr>
              <w:jc w:val="right"/>
              <w:ind w:right="390"/>
              <w:spacing w:after="0" w:line="126" w:lineRule="exact"/>
              <w:rPr>
                <w:sz w:val="20"/>
                <w:szCs w:val="20"/>
                <w:color w:val="auto"/>
              </w:rPr>
            </w:pPr>
            <w:r>
              <w:rPr>
                <w:rFonts w:ascii="Arial" w:cs="Arial" w:eastAsia="Arial" w:hAnsi="Arial"/>
                <w:sz w:val="14"/>
                <w:szCs w:val="14"/>
                <w:b w:val="1"/>
                <w:bCs w:val="1"/>
                <w:color w:val="auto"/>
              </w:rPr>
              <w:t>June 30,</w:t>
            </w:r>
          </w:p>
        </w:tc>
      </w:tr>
      <w:tr>
        <w:trPr>
          <w:trHeight w:val="178"/>
        </w:trPr>
        <w:tc>
          <w:tcPr>
            <w:tcW w:w="39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5"/>
                <w:szCs w:val="15"/>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6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gain on disposition and impairment of assets</w:t>
            </w:r>
          </w:p>
        </w:tc>
        <w:tc>
          <w:tcPr>
            <w:tcW w:w="12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Net earnings</w:t>
            </w: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earnings attributable to noncontrolling</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2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10"/>
        </w:trPr>
        <w:tc>
          <w:tcPr>
            <w:tcW w:w="3940" w:type="dxa"/>
            <w:vAlign w:val="bottom"/>
          </w:tcPr>
          <w:p>
            <w:pPr>
              <w:spacing w:after="0"/>
              <w:rPr>
                <w:sz w:val="20"/>
                <w:szCs w:val="20"/>
                <w:color w:val="auto"/>
              </w:rPr>
            </w:pPr>
            <w:r>
              <w:rPr>
                <w:rFonts w:ascii="Arial" w:cs="Arial" w:eastAsia="Arial" w:hAnsi="Arial"/>
                <w:sz w:val="18"/>
                <w:szCs w:val="18"/>
                <w:color w:val="auto"/>
              </w:rPr>
              <w:t>Net earnings attributable to controlling interest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r>
        <w:trPr>
          <w:trHeight w:val="20"/>
        </w:trPr>
        <w:tc>
          <w:tcPr>
            <w:tcW w:w="3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SALES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stores, commercial and other structures. Our strategic long-term sales objectives include:</w:t>
      </w:r>
    </w:p>
    <w:p>
      <w:pPr>
        <w:spacing w:after="0" w:line="188" w:lineRule="exact"/>
        <w:rPr>
          <w:sz w:val="20"/>
          <w:szCs w:val="20"/>
          <w:color w:val="auto"/>
        </w:rPr>
      </w:pPr>
    </w:p>
    <w:p>
      <w:pPr>
        <w:ind w:left="840" w:right="100" w:hanging="318"/>
        <w:spacing w:after="0" w:line="257"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Diversifying our end market sales mix by increasing sales of specialty wood and non-wood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used in a variety of markets.</w:t>
      </w:r>
    </w:p>
    <w:p>
      <w:pPr>
        <w:spacing w:after="0" w:line="188" w:lineRule="exact"/>
        <w:rPr>
          <w:rFonts w:ascii="Arial" w:cs="Arial" w:eastAsia="Arial" w:hAnsi="Arial"/>
          <w:sz w:val="18"/>
          <w:szCs w:val="18"/>
          <w:color w:val="auto"/>
        </w:rPr>
      </w:pPr>
    </w:p>
    <w:p>
      <w:pPr>
        <w:ind w:left="840" w:hanging="318"/>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geographically in our core businesses, domestically and internationally.</w:t>
      </w:r>
    </w:p>
    <w:p>
      <w:pPr>
        <w:spacing w:after="0" w:line="225" w:lineRule="exact"/>
        <w:rPr>
          <w:rFonts w:ascii="Arial" w:cs="Arial" w:eastAsia="Arial" w:hAnsi="Arial"/>
          <w:sz w:val="18"/>
          <w:szCs w:val="18"/>
          <w:color w:val="auto"/>
        </w:rPr>
      </w:pPr>
    </w:p>
    <w:p>
      <w:pPr>
        <w:ind w:left="840" w:right="40" w:hanging="318"/>
        <w:spacing w:after="0" w:line="273" w:lineRule="auto"/>
        <w:tabs>
          <w:tab w:leader="none" w:pos="8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Increasing sales of "value-added" products, which primarily consist of fencing, decking, lattice, and other specialty products sold to the retail market, specialty wood packaging, engineered wood components, customized interior fixtures,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178" w:lineRule="exact"/>
        <w:rPr>
          <w:rFonts w:ascii="Arial" w:cs="Arial" w:eastAsia="Arial" w:hAnsi="Arial"/>
          <w:sz w:val="17"/>
          <w:szCs w:val="17"/>
          <w:color w:val="auto"/>
        </w:rPr>
      </w:pPr>
    </w:p>
    <w:p>
      <w:pPr>
        <w:ind w:left="840" w:hanging="318"/>
        <w:spacing w:after="0"/>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840" w:right="160" w:hanging="318"/>
        <w:spacing w:after="0" w:line="279" w:lineRule="auto"/>
        <w:tabs>
          <w:tab w:leader="none" w:pos="8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Developing new products and expanding our value-added product offering for existing customers. New product sales were $175.3 million in the second quarter of 2019 compared to $149.1 million during the same period of 2018. New product sales year-to-date for 2019 and 2018 were $290.3 million and $253.3 million, respectively. Our goal is to achieve annual new product sales of at least $525 million in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jc w:val="center"/>
              <w:ind w:left="399"/>
              <w:spacing w:after="0"/>
              <w:rPr>
                <w:sz w:val="20"/>
                <w:szCs w:val="20"/>
                <w:color w:val="auto"/>
              </w:rPr>
            </w:pPr>
            <w:r>
              <w:rPr>
                <w:rFonts w:ascii="Arial" w:cs="Arial" w:eastAsia="Arial" w:hAnsi="Arial"/>
                <w:sz w:val="14"/>
                <w:szCs w:val="14"/>
                <w:b w:val="1"/>
                <w:bCs w:val="1"/>
                <w:color w:val="auto"/>
                <w:w w:val="94"/>
              </w:rPr>
              <w:t>New Product Sales by Market</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center"/>
              <w:ind w:left="378"/>
              <w:spacing w:after="0"/>
              <w:rPr>
                <w:sz w:val="20"/>
                <w:szCs w:val="20"/>
                <w:color w:val="auto"/>
              </w:rPr>
            </w:pPr>
            <w:r>
              <w:rPr>
                <w:rFonts w:ascii="Arial" w:cs="Arial" w:eastAsia="Arial" w:hAnsi="Arial"/>
                <w:sz w:val="14"/>
                <w:szCs w:val="14"/>
                <w:b w:val="1"/>
                <w:bCs w:val="1"/>
                <w:color w:val="auto"/>
                <w:w w:val="94"/>
              </w:rPr>
              <w:t>New Product Sales by Market</w:t>
            </w:r>
          </w:p>
        </w:tc>
        <w:tc>
          <w:tcPr>
            <w:tcW w:w="640" w:type="dxa"/>
            <w:vAlign w:val="bottom"/>
            <w:tcBorders>
              <w:bottom w:val="single" w:sz="8" w:color="auto"/>
            </w:tcBorders>
          </w:tcPr>
          <w:p>
            <w:pPr>
              <w:spacing w:after="0"/>
              <w:rPr>
                <w:sz w:val="15"/>
                <w:szCs w:val="15"/>
                <w:color w:val="auto"/>
              </w:rPr>
            </w:pPr>
          </w:p>
        </w:tc>
      </w:tr>
      <w:tr>
        <w:trPr>
          <w:trHeight w:val="156"/>
        </w:trPr>
        <w:tc>
          <w:tcPr>
            <w:tcW w:w="1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jc w:val="center"/>
              <w:ind w:left="379"/>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Six Months Ended</w:t>
            </w:r>
          </w:p>
        </w:tc>
        <w:tc>
          <w:tcPr>
            <w:tcW w:w="640" w:type="dxa"/>
            <w:vAlign w:val="bottom"/>
            <w:tcBorders>
              <w:bottom w:val="single" w:sz="8" w:color="auto"/>
            </w:tcBorders>
          </w:tcPr>
          <w:p>
            <w:pPr>
              <w:spacing w:after="0"/>
              <w:rPr>
                <w:sz w:val="13"/>
                <w:szCs w:val="13"/>
                <w:color w:val="auto"/>
              </w:rPr>
            </w:pPr>
          </w:p>
        </w:tc>
      </w:tr>
      <w:tr>
        <w:trPr>
          <w:trHeight w:val="126"/>
        </w:trPr>
        <w:tc>
          <w:tcPr>
            <w:tcW w:w="1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ind w:left="100"/>
              <w:spacing w:after="0" w:line="126" w:lineRule="exact"/>
              <w:rPr>
                <w:sz w:val="20"/>
                <w:szCs w:val="20"/>
                <w:color w:val="auto"/>
              </w:rPr>
            </w:pPr>
            <w:r>
              <w:rPr>
                <w:rFonts w:ascii="Arial" w:cs="Arial" w:eastAsia="Arial" w:hAnsi="Arial"/>
                <w:sz w:val="14"/>
                <w:szCs w:val="14"/>
                <w:b w:val="1"/>
                <w:bCs w:val="1"/>
                <w:color w:val="auto"/>
              </w:rPr>
              <w:t>June 29,</w:t>
            </w:r>
          </w:p>
        </w:tc>
        <w:tc>
          <w:tcPr>
            <w:tcW w:w="1320" w:type="dxa"/>
            <w:vAlign w:val="bottom"/>
            <w:gridSpan w:val="3"/>
          </w:tcPr>
          <w:p>
            <w:pPr>
              <w:ind w:left="280"/>
              <w:spacing w:after="0" w:line="126" w:lineRule="exact"/>
              <w:rPr>
                <w:sz w:val="20"/>
                <w:szCs w:val="20"/>
                <w:color w:val="auto"/>
              </w:rPr>
            </w:pPr>
            <w:r>
              <w:rPr>
                <w:rFonts w:ascii="Arial" w:cs="Arial" w:eastAsia="Arial" w:hAnsi="Arial"/>
                <w:sz w:val="14"/>
                <w:szCs w:val="14"/>
                <w:b w:val="1"/>
                <w:bCs w:val="1"/>
                <w:color w:val="auto"/>
              </w:rPr>
              <w:t>June 30,</w:t>
            </w:r>
          </w:p>
        </w:tc>
        <w:tc>
          <w:tcPr>
            <w:tcW w:w="640" w:type="dxa"/>
            <w:vAlign w:val="bottom"/>
          </w:tcPr>
          <w:p>
            <w:pPr>
              <w:jc w:val="right"/>
              <w:ind w:right="196"/>
              <w:spacing w:after="0" w:line="126"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158"/>
              <w:spacing w:after="0" w:line="126" w:lineRule="exact"/>
              <w:rPr>
                <w:sz w:val="20"/>
                <w:szCs w:val="20"/>
                <w:color w:val="auto"/>
              </w:rPr>
            </w:pPr>
            <w:r>
              <w:rPr>
                <w:rFonts w:ascii="Arial" w:cs="Arial" w:eastAsia="Arial" w:hAnsi="Arial"/>
                <w:sz w:val="14"/>
                <w:szCs w:val="14"/>
                <w:b w:val="1"/>
                <w:bCs w:val="1"/>
                <w:color w:val="auto"/>
              </w:rPr>
              <w:t>June 29,</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ind w:left="100"/>
              <w:spacing w:after="0" w:line="126" w:lineRule="exact"/>
              <w:rPr>
                <w:sz w:val="20"/>
                <w:szCs w:val="20"/>
                <w:color w:val="auto"/>
              </w:rPr>
            </w:pPr>
            <w:r>
              <w:rPr>
                <w:rFonts w:ascii="Arial" w:cs="Arial" w:eastAsia="Arial" w:hAnsi="Arial"/>
                <w:sz w:val="14"/>
                <w:szCs w:val="14"/>
                <w:b w:val="1"/>
                <w:bCs w:val="1"/>
                <w:color w:val="auto"/>
              </w:rPr>
              <w:t>June 30,</w:t>
            </w:r>
          </w:p>
        </w:tc>
        <w:tc>
          <w:tcPr>
            <w:tcW w:w="640" w:type="dxa"/>
            <w:vAlign w:val="bottom"/>
          </w:tcPr>
          <w:p>
            <w:pPr>
              <w:jc w:val="right"/>
              <w:ind w:right="156"/>
              <w:spacing w:after="0" w:line="126" w:lineRule="exact"/>
              <w:rPr>
                <w:sz w:val="20"/>
                <w:szCs w:val="20"/>
                <w:color w:val="auto"/>
              </w:rPr>
            </w:pPr>
            <w:r>
              <w:rPr>
                <w:rFonts w:ascii="Arial" w:cs="Arial" w:eastAsia="Arial" w:hAnsi="Arial"/>
                <w:sz w:val="14"/>
                <w:szCs w:val="14"/>
                <w:b w:val="1"/>
                <w:bCs w:val="1"/>
                <w:color w:val="auto"/>
              </w:rPr>
              <w:t>%</w:t>
            </w:r>
          </w:p>
        </w:tc>
      </w:tr>
      <w:tr>
        <w:trPr>
          <w:trHeight w:val="191"/>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Market Classification</w:t>
            </w:r>
          </w:p>
        </w:tc>
        <w:tc>
          <w:tcPr>
            <w:tcW w:w="18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1060" w:type="dxa"/>
            <w:vAlign w:val="bottom"/>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r>
      <w:tr>
        <w:trPr>
          <w:trHeight w:val="203"/>
        </w:trPr>
        <w:tc>
          <w:tcPr>
            <w:tcW w:w="1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129,722</w:t>
            </w:r>
          </w:p>
        </w:tc>
        <w:tc>
          <w:tcPr>
            <w:tcW w:w="2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106,623</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21.7%</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204,828</w:t>
            </w: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175,033</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w:t>
            </w: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24,099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46,604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37,839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36"/>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21,527</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21,209</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38,885</w:t>
            </w:r>
          </w:p>
        </w:tc>
        <w:tc>
          <w:tcPr>
            <w:tcW w:w="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40,405</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3"/>
        </w:trPr>
        <w:tc>
          <w:tcPr>
            <w:tcW w:w="2480" w:type="dxa"/>
            <w:vAlign w:val="bottom"/>
            <w:gridSpan w:val="2"/>
          </w:tcPr>
          <w:p>
            <w:pPr>
              <w:spacing w:after="0" w:line="203" w:lineRule="exact"/>
              <w:rPr>
                <w:sz w:val="20"/>
                <w:szCs w:val="20"/>
                <w:color w:val="auto"/>
              </w:rPr>
            </w:pPr>
            <w:r>
              <w:rPr>
                <w:rFonts w:ascii="Arial" w:cs="Arial" w:eastAsia="Arial" w:hAnsi="Arial"/>
                <w:sz w:val="18"/>
                <w:szCs w:val="18"/>
                <w:color w:val="auto"/>
              </w:rPr>
              <w:t>Total New Product Sales</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175,348</w:t>
            </w:r>
          </w:p>
        </w:tc>
        <w:tc>
          <w:tcPr>
            <w:tcW w:w="20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149,147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17.6%</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290,317</w:t>
            </w:r>
          </w:p>
        </w:tc>
        <w:tc>
          <w:tcPr>
            <w:tcW w:w="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253,277</w:t>
            </w:r>
          </w:p>
        </w:tc>
        <w:tc>
          <w:tcPr>
            <w:tcW w:w="2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14.6</w:t>
            </w:r>
          </w:p>
        </w:tc>
      </w:tr>
      <w:tr>
        <w:trPr>
          <w:trHeight w:val="20"/>
        </w:trPr>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89" w:lineRule="exact"/>
        <w:rPr>
          <w:sz w:val="20"/>
          <w:szCs w:val="20"/>
          <w:color w:val="auto"/>
        </w:rPr>
      </w:pPr>
    </w:p>
    <w:p>
      <w:pPr>
        <w:ind w:left="500" w:right="260"/>
        <w:spacing w:after="0" w:line="253" w:lineRule="auto"/>
        <w:rPr>
          <w:sz w:val="20"/>
          <w:szCs w:val="20"/>
          <w:color w:val="auto"/>
        </w:rPr>
      </w:pPr>
      <w:r>
        <w:rPr>
          <w:rFonts w:ascii="Arial" w:cs="Arial" w:eastAsia="Arial" w:hAnsi="Arial"/>
          <w:sz w:val="14"/>
          <w:szCs w:val="14"/>
          <w:color w:val="auto"/>
        </w:rPr>
        <w:t>Note: Certain prior year product reclassifications and the change in designation of certain products as “new” resulted in a change in prior year’s sales.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Value-Added and Commodity-Based Sales:</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following table presents, for the periods indicated, our percentage of value-added and commodity-based sales to total sales. Value-added products generally carry higher gross margins than our commodity-based products.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40" w:type="dxa"/>
            <w:vAlign w:val="bottom"/>
          </w:tcPr>
          <w:p>
            <w:pPr>
              <w:spacing w:after="0"/>
              <w:rPr>
                <w:sz w:val="15"/>
                <w:szCs w:val="15"/>
                <w:color w:val="auto"/>
              </w:rPr>
            </w:pPr>
          </w:p>
        </w:tc>
        <w:tc>
          <w:tcPr>
            <w:tcW w:w="176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66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5640" w:type="dxa"/>
            <w:vAlign w:val="bottom"/>
          </w:tcPr>
          <w:p>
            <w:pPr>
              <w:spacing w:after="0"/>
              <w:rPr>
                <w:sz w:val="10"/>
                <w:szCs w:val="10"/>
                <w:color w:val="auto"/>
              </w:rPr>
            </w:pPr>
          </w:p>
        </w:tc>
        <w:tc>
          <w:tcPr>
            <w:tcW w:w="880" w:type="dxa"/>
            <w:vAlign w:val="bottom"/>
            <w:tcBorders>
              <w:top w:val="single" w:sz="8" w:color="auto"/>
            </w:tcBorders>
            <w:gridSpan w:val="2"/>
          </w:tcPr>
          <w:p>
            <w:pPr>
              <w:jc w:val="center"/>
              <w:ind w:right="80"/>
              <w:spacing w:after="0" w:line="126" w:lineRule="exact"/>
              <w:rPr>
                <w:sz w:val="20"/>
                <w:szCs w:val="20"/>
                <w:color w:val="auto"/>
              </w:rPr>
            </w:pPr>
            <w:r>
              <w:rPr>
                <w:rFonts w:ascii="Arial" w:cs="Arial" w:eastAsia="Arial" w:hAnsi="Arial"/>
                <w:sz w:val="14"/>
                <w:szCs w:val="14"/>
                <w:b w:val="1"/>
                <w:bCs w:val="1"/>
                <w:color w:val="auto"/>
                <w:w w:val="92"/>
              </w:rPr>
              <w:t>June 29,</w:t>
            </w:r>
          </w:p>
        </w:tc>
        <w:tc>
          <w:tcPr>
            <w:tcW w:w="800" w:type="dxa"/>
            <w:vAlign w:val="bottom"/>
            <w:tcBorders>
              <w:top w:val="single" w:sz="8" w:color="auto"/>
            </w:tcBorders>
          </w:tcPr>
          <w:p>
            <w:pPr>
              <w:jc w:val="right"/>
              <w:ind w:right="59"/>
              <w:spacing w:after="0" w:line="126"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0"/>
                <w:szCs w:val="10"/>
                <w:color w:val="auto"/>
              </w:rPr>
            </w:pPr>
          </w:p>
        </w:tc>
        <w:tc>
          <w:tcPr>
            <w:tcW w:w="900" w:type="dxa"/>
            <w:vAlign w:val="bottom"/>
            <w:tcBorders>
              <w:top w:val="single" w:sz="8" w:color="auto"/>
            </w:tcBorders>
            <w:gridSpan w:val="2"/>
          </w:tcPr>
          <w:p>
            <w:pPr>
              <w:ind w:left="160"/>
              <w:spacing w:after="0" w:line="126" w:lineRule="exact"/>
              <w:rPr>
                <w:sz w:val="20"/>
                <w:szCs w:val="20"/>
                <w:color w:val="auto"/>
              </w:rPr>
            </w:pPr>
            <w:r>
              <w:rPr>
                <w:rFonts w:ascii="Arial" w:cs="Arial" w:eastAsia="Arial" w:hAnsi="Arial"/>
                <w:sz w:val="14"/>
                <w:szCs w:val="14"/>
                <w:b w:val="1"/>
                <w:bCs w:val="1"/>
                <w:color w:val="auto"/>
              </w:rPr>
              <w:t>June 29,</w:t>
            </w:r>
          </w:p>
        </w:tc>
        <w:tc>
          <w:tcPr>
            <w:tcW w:w="760" w:type="dxa"/>
            <w:vAlign w:val="bottom"/>
            <w:tcBorders>
              <w:top w:val="single" w:sz="8" w:color="auto"/>
            </w:tcBorders>
          </w:tcPr>
          <w:p>
            <w:pPr>
              <w:jc w:val="right"/>
              <w:ind w:right="39"/>
              <w:spacing w:after="0" w:line="126" w:lineRule="exact"/>
              <w:rPr>
                <w:sz w:val="20"/>
                <w:szCs w:val="20"/>
                <w:color w:val="auto"/>
              </w:rPr>
            </w:pPr>
            <w:r>
              <w:rPr>
                <w:rFonts w:ascii="Arial" w:cs="Arial" w:eastAsia="Arial" w:hAnsi="Arial"/>
                <w:sz w:val="14"/>
                <w:szCs w:val="14"/>
                <w:b w:val="1"/>
                <w:bCs w:val="1"/>
                <w:color w:val="auto"/>
              </w:rPr>
              <w:t>June 30,</w:t>
            </w:r>
          </w:p>
        </w:tc>
      </w:tr>
      <w:tr>
        <w:trPr>
          <w:trHeight w:val="178"/>
        </w:trPr>
        <w:tc>
          <w:tcPr>
            <w:tcW w:w="56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Value-Added</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66.9 %</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60.1 %</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66.7 %</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60.8 %</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Commodity-Based</w:t>
            </w:r>
          </w:p>
        </w:tc>
        <w:tc>
          <w:tcPr>
            <w:tcW w:w="800" w:type="dxa"/>
            <w:vAlign w:val="bottom"/>
          </w:tcPr>
          <w:p>
            <w:pPr>
              <w:ind w:left="180"/>
              <w:spacing w:after="0"/>
              <w:rPr>
                <w:sz w:val="20"/>
                <w:szCs w:val="20"/>
                <w:color w:val="auto"/>
              </w:rPr>
            </w:pPr>
            <w:r>
              <w:rPr>
                <w:rFonts w:ascii="Arial" w:cs="Arial" w:eastAsia="Arial" w:hAnsi="Arial"/>
                <w:sz w:val="18"/>
                <w:szCs w:val="18"/>
                <w:color w:val="auto"/>
              </w:rPr>
              <w:t>33.1 %</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39.9 %</w:t>
            </w:r>
          </w:p>
        </w:tc>
        <w:tc>
          <w:tcPr>
            <w:tcW w:w="8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8"/>
                <w:szCs w:val="18"/>
                <w:color w:val="auto"/>
              </w:rPr>
              <w:t>33.3 %</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39.2 %</w:t>
            </w:r>
          </w:p>
        </w:tc>
      </w:tr>
    </w:tbl>
    <w:p>
      <w:pPr>
        <w:spacing w:after="0" w:line="200" w:lineRule="exact"/>
        <w:rPr>
          <w:sz w:val="20"/>
          <w:szCs w:val="20"/>
          <w:color w:val="auto"/>
        </w:rPr>
      </w:pPr>
    </w:p>
    <w:p>
      <w:pPr>
        <w:spacing w:after="0" w:line="2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presents, for the periods indicated, our gross sales and percentage change in gross sales by market classification.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30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ind w:right="136"/>
              <w:spacing w:after="0" w:line="126"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ind w:left="80"/>
              <w:spacing w:after="0" w:line="126" w:lineRule="exact"/>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ind w:left="100"/>
              <w:spacing w:after="0" w:line="126" w:lineRule="exact"/>
              <w:rPr>
                <w:sz w:val="20"/>
                <w:szCs w:val="20"/>
                <w:color w:val="auto"/>
              </w:rPr>
            </w:pPr>
            <w:r>
              <w:rPr>
                <w:rFonts w:ascii="Arial" w:cs="Arial" w:eastAsia="Arial" w:hAnsi="Arial"/>
                <w:sz w:val="14"/>
                <w:szCs w:val="14"/>
                <w:b w:val="1"/>
                <w:bCs w:val="1"/>
                <w:color w:val="auto"/>
              </w:rPr>
              <w:t>June 29,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154"/>
              <w:spacing w:after="0" w:line="126"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Market Classification</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4"/>
              </w:rPr>
              <w:t>% Change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3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3"/>
        </w:trPr>
        <w:tc>
          <w:tcPr>
            <w:tcW w:w="1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9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520,964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544,612</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w:t>
            </w:r>
          </w:p>
        </w:tc>
        <w:tc>
          <w:tcPr>
            <w:tcW w:w="1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878,451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915,013</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Industrial </w:t>
            </w:r>
            <w:r>
              <w:rPr>
                <w:rFonts w:ascii="Arial" w:cs="Arial" w:eastAsia="Arial" w:hAnsi="Arial"/>
                <w:sz w:val="25"/>
                <w:szCs w:val="25"/>
                <w:color w:val="auto"/>
                <w:vertAlign w:val="superscript"/>
              </w:rPr>
              <w:t>(1)</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357,301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347,258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686,999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632,749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Construction </w:t>
            </w:r>
            <w:r>
              <w:rPr>
                <w:rFonts w:ascii="Arial" w:cs="Arial" w:eastAsia="Arial" w:hAnsi="Arial"/>
                <w:sz w:val="25"/>
                <w:szCs w:val="25"/>
                <w:color w:val="auto"/>
                <w:vertAlign w:val="superscript"/>
              </w:rPr>
              <w:t>(1)</w:t>
            </w: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386,242</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428,498</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730,662</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784,273</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92"/>
              </w:rPr>
              <w:t>1,264,507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89"/>
              </w:rPr>
              <w:t>1,320,368</w:t>
            </w:r>
          </w:p>
        </w:tc>
        <w:tc>
          <w:tcPr>
            <w:tcW w:w="1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92"/>
              </w:rPr>
              <w:t>2,296,112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2"/>
              </w:rPr>
              <w:t>2,332,035</w:t>
            </w: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6"/>
        </w:trPr>
        <w:tc>
          <w:tcPr>
            <w:tcW w:w="2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(25,928)</w:t>
            </w: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(41,169)</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(43,738)</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2300" w:type="dxa"/>
            <w:vAlign w:val="bottom"/>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0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1,239,817</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1,294,440</w:t>
            </w:r>
          </w:p>
        </w:tc>
        <w:tc>
          <w:tcPr>
            <w:tcW w:w="1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2,254,943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2,288,297</w:t>
            </w: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2019, certain customers were reclassified to a different market. Prior year information has been restated to reflect these changes.</w:t>
      </w:r>
    </w:p>
    <w:p>
      <w:pPr>
        <w:spacing w:after="0" w:line="215" w:lineRule="exact"/>
        <w:rPr>
          <w:sz w:val="20"/>
          <w:szCs w:val="20"/>
          <w:color w:val="auto"/>
        </w:rPr>
      </w:pPr>
    </w:p>
    <w:p>
      <w:pPr>
        <w:ind w:left="840" w:right="240" w:hanging="318"/>
        <w:spacing w:after="0" w:line="238" w:lineRule="auto"/>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reclassified idX from industrial to the construction market to better align idX's core business, design, manufacture, distribution and installation of customized interior fixtures for a variety of retail and commercial structures, with the commercial construction market. The reclassification was recorded retrospectively.</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Gross sales in the second quarter of 2019 decreased 4% compared to the same period of 2018, due to a 5% increase in unit sales, offset by a 9% decrease in selling prices primarily due to the Lumber Market. Acquired operations contributed 1% to our unit sales growth, and our organic unit sales growth was 4%.</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Gross sales in the first six months of 2019 decreased almost 2% compared to the same period of 2018, due to a 6% increase in unit sales, offset by an 8% decrease in selling prices primarily due to the Lumber Market. Acquired operations contributed 2% to our unit sales growth, and our organic unit sales growth was 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gross sales by market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Gross sales to the retail market decreased over 4% in the second quarter of 2019 compared to the same period of 2018, due to a 6% increase in unit sales, offset by a 10% decrease in selling prices. Within this market, sales to our big box customers increased over 2%, and sales to other independent retailers decreased almost 16%. Our organic unit growth was 6% primarily due to improved weather in the second quarter, an increase in new product sales, and market share gains we achieved in our Deckorators product category with one of our big box customers.</w:t>
      </w:r>
    </w:p>
    <w:p>
      <w:pPr>
        <w:spacing w:after="0" w:line="17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Gross sales to the retail market decreased 4% in the first six months of 2019 compared to the same period of 2018, due to a 5% increase in unit sales, offset by a 9% decrease in selling prices. Within this market, sales to our big box customers increased over 2%, and sales to other independent retailers decreased over 13%. Our organic unit growth was 5% year to date primarily due to increased consumer demand, new products sales, and the market share gains mentioned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Gross sales to the industrial market increased almost 3% in the second quarter of 2019 compared to the same period of 2018, resulting from an 7% increase in unit sales, offset by a 4% decrease in selling prices. Businesses we acquired since the second quarter of 2018 contributed 6% to our growth in unit sales. Our organic growth in unit sales of 1% was primarily due to an increase in sales of new products and increasing our share of business with existing customers. Our organic unit growth was slower than previous quarters as a result of adding fewer new customers and emphasizing profitability and margin requirements over units sales growth which resulted in eliminating less profitable business.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Gross sales to the industrial market increased almost 9% in the first six months of 2019 compared to the same period of 2018, resulting from an 11% increase in unit sales, offset by a 2% decrease in selling prices. Businesses we acquired since the second quarter of 2018 contributed 7% to our growth in unit sales. Our organic growth in unit sales of 4% was primarily due our efforts to improve market share, which is continuing to produce positive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sales to the construction market decreased 10% in the second quarter of 2019 compared to 2018. The decrease was due to a 4% increase in unit sales, offset by a 14% decrease in our selling prices. Our increase in unit sales was driven by a 5% increase to commercial construction customers, a 5% increase to residential construction customers, and a 1% increase to manufactured housing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By comparison (and based upon various industry publications):</w:t>
      </w:r>
    </w:p>
    <w:p>
      <w:pPr>
        <w:spacing w:after="0" w:line="225" w:lineRule="exact"/>
        <w:rPr>
          <w:sz w:val="20"/>
          <w:szCs w:val="20"/>
          <w:color w:val="auto"/>
        </w:rPr>
      </w:pPr>
    </w:p>
    <w:p>
      <w:pPr>
        <w:ind w:left="840" w:right="440" w:hanging="318"/>
        <w:spacing w:after="0" w:line="258"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Production of HUD-code manufactured homes in April and May 2019, the most recent period reported, was down 3.2% compared to the same period of 2018.</w:t>
      </w:r>
    </w:p>
    <w:p>
      <w:pPr>
        <w:spacing w:after="0" w:line="1" w:lineRule="exact"/>
        <w:rPr>
          <w:rFonts w:ascii="Arial" w:cs="Arial" w:eastAsia="Arial" w:hAnsi="Arial"/>
          <w:sz w:val="18"/>
          <w:szCs w:val="18"/>
          <w:color w:val="auto"/>
        </w:rPr>
      </w:pPr>
    </w:p>
    <w:p>
      <w:pPr>
        <w:ind w:left="840" w:right="400" w:hanging="318"/>
        <w:spacing w:after="0" w:line="250"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Non-residential construction activity in April and May decreased approximately 1.1% compared to the same period of 2018.</w:t>
      </w:r>
    </w:p>
    <w:p>
      <w:pPr>
        <w:ind w:left="840" w:right="380" w:hanging="318"/>
        <w:spacing w:after="0" w:line="261"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Housing starts decreased by approximately 5.7% in the period from March through May 2019 (our sales trail housing starts by about a month) compared to the same period of 2018.</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ability to achieve growth in excess of the market is due to a variety of factors including operating in regions that have more favorable market conditions.</w:t>
      </w:r>
    </w:p>
    <w:p>
      <w:pPr>
        <w:spacing w:after="0" w:line="1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Gross sales to the construction market decreased almost 7% in the first six months of 2019 compared to 2018. The decrease was due to a 4% increase in unit sales, offset by an 11% decrease in our selling prices. Our increase in unit sales was driven by an 9% increase to commercial construction customers and a 6% increase to residential construction customers, offset by a 2% decrease to manufactured housing customers.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gross margin increased to 15.1% from 12.8% comparing the second quarter of 2019 to the same period of 2018 due to the lower </w:t>
      </w:r>
      <w:r>
        <w:rPr>
          <w:rFonts w:ascii="Arial" w:cs="Arial" w:eastAsia="Arial" w:hAnsi="Arial"/>
          <w:sz w:val="17"/>
          <w:szCs w:val="17"/>
          <w:u w:val="single" w:color="auto"/>
          <w:color w:val="auto"/>
        </w:rPr>
        <w:t>level</w:t>
      </w:r>
      <w:r>
        <w:rPr>
          <w:rFonts w:ascii="Arial" w:cs="Arial" w:eastAsia="Arial" w:hAnsi="Arial"/>
          <w:sz w:val="17"/>
          <w:szCs w:val="17"/>
          <w:color w:val="auto"/>
        </w:rPr>
        <w:t xml:space="preserve"> of lumber prices (See “Impact of the Lumber Market on Our Operating Results”) and an improvement in our sales mix of value-added products. Our $21 million, or 12.7%, increase in gross profit dollars compares favorably to our 5% increase in unit sales during the same period due to the factors above. In addition, acquired operations contributed $3 million of gross profit in the second quarter of 2019. Excluding acquisitions, our gross profits increased by $18 million, or 10.8%, over the same period last year primarily due to the following:</w:t>
      </w:r>
    </w:p>
    <w:p>
      <w:pPr>
        <w:spacing w:after="0" w:line="178" w:lineRule="exact"/>
        <w:rPr>
          <w:sz w:val="20"/>
          <w:szCs w:val="20"/>
          <w:color w:val="auto"/>
        </w:rPr>
      </w:pPr>
    </w:p>
    <w:p>
      <w:pPr>
        <w:ind w:left="840" w:hanging="318"/>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gross profit to the retail market increased by approximately $7 million.</w:t>
      </w:r>
    </w:p>
    <w:p>
      <w:pPr>
        <w:spacing w:after="0" w:line="23" w:lineRule="exact"/>
        <w:rPr>
          <w:rFonts w:ascii="Arial" w:cs="Arial" w:eastAsia="Arial" w:hAnsi="Arial"/>
          <w:sz w:val="18"/>
          <w:szCs w:val="18"/>
          <w:color w:val="auto"/>
        </w:rPr>
      </w:pPr>
    </w:p>
    <w:p>
      <w:pPr>
        <w:ind w:left="840" w:hanging="318"/>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gross profit on sales to the industrial market increased by approximately $5 million.</w:t>
      </w:r>
    </w:p>
    <w:p>
      <w:pPr>
        <w:spacing w:after="0" w:line="9" w:lineRule="exact"/>
        <w:rPr>
          <w:rFonts w:ascii="Arial" w:cs="Arial" w:eastAsia="Arial" w:hAnsi="Arial"/>
          <w:sz w:val="18"/>
          <w:szCs w:val="18"/>
          <w:color w:val="auto"/>
        </w:rPr>
      </w:pPr>
    </w:p>
    <w:p>
      <w:pPr>
        <w:ind w:left="840" w:hanging="318"/>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gross profit on sales to the construction market increased by approximately $5 million.</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gross margin increased to 15.1% from 13.0% comparing the first six months of 2019 to the same period of 2018 due to the lower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lumber prices (See “Impact of the Lumber Market on Our Operating Results”), atypical buying opportunities when lumber prices were low in the fourth quarter of 2018, and an improvement in our sales mix of value-added products. Our $44 million, or 15.0%, increase in gross profit dollars compares favorably to our 6% increase in unit sales during the same period due to the factors above. In addition, acquired operations contributed $7 million of gross profit in the first six months of 2019. Excluding acquisitions, our gross profits increased by $37 million, or 12.5%, over the same period last year primarily due to the following:</w:t>
      </w:r>
    </w:p>
    <w:p>
      <w:pPr>
        <w:spacing w:after="0" w:line="189" w:lineRule="exact"/>
        <w:rPr>
          <w:sz w:val="20"/>
          <w:szCs w:val="20"/>
          <w:color w:val="auto"/>
        </w:rPr>
      </w:pPr>
    </w:p>
    <w:p>
      <w:pPr>
        <w:ind w:left="840" w:hanging="318"/>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gross profit to the retail market increased by approximately $10 million.</w:t>
      </w:r>
    </w:p>
    <w:p>
      <w:pPr>
        <w:spacing w:after="0" w:line="23" w:lineRule="exact"/>
        <w:rPr>
          <w:rFonts w:ascii="Arial" w:cs="Arial" w:eastAsia="Arial" w:hAnsi="Arial"/>
          <w:sz w:val="18"/>
          <w:szCs w:val="18"/>
          <w:color w:val="auto"/>
        </w:rPr>
      </w:pPr>
    </w:p>
    <w:p>
      <w:pPr>
        <w:ind w:left="840" w:hanging="318"/>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gross profit on sales to the industrial market increased by approximately $15 million.</w:t>
      </w:r>
    </w:p>
    <w:p>
      <w:pPr>
        <w:spacing w:after="0" w:line="9" w:lineRule="exact"/>
        <w:rPr>
          <w:rFonts w:ascii="Arial" w:cs="Arial" w:eastAsia="Arial" w:hAnsi="Arial"/>
          <w:sz w:val="18"/>
          <w:szCs w:val="18"/>
          <w:color w:val="auto"/>
        </w:rPr>
      </w:pPr>
    </w:p>
    <w:p>
      <w:pPr>
        <w:ind w:left="840" w:hanging="318"/>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gross profit on sales to the construction market increased by approximately $13 million.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Due to several factors, including the variety of species we buy, the variety and number of products we sell, and pricing methodologies, estimating the impact of market-favorable lumber buying on our gross profits is difficult. Nevertheless, we estimate this contributed approximately $6 million to $7 million in additional gross profits in the first quarter of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Selling, general and administrative (“SG&amp;A”) expenses increased by approximately $8.1 million, or 7.7%, in the second quarter of 2019 compared to the same period of 2018, while we reported a 5% increase in unit sales. Accrued bonus expense, which varies with our overall profitability and return on investment, totaled $18.3 million in the second quarter of 2019 compared to $14.5 million in 2018. Acquired operations since the second quarter of 2018 contributed approximately $1.6 million to our year over year increase in SG&amp;A. The remaining increase was primarily due to an increase in wages and benefits costs associated with headcount and rate increases, sales incentives, and marketing costs.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Selling, general and administrative (“SG&amp;A”) expenses increased by approximately $20.8 million, or 10.5%, in the first six months of 2019 compared to the same period of 2018, while we reported a 6% increase in unit sales. Accrued bonus expense, which varies with our overall profitability and return on investment, totaled $30.7 million in the first six months of 2019 compared to $23.6 million in 2018. Acquired operations since the second quarter of 2018 contributed approximately $4.1 million to our year over year increase in SG&amp;A. The remaining increase was primarily due to an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increase in wages and benefits costs associated with headcount and rate increases, sales incentives, medical costs, and marketing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NET</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Interest expense was slightly higher in the second quarter and the first six months of 2019 compared to the same periods of 2018. Our interest rate increased as a result of a long-term debt issuance that we completed in June 2018 and used the proceeds to pay down our revolving credit facility. The impact of a higher overall rate was offset by lower debt levels in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Effective tax rates differ from statutory federal income tax rates, primarily due to provisions for state and local income taxes and permanent tax differences. Our effective tax rate was 24.0% in the second quarter of 2019 compared to 22.9% for same period in 2018. Our effective tax rate was 24.1% in the first six months of 2019 compared to 22.6% for the same period in 2018. The increase was primarily due to recording certain discrete tax benefits in 2018 related to state income tax and stock-based compensation deduction, which lowered the effective tax rate last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Net Sales</w:t>
            </w: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9"/>
          </w:tcPr>
          <w:p>
            <w:pPr>
              <w:jc w:val="right"/>
              <w:ind w:right="160"/>
              <w:spacing w:after="0"/>
              <w:rPr>
                <w:sz w:val="20"/>
                <w:szCs w:val="20"/>
                <w:color w:val="auto"/>
              </w:rPr>
            </w:pPr>
            <w:r>
              <w:rPr>
                <w:rFonts w:ascii="Arial" w:cs="Arial" w:eastAsia="Arial" w:hAnsi="Arial"/>
                <w:sz w:val="14"/>
                <w:szCs w:val="14"/>
                <w:b w:val="1"/>
                <w:bCs w:val="1"/>
                <w:color w:val="auto"/>
                <w:w w:val="94"/>
              </w:rPr>
              <w:t>Earnings from Operations</w:t>
            </w: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56"/>
        </w:trPr>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7"/>
          </w:tcPr>
          <w:p>
            <w:pPr>
              <w:ind w:left="100"/>
              <w:spacing w:after="0" w:line="149" w:lineRule="exact"/>
              <w:rPr>
                <w:sz w:val="20"/>
                <w:szCs w:val="20"/>
                <w:color w:val="auto"/>
              </w:rPr>
            </w:pPr>
            <w:r>
              <w:rPr>
                <w:rFonts w:ascii="Arial" w:cs="Arial" w:eastAsia="Arial" w:hAnsi="Arial"/>
                <w:sz w:val="14"/>
                <w:szCs w:val="14"/>
                <w:b w:val="1"/>
                <w:bCs w:val="1"/>
                <w:color w:val="auto"/>
              </w:rPr>
              <w:t>Three Months Ended</w:t>
            </w: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8"/>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Three Months Ended</w:t>
            </w: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26"/>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00"/>
              <w:spacing w:after="0" w:line="126" w:lineRule="exact"/>
              <w:rPr>
                <w:sz w:val="20"/>
                <w:szCs w:val="20"/>
                <w:color w:val="auto"/>
              </w:rPr>
            </w:pPr>
            <w:r>
              <w:rPr>
                <w:rFonts w:ascii="Arial" w:cs="Arial" w:eastAsia="Arial" w:hAnsi="Arial"/>
                <w:sz w:val="14"/>
                <w:szCs w:val="14"/>
                <w:b w:val="1"/>
                <w:bCs w:val="1"/>
                <w:color w:val="auto"/>
              </w:rPr>
              <w:t>June 29,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ind w:left="120"/>
              <w:spacing w:after="0" w:line="126" w:lineRule="exact"/>
              <w:rPr>
                <w:sz w:val="20"/>
                <w:szCs w:val="20"/>
                <w:color w:val="auto"/>
              </w:rPr>
            </w:pPr>
            <w:r>
              <w:rPr>
                <w:rFonts w:ascii="Arial" w:cs="Arial" w:eastAsia="Arial" w:hAnsi="Arial"/>
                <w:sz w:val="14"/>
                <w:szCs w:val="14"/>
                <w:b w:val="1"/>
                <w:bCs w:val="1"/>
                <w:color w:val="auto"/>
              </w:rPr>
              <w:t>June 30,</w:t>
            </w:r>
          </w:p>
        </w:tc>
        <w:tc>
          <w:tcPr>
            <w:tcW w:w="780" w:type="dxa"/>
            <w:vAlign w:val="bottom"/>
            <w:gridSpan w:val="2"/>
          </w:tcPr>
          <w:p>
            <w:pPr>
              <w:jc w:val="right"/>
              <w:ind w:right="196"/>
              <w:spacing w:after="0" w:line="126"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96"/>
              <w:spacing w:after="0" w:line="126"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ind w:left="100"/>
              <w:spacing w:after="0" w:line="126" w:lineRule="exact"/>
              <w:rPr>
                <w:sz w:val="20"/>
                <w:szCs w:val="20"/>
                <w:color w:val="auto"/>
              </w:rPr>
            </w:pPr>
            <w:r>
              <w:rPr>
                <w:rFonts w:ascii="Arial" w:cs="Arial" w:eastAsia="Arial" w:hAnsi="Arial"/>
                <w:sz w:val="14"/>
                <w:szCs w:val="14"/>
                <w:b w:val="1"/>
                <w:bCs w:val="1"/>
                <w:color w:val="auto"/>
              </w:rPr>
              <w:t>June 29,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240"/>
              <w:spacing w:after="0" w:line="126" w:lineRule="exact"/>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274"/>
              <w:spacing w:after="0" w:line="126"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rPr>
              <w:t>%</w:t>
            </w:r>
          </w:p>
        </w:tc>
      </w:tr>
      <w:tr>
        <w:trPr>
          <w:trHeight w:val="178"/>
        </w:trPr>
        <w:tc>
          <w:tcPr>
            <w:tcW w:w="15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77"/>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140" w:type="dxa"/>
            <w:vAlign w:val="bottom"/>
            <w:tcBorders>
              <w:right w:val="single" w:sz="8" w:color="auto"/>
            </w:tcBorders>
          </w:tcPr>
          <w:p>
            <w:pPr>
              <w:spacing w:after="0"/>
              <w:rPr>
                <w:sz w:val="15"/>
                <w:szCs w:val="15"/>
                <w:color w:val="auto"/>
              </w:rPr>
            </w:pPr>
          </w:p>
        </w:tc>
        <w:tc>
          <w:tcPr>
            <w:tcW w:w="74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9"/>
              </w:rPr>
              <w:t>Change</w:t>
            </w:r>
          </w:p>
        </w:tc>
        <w:tc>
          <w:tcPr>
            <w:tcW w:w="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16"/>
        </w:trPr>
        <w:tc>
          <w:tcPr>
            <w:tcW w:w="1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380,242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390,821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(10,579)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$ 25,772</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$ 17,477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47.5 %</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South</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258,802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291,320</w:t>
            </w:r>
          </w:p>
        </w:tc>
        <w:tc>
          <w:tcPr>
            <w:tcW w:w="8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(32,518)</w:t>
            </w:r>
          </w:p>
        </w:tc>
        <w:tc>
          <w:tcPr>
            <w:tcW w:w="82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(11.2)%</w:t>
            </w:r>
          </w:p>
        </w:tc>
        <w:tc>
          <w:tcPr>
            <w:tcW w:w="140" w:type="dxa"/>
            <w:vAlign w:val="bottom"/>
            <w:tcBorders>
              <w:right w:val="single" w:sz="8" w:color="auto"/>
            </w:tcBorders>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14,682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12,941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13.5 %</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421,273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456,825</w:t>
            </w: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(35,552)</w:t>
            </w:r>
          </w:p>
        </w:tc>
        <w:tc>
          <w:tcPr>
            <w:tcW w:w="82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w:t>
            </w:r>
          </w:p>
        </w:tc>
        <w:tc>
          <w:tcPr>
            <w:tcW w:w="140" w:type="dxa"/>
            <w:vAlign w:val="bottom"/>
            <w:tcBorders>
              <w:right w:val="single" w:sz="8" w:color="auto"/>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25,864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All 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179,500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155,474</w:t>
            </w:r>
          </w:p>
        </w:tc>
        <w:tc>
          <w:tcPr>
            <w:tcW w:w="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24,026</w:t>
            </w:r>
          </w:p>
        </w:tc>
        <w:tc>
          <w:tcPr>
            <w:tcW w:w="80" w:type="dxa"/>
            <w:vAlign w:val="bottom"/>
          </w:tcPr>
          <w:p>
            <w:pPr>
              <w:spacing w:after="0"/>
              <w:rPr>
                <w:sz w:val="18"/>
                <w:szCs w:val="18"/>
                <w:color w:val="auto"/>
              </w:rPr>
            </w:pPr>
          </w:p>
        </w:tc>
        <w:tc>
          <w:tcPr>
            <w:tcW w:w="82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15.5 %</w:t>
            </w:r>
          </w:p>
        </w:tc>
        <w:tc>
          <w:tcPr>
            <w:tcW w:w="140" w:type="dxa"/>
            <w:vAlign w:val="bottom"/>
            <w:tcBorders>
              <w:right w:val="single" w:sz="8" w:color="auto"/>
            </w:tcBorders>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4,378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3,965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10.4 %</w:t>
            </w:r>
          </w:p>
        </w:tc>
      </w:tr>
      <w:tr>
        <w:trPr>
          <w:trHeight w:val="23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976.5 %</w:t>
            </w:r>
          </w:p>
        </w:tc>
      </w:tr>
      <w:tr>
        <w:trPr>
          <w:trHeight w:val="210"/>
        </w:trPr>
        <w:tc>
          <w:tcPr>
            <w:tcW w:w="15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w w:val="97"/>
              </w:rPr>
              <w:t>1,239,817</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w w:val="97"/>
              </w:rPr>
              <w:t>1,294,440</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92"/>
              </w:rPr>
              <w:t>$ (54,623)</w:t>
            </w: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right w:val="single" w:sz="8" w:color="auto"/>
            </w:tcBorders>
            <w:gridSpan w:val="2"/>
          </w:tcPr>
          <w:p>
            <w:pPr>
              <w:jc w:val="right"/>
              <w:ind w:right="120"/>
              <w:spacing w:after="0" w:line="203" w:lineRule="exact"/>
              <w:rPr>
                <w:sz w:val="20"/>
                <w:szCs w:val="20"/>
                <w:color w:val="auto"/>
              </w:rPr>
            </w:pPr>
            <w:r>
              <w:rPr>
                <w:rFonts w:ascii="Arial" w:cs="Arial" w:eastAsia="Arial" w:hAnsi="Arial"/>
                <w:sz w:val="18"/>
                <w:szCs w:val="18"/>
                <w:color w:val="auto"/>
              </w:rPr>
              <w:t>(4.2)%</w:t>
            </w:r>
          </w:p>
        </w:tc>
        <w:tc>
          <w:tcPr>
            <w:tcW w:w="140" w:type="dxa"/>
            <w:vAlign w:val="bottom"/>
            <w:tcBorders>
              <w:top w:val="single" w:sz="8" w:color="CCEEFF"/>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$ 74,237</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60,617</w:t>
            </w: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13,620</w:t>
            </w: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22.5 %</w:t>
            </w:r>
          </w:p>
        </w:tc>
      </w:tr>
      <w:tr>
        <w:trPr>
          <w:trHeight w:val="601"/>
        </w:trPr>
        <w:tc>
          <w:tcPr>
            <w:tcW w:w="1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5"/>
              </w:rPr>
              <w:t>Net Sales</w:t>
            </w: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Earnings from Operations</w:t>
            </w: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56"/>
        </w:trPr>
        <w:tc>
          <w:tcPr>
            <w:tcW w:w="1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7"/>
          </w:tcPr>
          <w:p>
            <w:pPr>
              <w:ind w:left="80"/>
              <w:spacing w:after="0" w:line="149" w:lineRule="exact"/>
              <w:rPr>
                <w:sz w:val="20"/>
                <w:szCs w:val="20"/>
                <w:color w:val="auto"/>
              </w:rPr>
            </w:pPr>
            <w:r>
              <w:rPr>
                <w:rFonts w:ascii="Arial" w:cs="Arial" w:eastAsia="Arial" w:hAnsi="Arial"/>
                <w:sz w:val="14"/>
                <w:szCs w:val="14"/>
                <w:b w:val="1"/>
                <w:bCs w:val="1"/>
                <w:color w:val="auto"/>
              </w:rPr>
              <w:t>Six Months Ended</w:t>
            </w: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8"/>
          </w:tcPr>
          <w:p>
            <w:pPr>
              <w:jc w:val="right"/>
              <w:ind w:right="480"/>
              <w:spacing w:after="0" w:line="149" w:lineRule="exact"/>
              <w:rPr>
                <w:sz w:val="20"/>
                <w:szCs w:val="20"/>
                <w:color w:val="auto"/>
              </w:rPr>
            </w:pPr>
            <w:r>
              <w:rPr>
                <w:rFonts w:ascii="Arial" w:cs="Arial" w:eastAsia="Arial" w:hAnsi="Arial"/>
                <w:sz w:val="14"/>
                <w:szCs w:val="14"/>
                <w:b w:val="1"/>
                <w:bCs w:val="1"/>
                <w:color w:val="auto"/>
                <w:w w:val="98"/>
              </w:rPr>
              <w:t>Six Months Ended</w:t>
            </w: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26"/>
        </w:trPr>
        <w:tc>
          <w:tcPr>
            <w:tcW w:w="1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260"/>
              <w:spacing w:after="0" w:line="126" w:lineRule="exact"/>
              <w:rPr>
                <w:sz w:val="20"/>
                <w:szCs w:val="20"/>
                <w:color w:val="auto"/>
              </w:rPr>
            </w:pPr>
            <w:r>
              <w:rPr>
                <w:rFonts w:ascii="Arial" w:cs="Arial" w:eastAsia="Arial" w:hAnsi="Arial"/>
                <w:sz w:val="14"/>
                <w:szCs w:val="14"/>
                <w:b w:val="1"/>
                <w:bCs w:val="1"/>
                <w:color w:val="auto"/>
                <w:w w:val="99"/>
              </w:rPr>
              <w:t>June 29,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ind w:left="60"/>
              <w:spacing w:after="0" w:line="126" w:lineRule="exact"/>
              <w:rPr>
                <w:sz w:val="20"/>
                <w:szCs w:val="20"/>
                <w:color w:val="auto"/>
              </w:rPr>
            </w:pPr>
            <w:r>
              <w:rPr>
                <w:rFonts w:ascii="Arial" w:cs="Arial" w:eastAsia="Arial" w:hAnsi="Arial"/>
                <w:sz w:val="14"/>
                <w:szCs w:val="14"/>
                <w:b w:val="1"/>
                <w:bCs w:val="1"/>
                <w:color w:val="auto"/>
              </w:rPr>
              <w:t>June 30,</w:t>
            </w:r>
          </w:p>
        </w:tc>
        <w:tc>
          <w:tcPr>
            <w:tcW w:w="780" w:type="dxa"/>
            <w:vAlign w:val="bottom"/>
            <w:gridSpan w:val="2"/>
          </w:tcPr>
          <w:p>
            <w:pPr>
              <w:jc w:val="right"/>
              <w:ind w:right="256"/>
              <w:spacing w:after="0" w:line="126"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196"/>
              <w:spacing w:after="0" w:line="126" w:lineRule="exact"/>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June 29,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240"/>
              <w:spacing w:after="0" w:line="126" w:lineRule="exact"/>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234"/>
              <w:spacing w:after="0" w:line="126"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259"/>
              <w:spacing w:after="0" w:line="126" w:lineRule="exact"/>
              <w:rPr>
                <w:sz w:val="20"/>
                <w:szCs w:val="20"/>
                <w:color w:val="auto"/>
              </w:rPr>
            </w:pPr>
            <w:r>
              <w:rPr>
                <w:rFonts w:ascii="Arial" w:cs="Arial" w:eastAsia="Arial" w:hAnsi="Arial"/>
                <w:sz w:val="14"/>
                <w:szCs w:val="14"/>
                <w:b w:val="1"/>
                <w:bCs w:val="1"/>
                <w:color w:val="auto"/>
              </w:rPr>
              <w:t>%</w:t>
            </w:r>
          </w:p>
        </w:tc>
      </w:tr>
      <w:tr>
        <w:trPr>
          <w:trHeight w:val="178"/>
        </w:trPr>
        <w:tc>
          <w:tcPr>
            <w:tcW w:w="15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37"/>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60" w:type="dxa"/>
            <w:vAlign w:val="bottom"/>
          </w:tcPr>
          <w:p>
            <w:pPr>
              <w:spacing w:after="0"/>
              <w:rPr>
                <w:sz w:val="15"/>
                <w:szCs w:val="15"/>
                <w:color w:val="auto"/>
              </w:rPr>
            </w:pPr>
          </w:p>
        </w:tc>
        <w:tc>
          <w:tcPr>
            <w:tcW w:w="7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93"/>
              </w:rPr>
              <w:t>Change</w:t>
            </w:r>
          </w:p>
        </w:tc>
        <w:tc>
          <w:tcPr>
            <w:tcW w:w="880" w:type="dxa"/>
            <w:vAlign w:val="bottom"/>
            <w:gridSpan w:val="3"/>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7"/>
              </w:rPr>
              <w:t>Change</w:t>
            </w:r>
          </w:p>
        </w:tc>
        <w:tc>
          <w:tcPr>
            <w:tcW w:w="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r>
      <w:tr>
        <w:trPr>
          <w:trHeight w:val="216"/>
        </w:trPr>
        <w:tc>
          <w:tcPr>
            <w:tcW w:w="1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658,575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661,007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(2,432)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40,191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15,479</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62.6 %</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South</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503,043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533,340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(30,297)</w:t>
            </w:r>
          </w:p>
        </w:tc>
        <w:tc>
          <w:tcPr>
            <w:tcW w:w="8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(5.7)%</w:t>
            </w:r>
          </w:p>
        </w:tc>
        <w:tc>
          <w:tcPr>
            <w:tcW w:w="140" w:type="dxa"/>
            <w:vAlign w:val="bottom"/>
            <w:tcBorders>
              <w:right w:val="single" w:sz="8" w:color="auto"/>
            </w:tcBorders>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29,742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31,264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(1,522)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819,293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(37,923)</w:t>
            </w:r>
          </w:p>
        </w:tc>
        <w:tc>
          <w:tcPr>
            <w:tcW w:w="8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(4.6)%</w:t>
            </w:r>
          </w:p>
        </w:tc>
        <w:tc>
          <w:tcPr>
            <w:tcW w:w="140" w:type="dxa"/>
            <w:vAlign w:val="bottom"/>
            <w:tcBorders>
              <w:right w:val="single" w:sz="8" w:color="auto"/>
            </w:tcBorders>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48,676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All 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311,955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274,657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37,298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w w:val="99"/>
              </w:rPr>
              <w:t>13.6 %</w:t>
            </w:r>
          </w:p>
        </w:tc>
        <w:tc>
          <w:tcPr>
            <w:tcW w:w="140" w:type="dxa"/>
            <w:vAlign w:val="bottom"/>
            <w:tcBorders>
              <w:right w:val="single" w:sz="8" w:color="auto"/>
            </w:tcBorders>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(539)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(86.4)%</w:t>
            </w:r>
          </w:p>
        </w:tc>
      </w:tr>
      <w:tr>
        <w:trPr>
          <w:trHeight w:val="23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76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8.5 %</w:t>
            </w:r>
          </w:p>
        </w:tc>
      </w:tr>
      <w:tr>
        <w:trPr>
          <w:trHeight w:val="217"/>
        </w:trPr>
        <w:tc>
          <w:tcPr>
            <w:tcW w:w="15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2,254,943</w:t>
            </w: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2,288,297</w:t>
            </w: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2"/>
              </w:rPr>
              <w:t>$ (33,354)</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right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$ 122,683</w:t>
            </w: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2"/>
              </w:rPr>
              <w:t>$ 104,835</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rPr>
              <w:t>17,848</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5327650</wp:posOffset>
            </wp:positionH>
            <wp:positionV relativeFrom="paragraph">
              <wp:posOffset>-8255</wp:posOffset>
            </wp:positionV>
            <wp:extent cx="4203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0370" cy="17145"/>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-162560</wp:posOffset>
            </wp:positionV>
            <wp:extent cx="4286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ind w:left="340" w:hanging="331"/>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Corporate primarily represents over (under) allocated administrative costs and accrued bonus expense.</w:t>
      </w:r>
    </w:p>
    <w:p>
      <w:pPr>
        <w:spacing w:after="0" w:line="203"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During the second quarter and the first six months of 2019, management retrospectively reallocated the related bonus expense from Corporate to their respective segment to better assess the reporting unit’s productivity.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5" w:name="page26"/>
    <w:bookmarkEnd w:id="25"/>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North</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8"/>
              </w:rPr>
              <w:t>Net Sales</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Net Sales</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0" w:type="dxa"/>
            <w:vAlign w:val="bottom"/>
            <w:tcBorders>
              <w:bottom w:val="single" w:sz="8" w:color="auto"/>
            </w:tcBorders>
            <w:gridSpan w:val="5"/>
          </w:tcPr>
          <w:p>
            <w:pPr>
              <w:jc w:val="center"/>
              <w:spacing w:after="0" w:line="149" w:lineRule="exact"/>
              <w:rPr>
                <w:sz w:val="20"/>
                <w:szCs w:val="20"/>
                <w:color w:val="auto"/>
              </w:rPr>
            </w:pPr>
            <w:r>
              <w:rPr>
                <w:rFonts w:ascii="Arial" w:cs="Arial" w:eastAsia="Arial" w:hAnsi="Arial"/>
                <w:sz w:val="14"/>
                <w:szCs w:val="14"/>
                <w:b w:val="1"/>
                <w:bCs w:val="1"/>
                <w:color w:val="auto"/>
                <w:w w:val="95"/>
              </w:rPr>
              <w:t>North Segment by Market</w:t>
            </w:r>
          </w:p>
        </w:tc>
        <w:tc>
          <w:tcPr>
            <w:tcW w:w="160" w:type="dxa"/>
            <w:vAlign w:val="bottom"/>
          </w:tcPr>
          <w:p>
            <w:pPr>
              <w:spacing w:after="0"/>
              <w:rPr>
                <w:sz w:val="13"/>
                <w:szCs w:val="13"/>
                <w:color w:val="auto"/>
              </w:rPr>
            </w:pPr>
          </w:p>
        </w:tc>
        <w:tc>
          <w:tcPr>
            <w:tcW w:w="2620" w:type="dxa"/>
            <w:vAlign w:val="bottom"/>
            <w:tcBorders>
              <w:bottom w:val="single" w:sz="8" w:color="auto"/>
            </w:tcBorders>
            <w:gridSpan w:val="6"/>
          </w:tcPr>
          <w:p>
            <w:pPr>
              <w:jc w:val="center"/>
              <w:spacing w:after="0" w:line="149" w:lineRule="exact"/>
              <w:rPr>
                <w:sz w:val="20"/>
                <w:szCs w:val="20"/>
                <w:color w:val="auto"/>
              </w:rPr>
            </w:pPr>
            <w:r>
              <w:rPr>
                <w:rFonts w:ascii="Arial" w:cs="Arial" w:eastAsia="Arial" w:hAnsi="Arial"/>
                <w:sz w:val="14"/>
                <w:szCs w:val="14"/>
                <w:b w:val="1"/>
                <w:bCs w:val="1"/>
                <w:color w:val="auto"/>
                <w:w w:val="95"/>
              </w:rPr>
              <w:t>North Segment by Market</w:t>
            </w:r>
          </w:p>
        </w:tc>
        <w:tc>
          <w:tcPr>
            <w:tcW w:w="0" w:type="dxa"/>
            <w:vAlign w:val="bottom"/>
          </w:tcPr>
          <w:p>
            <w:pPr>
              <w:spacing w:after="0"/>
              <w:rPr>
                <w:sz w:val="1"/>
                <w:szCs w:val="1"/>
                <w:color w:val="auto"/>
              </w:rPr>
            </w:pPr>
          </w:p>
        </w:tc>
      </w:tr>
      <w:tr>
        <w:trPr>
          <w:trHeight w:val="156"/>
        </w:trPr>
        <w:tc>
          <w:tcPr>
            <w:tcW w:w="2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3"/>
                <w:szCs w:val="13"/>
                <w:color w:val="auto"/>
              </w:rPr>
            </w:pPr>
          </w:p>
        </w:tc>
        <w:tc>
          <w:tcPr>
            <w:tcW w:w="2600" w:type="dxa"/>
            <w:vAlign w:val="bottom"/>
            <w:tcBorders>
              <w:bottom w:val="single" w:sz="8" w:color="auto"/>
            </w:tcBorders>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3"/>
                <w:szCs w:val="13"/>
                <w:color w:val="auto"/>
              </w:rPr>
            </w:pPr>
          </w:p>
        </w:tc>
        <w:tc>
          <w:tcPr>
            <w:tcW w:w="1900" w:type="dxa"/>
            <w:vAlign w:val="bottom"/>
            <w:tcBorders>
              <w:bottom w:val="single" w:sz="8" w:color="auto"/>
            </w:tcBorders>
            <w:gridSpan w:val="5"/>
          </w:tcPr>
          <w:p>
            <w:pPr>
              <w:jc w:val="center"/>
              <w:ind w:left="618"/>
              <w:spacing w:after="0" w:line="149" w:lineRule="exact"/>
              <w:rPr>
                <w:sz w:val="20"/>
                <w:szCs w:val="20"/>
                <w:color w:val="auto"/>
              </w:rPr>
            </w:pPr>
            <w:r>
              <w:rPr>
                <w:rFonts w:ascii="Arial" w:cs="Arial" w:eastAsia="Arial" w:hAnsi="Arial"/>
                <w:sz w:val="14"/>
                <w:szCs w:val="14"/>
                <w:b w:val="1"/>
                <w:bCs w:val="1"/>
                <w:color w:val="auto"/>
                <w:w w:val="92"/>
              </w:rPr>
              <w:t>Six Months Ended</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0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800" w:type="dxa"/>
            <w:vAlign w:val="bottom"/>
          </w:tcPr>
          <w:p>
            <w:pPr>
              <w:jc w:val="right"/>
              <w:ind w:right="58"/>
              <w:spacing w:after="0" w:line="126" w:lineRule="exact"/>
              <w:rPr>
                <w:sz w:val="20"/>
                <w:szCs w:val="20"/>
                <w:color w:val="auto"/>
              </w:rPr>
            </w:pPr>
            <w:r>
              <w:rPr>
                <w:rFonts w:ascii="Arial" w:cs="Arial" w:eastAsia="Arial" w:hAnsi="Arial"/>
                <w:sz w:val="14"/>
                <w:szCs w:val="14"/>
                <w:b w:val="1"/>
                <w:bCs w:val="1"/>
                <w:color w:val="auto"/>
              </w:rPr>
              <w:t>June 29,</w:t>
            </w:r>
          </w:p>
        </w:tc>
        <w:tc>
          <w:tcPr>
            <w:tcW w:w="160" w:type="dxa"/>
            <w:vAlign w:val="bottom"/>
          </w:tcPr>
          <w:p>
            <w:pPr>
              <w:spacing w:after="0"/>
              <w:rPr>
                <w:sz w:val="10"/>
                <w:szCs w:val="10"/>
                <w:color w:val="auto"/>
              </w:rPr>
            </w:pPr>
          </w:p>
        </w:tc>
        <w:tc>
          <w:tcPr>
            <w:tcW w:w="800" w:type="dxa"/>
            <w:vAlign w:val="bottom"/>
          </w:tcPr>
          <w:p>
            <w:pPr>
              <w:jc w:val="right"/>
              <w:ind w:right="76"/>
              <w:spacing w:after="0" w:line="126"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ind w:left="140"/>
              <w:spacing w:after="0" w:line="126" w:lineRule="exact"/>
              <w:rPr>
                <w:sz w:val="20"/>
                <w:szCs w:val="20"/>
                <w:color w:val="auto"/>
              </w:rPr>
            </w:pPr>
            <w:r>
              <w:rPr>
                <w:rFonts w:ascii="Arial" w:cs="Arial" w:eastAsia="Arial" w:hAnsi="Arial"/>
                <w:sz w:val="14"/>
                <w:szCs w:val="14"/>
                <w:b w:val="1"/>
                <w:bCs w:val="1"/>
                <w:color w:val="auto"/>
              </w:rPr>
              <w:t>June 29,</w:t>
            </w:r>
          </w:p>
        </w:tc>
        <w:tc>
          <w:tcPr>
            <w:tcW w:w="20" w:type="dxa"/>
            <w:vAlign w:val="bottom"/>
          </w:tcPr>
          <w:p>
            <w:pPr>
              <w:spacing w:after="0"/>
              <w:rPr>
                <w:sz w:val="10"/>
                <w:szCs w:val="10"/>
                <w:color w:val="auto"/>
              </w:rPr>
            </w:pPr>
          </w:p>
        </w:tc>
        <w:tc>
          <w:tcPr>
            <w:tcW w:w="940" w:type="dxa"/>
            <w:vAlign w:val="bottom"/>
            <w:gridSpan w:val="2"/>
          </w:tcPr>
          <w:p>
            <w:pPr>
              <w:ind w:left="140"/>
              <w:spacing w:after="0" w:line="126" w:lineRule="exact"/>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500" w:type="dxa"/>
            <w:vAlign w:val="bottom"/>
            <w:gridSpan w:val="3"/>
          </w:tcPr>
          <w:p>
            <w:pPr>
              <w:spacing w:after="0"/>
              <w:rPr>
                <w:sz w:val="20"/>
                <w:szCs w:val="20"/>
                <w:color w:val="auto"/>
              </w:rPr>
            </w:pPr>
            <w:r>
              <w:rPr>
                <w:rFonts w:ascii="Arial" w:cs="Arial" w:eastAsia="Arial" w:hAnsi="Arial"/>
                <w:sz w:val="14"/>
                <w:szCs w:val="14"/>
                <w:b w:val="1"/>
                <w:bCs w:val="1"/>
                <w:color w:val="auto"/>
              </w:rPr>
              <w:t>Market Classification</w:t>
            </w:r>
          </w:p>
        </w:tc>
        <w:tc>
          <w:tcPr>
            <w:tcW w:w="1980" w:type="dxa"/>
            <w:vAlign w:val="bottom"/>
            <w:gridSpan w:val="2"/>
          </w:tcPr>
          <w:p>
            <w:pPr>
              <w:jc w:val="right"/>
              <w:ind w:right="178"/>
              <w:spacing w:after="0"/>
              <w:rPr>
                <w:sz w:val="20"/>
                <w:szCs w:val="20"/>
                <w:color w:val="auto"/>
              </w:rPr>
            </w:pPr>
            <w:r>
              <w:rPr>
                <w:rFonts w:ascii="Arial" w:cs="Arial" w:eastAsia="Arial" w:hAnsi="Arial"/>
                <w:sz w:val="14"/>
                <w:szCs w:val="14"/>
                <w:b w:val="1"/>
                <w:bCs w:val="1"/>
                <w:color w:val="auto"/>
              </w:rPr>
              <w:t>2019</w:t>
            </w:r>
          </w:p>
        </w:tc>
        <w:tc>
          <w:tcPr>
            <w:tcW w:w="96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4"/>
              </w:rPr>
              <w:t>% Change</w:t>
            </w:r>
          </w:p>
        </w:tc>
        <w:tc>
          <w:tcPr>
            <w:tcW w:w="960" w:type="dxa"/>
            <w:vAlign w:val="bottom"/>
            <w:gridSpan w:val="2"/>
          </w:tcPr>
          <w:p>
            <w:pPr>
              <w:jc w:val="right"/>
              <w:ind w:right="17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82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$ 186,038</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$ 191,260</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$ 285,885</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$ 286,894</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65,549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56,157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16.7 %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126,956</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107,986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137,439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152,646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259,301</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280,061</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18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389,026</w:t>
            </w:r>
          </w:p>
        </w:tc>
        <w:tc>
          <w:tcPr>
            <w:tcW w:w="16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400,063</w:t>
            </w:r>
          </w:p>
        </w:tc>
        <w:tc>
          <w:tcPr>
            <w:tcW w:w="8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672,142</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674,941</w:t>
            </w:r>
          </w:p>
        </w:tc>
        <w:tc>
          <w:tcPr>
            <w:tcW w:w="14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(8,784)</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(9,242)</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(13,567)</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(13,934)</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2500" w:type="dxa"/>
            <w:vAlign w:val="bottom"/>
            <w:gridSpan w:val="3"/>
          </w:tcPr>
          <w:p>
            <w:pPr>
              <w:spacing w:after="0" w:line="203" w:lineRule="exact"/>
              <w:rPr>
                <w:sz w:val="20"/>
                <w:szCs w:val="20"/>
                <w:color w:val="auto"/>
              </w:rPr>
            </w:pPr>
            <w:r>
              <w:rPr>
                <w:rFonts w:ascii="Arial" w:cs="Arial" w:eastAsia="Arial" w:hAnsi="Arial"/>
                <w:sz w:val="18"/>
                <w:szCs w:val="18"/>
                <w:color w:val="auto"/>
              </w:rPr>
              <w:t>Total Net Sales</w:t>
            </w:r>
          </w:p>
        </w:tc>
        <w:tc>
          <w:tcPr>
            <w:tcW w:w="118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$ 380,242</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$ 390,821</w:t>
            </w:r>
          </w:p>
        </w:tc>
        <w:tc>
          <w:tcPr>
            <w:tcW w:w="8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(2.7)%</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$ 658,575</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$ 661,007</w:t>
            </w:r>
          </w:p>
        </w:tc>
        <w:tc>
          <w:tcPr>
            <w:tcW w:w="14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Note: During 2019, certain customers were reclassified to a different market. Prior year information has been restated to reflect these changes.</w:t>
      </w:r>
    </w:p>
    <w:p>
      <w:pPr>
        <w:spacing w:after="0" w:line="220" w:lineRule="exact"/>
        <w:rPr>
          <w:sz w:val="20"/>
          <w:szCs w:val="20"/>
          <w:color w:val="auto"/>
        </w:rPr>
      </w:pPr>
    </w:p>
    <w:p>
      <w:pPr>
        <w:ind w:left="20" w:right="60"/>
        <w:spacing w:after="0" w:line="286" w:lineRule="auto"/>
        <w:rPr>
          <w:sz w:val="20"/>
          <w:szCs w:val="20"/>
          <w:color w:val="auto"/>
        </w:rPr>
      </w:pPr>
      <w:r>
        <w:rPr>
          <w:rFonts w:ascii="Arial" w:cs="Arial" w:eastAsia="Arial" w:hAnsi="Arial"/>
          <w:sz w:val="17"/>
          <w:szCs w:val="17"/>
          <w:color w:val="auto"/>
        </w:rPr>
        <w:t>Net sales attributable to the North reportable segment decreased in the second quarter of 2019 compared to 2018 primarily due to the impact of a falling lumber market. The increase to the industrial market was primarily due to acquired operations, which contributed $5.0 million to sales, and an increase in units sold to existing customers.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Earnings from operations for the North reportable segment increased in the second quarter of 2019 by $8.3 million, or</w:t>
      </w:r>
    </w:p>
    <w:p>
      <w:pPr>
        <w:spacing w:after="0" w:line="35" w:lineRule="exact"/>
        <w:rPr>
          <w:sz w:val="20"/>
          <w:szCs w:val="20"/>
          <w:color w:val="auto"/>
        </w:rPr>
      </w:pPr>
    </w:p>
    <w:p>
      <w:pPr>
        <w:ind w:left="20" w:right="80"/>
        <w:spacing w:after="0" w:line="255" w:lineRule="auto"/>
        <w:rPr>
          <w:sz w:val="20"/>
          <w:szCs w:val="20"/>
          <w:color w:val="auto"/>
        </w:rPr>
      </w:pPr>
      <w:r>
        <w:rPr>
          <w:rFonts w:ascii="Arial" w:cs="Arial" w:eastAsia="Arial" w:hAnsi="Arial"/>
          <w:sz w:val="18"/>
          <w:szCs w:val="18"/>
          <w:color w:val="auto"/>
        </w:rPr>
        <w:t>47.5%, due to a $10.8 million increase in gross profits, offset by a $2.5 million increase in SG&amp;A expenses compared to last year. Gross profits were higher due to increases of $3.0 million, $3.0 million, and $4.8 million within the retail, industrial, and construction markets, respectively.</w:t>
      </w:r>
    </w:p>
    <w:p>
      <w:pPr>
        <w:spacing w:after="0" w:line="190" w:lineRule="exact"/>
        <w:rPr>
          <w:sz w:val="20"/>
          <w:szCs w:val="20"/>
          <w:color w:val="auto"/>
        </w:rPr>
      </w:pPr>
    </w:p>
    <w:p>
      <w:pPr>
        <w:ind w:left="20" w:right="20"/>
        <w:spacing w:after="0" w:line="259" w:lineRule="auto"/>
        <w:rPr>
          <w:sz w:val="20"/>
          <w:szCs w:val="20"/>
          <w:color w:val="auto"/>
        </w:rPr>
      </w:pPr>
      <w:r>
        <w:rPr>
          <w:rFonts w:ascii="Arial" w:cs="Arial" w:eastAsia="Arial" w:hAnsi="Arial"/>
          <w:sz w:val="18"/>
          <w:szCs w:val="18"/>
          <w:color w:val="auto"/>
        </w:rPr>
        <w:t>Net sales attributable to the North reportable segment decreased in the first six months of 2019 compared to 2018 primarily due to the lower lumber market. The increase in the industrial market was primarily due to acquired operations, $9.3 million, and the same factors previously discussed. The decrease in the retail and construction markets was due to the same factors previously discussed.</w:t>
      </w:r>
    </w:p>
    <w:p>
      <w:pPr>
        <w:spacing w:after="0" w:line="187" w:lineRule="exact"/>
        <w:rPr>
          <w:sz w:val="20"/>
          <w:szCs w:val="20"/>
          <w:color w:val="auto"/>
        </w:rPr>
      </w:pPr>
    </w:p>
    <w:p>
      <w:pPr>
        <w:ind w:left="20" w:right="80"/>
        <w:spacing w:after="0" w:line="257" w:lineRule="auto"/>
        <w:rPr>
          <w:sz w:val="20"/>
          <w:szCs w:val="20"/>
          <w:color w:val="auto"/>
        </w:rPr>
      </w:pPr>
      <w:r>
        <w:rPr>
          <w:rFonts w:ascii="Arial" w:cs="Arial" w:eastAsia="Arial" w:hAnsi="Arial"/>
          <w:sz w:val="18"/>
          <w:szCs w:val="18"/>
          <w:color w:val="auto"/>
        </w:rPr>
        <w:t>Earnings from operations for the North reportable segment increased in the first six months of 2019 by $15.5 million, or 62.6%, due to a $20.8 million increase in gross profits, offset by a $5.3 million increase in SG&amp;A expenses compared to last year. Gross profits were higher due to increases of $5.6 million, $6.9 million, and $9.0 million within the retail, industrial, and construction markets, respectively. Opportunistic buying in the fourth quarter of 2018 also contributed to higher gross profits in the first three months of 2019.</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South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8"/>
              </w:rPr>
              <w:t>Net Sales</w:t>
            </w:r>
          </w:p>
        </w:tc>
        <w:tc>
          <w:tcPr>
            <w:tcW w:w="7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8"/>
              </w:rPr>
              <w:t>Net Sales</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5"/>
          </w:tcPr>
          <w:p>
            <w:pPr>
              <w:jc w:val="center"/>
              <w:ind w:right="33"/>
              <w:spacing w:after="0" w:line="149" w:lineRule="exact"/>
              <w:rPr>
                <w:sz w:val="20"/>
                <w:szCs w:val="20"/>
                <w:color w:val="auto"/>
              </w:rPr>
            </w:pPr>
            <w:r>
              <w:rPr>
                <w:rFonts w:ascii="Arial" w:cs="Arial" w:eastAsia="Arial" w:hAnsi="Arial"/>
                <w:sz w:val="14"/>
                <w:szCs w:val="14"/>
                <w:b w:val="1"/>
                <w:bCs w:val="1"/>
                <w:color w:val="auto"/>
                <w:w w:val="94"/>
              </w:rPr>
              <w:t>South Segment by Market</w:t>
            </w:r>
          </w:p>
        </w:tc>
        <w:tc>
          <w:tcPr>
            <w:tcW w:w="2660" w:type="dxa"/>
            <w:vAlign w:val="bottom"/>
            <w:tcBorders>
              <w:bottom w:val="single" w:sz="8" w:color="auto"/>
            </w:tcBorders>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South Segment by Market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5"/>
          </w:tcPr>
          <w:p>
            <w:pPr>
              <w:jc w:val="center"/>
              <w:ind w:right="33"/>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1900" w:type="dxa"/>
            <w:vAlign w:val="bottom"/>
            <w:tcBorders>
              <w:bottom w:val="single" w:sz="8" w:color="auto"/>
            </w:tcBorders>
            <w:gridSpan w:val="4"/>
          </w:tcPr>
          <w:p>
            <w:pPr>
              <w:jc w:val="center"/>
              <w:ind w:left="677"/>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ind w:left="40"/>
              <w:spacing w:after="0" w:line="126" w:lineRule="exact"/>
              <w:rPr>
                <w:sz w:val="20"/>
                <w:szCs w:val="20"/>
                <w:color w:val="auto"/>
              </w:rPr>
            </w:pPr>
            <w:r>
              <w:rPr>
                <w:rFonts w:ascii="Arial" w:cs="Arial" w:eastAsia="Arial" w:hAnsi="Arial"/>
                <w:sz w:val="14"/>
                <w:szCs w:val="14"/>
                <w:b w:val="1"/>
                <w:bCs w:val="1"/>
                <w:color w:val="auto"/>
              </w:rPr>
              <w:t>June 29,</w:t>
            </w:r>
          </w:p>
        </w:tc>
        <w:tc>
          <w:tcPr>
            <w:tcW w:w="960" w:type="dxa"/>
            <w:vAlign w:val="bottom"/>
            <w:gridSpan w:val="2"/>
          </w:tcPr>
          <w:p>
            <w:pPr>
              <w:ind w:left="160"/>
              <w:spacing w:after="0" w:line="126" w:lineRule="exact"/>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0"/>
                <w:szCs w:val="10"/>
                <w:color w:val="auto"/>
              </w:rPr>
            </w:pPr>
          </w:p>
        </w:tc>
        <w:tc>
          <w:tcPr>
            <w:tcW w:w="940" w:type="dxa"/>
            <w:vAlign w:val="bottom"/>
            <w:gridSpan w:val="2"/>
          </w:tcPr>
          <w:p>
            <w:pPr>
              <w:jc w:val="right"/>
              <w:ind w:right="280"/>
              <w:spacing w:after="0" w:line="126" w:lineRule="exact"/>
              <w:rPr>
                <w:sz w:val="20"/>
                <w:szCs w:val="20"/>
                <w:color w:val="auto"/>
              </w:rPr>
            </w:pPr>
            <w:r>
              <w:rPr>
                <w:rFonts w:ascii="Arial" w:cs="Arial" w:eastAsia="Arial" w:hAnsi="Arial"/>
                <w:sz w:val="14"/>
                <w:szCs w:val="14"/>
                <w:b w:val="1"/>
                <w:bCs w:val="1"/>
                <w:color w:val="auto"/>
              </w:rPr>
              <w:t>June 29,</w:t>
            </w:r>
          </w:p>
        </w:tc>
        <w:tc>
          <w:tcPr>
            <w:tcW w:w="960" w:type="dxa"/>
            <w:vAlign w:val="bottom"/>
            <w:gridSpan w:val="2"/>
          </w:tcPr>
          <w:p>
            <w:pPr>
              <w:jc w:val="right"/>
              <w:ind w:right="280"/>
              <w:spacing w:after="0" w:line="126" w:lineRule="exact"/>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Market Classification</w:t>
            </w:r>
          </w:p>
        </w:tc>
        <w:tc>
          <w:tcPr>
            <w:tcW w:w="120" w:type="dxa"/>
            <w:vAlign w:val="bottom"/>
          </w:tcPr>
          <w:p>
            <w:pPr>
              <w:spacing w:after="0"/>
              <w:rPr>
                <w:sz w:val="16"/>
                <w:szCs w:val="16"/>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8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2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111,684</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$ 130,851</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w w:val="98"/>
              </w:rPr>
              <w:t>(14.6)%</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$ 212,784</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$ 246,059</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105,096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102,834</w:t>
            </w:r>
          </w:p>
        </w:tc>
        <w:tc>
          <w:tcPr>
            <w:tcW w:w="1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2.2 %</w:t>
            </w:r>
          </w:p>
        </w:tc>
        <w:tc>
          <w:tcPr>
            <w:tcW w:w="800" w:type="dxa"/>
            <w:vAlign w:val="bottom"/>
          </w:tcPr>
          <w:p>
            <w:pPr>
              <w:jc w:val="right"/>
              <w:spacing w:after="0"/>
              <w:rPr>
                <w:sz w:val="20"/>
                <w:szCs w:val="20"/>
                <w:color w:val="auto"/>
              </w:rPr>
            </w:pPr>
            <w:r>
              <w:rPr>
                <w:rFonts w:ascii="Arial" w:cs="Arial" w:eastAsia="Arial" w:hAnsi="Arial"/>
                <w:sz w:val="18"/>
                <w:szCs w:val="18"/>
                <w:color w:val="auto"/>
              </w:rPr>
              <w:t>211,098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183,539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47,397</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63,265</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(25.1)%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89,446</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114,629</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w w:val="95"/>
              </w:rPr>
              <w:t>264,177</w:t>
            </w: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296,950</w:t>
            </w:r>
          </w:p>
        </w:tc>
        <w:tc>
          <w:tcPr>
            <w:tcW w:w="140" w:type="dxa"/>
            <w:vAlign w:val="bottom"/>
          </w:tcPr>
          <w:p>
            <w:pPr>
              <w:spacing w:after="0"/>
              <w:rPr>
                <w:sz w:val="17"/>
                <w:szCs w:val="17"/>
                <w:color w:val="auto"/>
              </w:rPr>
            </w:pPr>
          </w:p>
        </w:tc>
        <w:tc>
          <w:tcPr>
            <w:tcW w:w="740" w:type="dxa"/>
            <w:vAlign w:val="bottom"/>
          </w:tcPr>
          <w:p>
            <w:pPr>
              <w:jc w:val="right"/>
              <w:ind w:right="13"/>
              <w:spacing w:after="0" w:line="203" w:lineRule="exact"/>
              <w:rPr>
                <w:sz w:val="20"/>
                <w:szCs w:val="20"/>
                <w:color w:val="auto"/>
              </w:rPr>
            </w:pPr>
            <w:r>
              <w:rPr>
                <w:rFonts w:ascii="Arial" w:cs="Arial" w:eastAsia="Arial" w:hAnsi="Arial"/>
                <w:sz w:val="18"/>
                <w:szCs w:val="18"/>
                <w:color w:val="auto"/>
                <w:w w:val="98"/>
              </w:rPr>
              <w:t>(11.0)%</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513,328</w:t>
            </w:r>
          </w:p>
        </w:tc>
        <w:tc>
          <w:tcPr>
            <w:tcW w:w="1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544,227</w:t>
            </w:r>
          </w:p>
        </w:tc>
        <w:tc>
          <w:tcPr>
            <w:tcW w:w="1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(5,630)</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(10,285)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(10,887)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7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258,802</w:t>
            </w: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$ 291,320</w:t>
            </w:r>
          </w:p>
        </w:tc>
        <w:tc>
          <w:tcPr>
            <w:tcW w:w="140" w:type="dxa"/>
            <w:vAlign w:val="bottom"/>
            <w:tcBorders>
              <w:top w:val="single" w:sz="8" w:color="CCEEFF"/>
            </w:tcBorders>
          </w:tcPr>
          <w:p>
            <w:pPr>
              <w:spacing w:after="0"/>
              <w:rPr>
                <w:sz w:val="17"/>
                <w:szCs w:val="17"/>
                <w:color w:val="auto"/>
              </w:rPr>
            </w:pPr>
          </w:p>
        </w:tc>
        <w:tc>
          <w:tcPr>
            <w:tcW w:w="740" w:type="dxa"/>
            <w:vAlign w:val="bottom"/>
            <w:tcBorders>
              <w:top w:val="single" w:sz="8" w:color="CCEEFF"/>
            </w:tcBorders>
          </w:tcPr>
          <w:p>
            <w:pPr>
              <w:jc w:val="right"/>
              <w:ind w:right="13"/>
              <w:spacing w:after="0" w:line="203" w:lineRule="exact"/>
              <w:rPr>
                <w:sz w:val="20"/>
                <w:szCs w:val="20"/>
                <w:color w:val="auto"/>
              </w:rPr>
            </w:pPr>
            <w:r>
              <w:rPr>
                <w:rFonts w:ascii="Arial" w:cs="Arial" w:eastAsia="Arial" w:hAnsi="Arial"/>
                <w:sz w:val="18"/>
                <w:szCs w:val="18"/>
                <w:color w:val="auto"/>
                <w:w w:val="98"/>
              </w:rPr>
              <w:t>(11.2)%</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$ 503,043</w:t>
            </w: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$ 533,340</w:t>
            </w:r>
          </w:p>
        </w:tc>
        <w:tc>
          <w:tcPr>
            <w:tcW w:w="14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Note: During 2019, certain customers were reclassified to a different market. Prior year information has been restated to reflect these changes.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358140</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80"/>
          </w:cols>
          <w:pgMar w:left="1400" w:top="544" w:right="1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sales attributable to the South reportable segment decreased in the second quarter of 2019 compared to 2018 primarily due to the impact of a lower lumber market. Acquired operations contributed $15.3 million to our growth in industrial sales and sales to our manufactured housing customers in the Southeast and East Central regions decreased in certain commodity product categories.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Earnings from operations for the South reportable segment increased in the second quarter of 2019 by $1.7 million, or</w:t>
      </w:r>
    </w:p>
    <w:p>
      <w:pPr>
        <w:spacing w:after="0" w:line="3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13.5%, due to a $4.0 million increase in gross profits, offset by a $2.3 million increase in SG&amp;A expenses compared to last year. Gross profits were higher due to increases of $3.2 million and $1.0 million within the industrial and construction markets, respectively. Acquired acquisitions contributed $0.9 million to our earnings from operations during the second quarter of 2019.</w:t>
      </w:r>
    </w:p>
    <w:p>
      <w:pPr>
        <w:spacing w:after="0" w:line="190"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Net sales attributable to the South reportable segment decreased in the first six months of 2019 compared to 2018 primarily due to a lower lumber market. Acquired operations contributed $39.0 million to our growth in sales to the industrial market. The decrease in sales to the construction market was due to a $22.1 million decrease, or 26.5%, in sales to our manufactured housing customers in the Southeast and East Central regions in certain commodity product categories.</w:t>
      </w:r>
    </w:p>
    <w:p>
      <w:pPr>
        <w:spacing w:after="0" w:line="15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Earnings from operations for the South reportable segment decreased in the first six months of 2019 compared to the same period of 2018. Excluding the impact of the gain on the sale of our Medley, FL, plant in 2018, earnings from operations increased $5.5 million due to an increase of $11.1 million in gross profits offset by an increase in SG&amp;A expenses of $5.6 million compared to the same period of 2018. Gross profits were higher due to increases of $9.4 million and $1.7 million within the industrial and construction markets, respectively. Acquired operations contributed $1.6 million to our earnings from operations during the first six months of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8"/>
              </w:rPr>
              <w:t>Net Sales</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Net Sales</w:t>
            </w:r>
          </w:p>
        </w:tc>
        <w:tc>
          <w:tcPr>
            <w:tcW w:w="8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40" w:type="dxa"/>
            <w:vAlign w:val="bottom"/>
            <w:tcBorders>
              <w:bottom w:val="single" w:sz="8" w:color="auto"/>
            </w:tcBorders>
            <w:gridSpan w:val="5"/>
          </w:tcPr>
          <w:p>
            <w:pPr>
              <w:jc w:val="center"/>
              <w:spacing w:after="0" w:line="149" w:lineRule="exact"/>
              <w:rPr>
                <w:sz w:val="20"/>
                <w:szCs w:val="20"/>
                <w:color w:val="auto"/>
              </w:rPr>
            </w:pPr>
            <w:r>
              <w:rPr>
                <w:rFonts w:ascii="Arial" w:cs="Arial" w:eastAsia="Arial" w:hAnsi="Arial"/>
                <w:sz w:val="14"/>
                <w:szCs w:val="14"/>
                <w:b w:val="1"/>
                <w:bCs w:val="1"/>
                <w:color w:val="auto"/>
                <w:w w:val="94"/>
              </w:rPr>
              <w:t>West Segment by Market</w:t>
            </w:r>
          </w:p>
        </w:tc>
        <w:tc>
          <w:tcPr>
            <w:tcW w:w="160" w:type="dxa"/>
            <w:vAlign w:val="bottom"/>
          </w:tcPr>
          <w:p>
            <w:pPr>
              <w:spacing w:after="0"/>
              <w:rPr>
                <w:sz w:val="13"/>
                <w:szCs w:val="13"/>
                <w:color w:val="auto"/>
              </w:rPr>
            </w:pPr>
          </w:p>
        </w:tc>
        <w:tc>
          <w:tcPr>
            <w:tcW w:w="2720" w:type="dxa"/>
            <w:vAlign w:val="bottom"/>
            <w:tcBorders>
              <w:bottom w:val="single" w:sz="8" w:color="auto"/>
            </w:tcBorders>
            <w:gridSpan w:val="7"/>
          </w:tcPr>
          <w:p>
            <w:pPr>
              <w:jc w:val="center"/>
              <w:spacing w:after="0" w:line="149" w:lineRule="exact"/>
              <w:rPr>
                <w:sz w:val="20"/>
                <w:szCs w:val="20"/>
                <w:color w:val="auto"/>
              </w:rPr>
            </w:pPr>
            <w:r>
              <w:rPr>
                <w:rFonts w:ascii="Arial" w:cs="Arial" w:eastAsia="Arial" w:hAnsi="Arial"/>
                <w:sz w:val="14"/>
                <w:szCs w:val="14"/>
                <w:b w:val="1"/>
                <w:bCs w:val="1"/>
                <w:color w:val="auto"/>
                <w:w w:val="94"/>
              </w:rPr>
              <w:t>West Segment by Market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3"/>
                <w:szCs w:val="13"/>
                <w:color w:val="auto"/>
              </w:rPr>
            </w:pPr>
          </w:p>
        </w:tc>
        <w:tc>
          <w:tcPr>
            <w:tcW w:w="2640" w:type="dxa"/>
            <w:vAlign w:val="bottom"/>
            <w:tcBorders>
              <w:bottom w:val="single" w:sz="8" w:color="auto"/>
            </w:tcBorders>
            <w:gridSpan w:val="5"/>
          </w:tcPr>
          <w:p>
            <w:pPr>
              <w:jc w:val="center"/>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3"/>
                <w:szCs w:val="13"/>
                <w:color w:val="auto"/>
              </w:rPr>
            </w:pPr>
          </w:p>
        </w:tc>
        <w:tc>
          <w:tcPr>
            <w:tcW w:w="1920" w:type="dxa"/>
            <w:vAlign w:val="bottom"/>
            <w:tcBorders>
              <w:bottom w:val="single" w:sz="8" w:color="auto"/>
            </w:tcBorders>
            <w:gridSpan w:val="6"/>
          </w:tcPr>
          <w:p>
            <w:pPr>
              <w:jc w:val="center"/>
              <w:ind w:left="698"/>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8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42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820" w:type="dxa"/>
            <w:vAlign w:val="bottom"/>
          </w:tcPr>
          <w:p>
            <w:pPr>
              <w:jc w:val="right"/>
              <w:ind w:right="78"/>
              <w:spacing w:after="0" w:line="126" w:lineRule="exact"/>
              <w:rPr>
                <w:sz w:val="20"/>
                <w:szCs w:val="20"/>
                <w:color w:val="auto"/>
              </w:rPr>
            </w:pPr>
            <w:r>
              <w:rPr>
                <w:rFonts w:ascii="Arial" w:cs="Arial" w:eastAsia="Arial" w:hAnsi="Arial"/>
                <w:sz w:val="14"/>
                <w:szCs w:val="14"/>
                <w:b w:val="1"/>
                <w:bCs w:val="1"/>
                <w:color w:val="auto"/>
              </w:rPr>
              <w:t>June 29,</w:t>
            </w:r>
          </w:p>
        </w:tc>
        <w:tc>
          <w:tcPr>
            <w:tcW w:w="140" w:type="dxa"/>
            <w:vAlign w:val="bottom"/>
          </w:tcPr>
          <w:p>
            <w:pPr>
              <w:spacing w:after="0"/>
              <w:rPr>
                <w:sz w:val="10"/>
                <w:szCs w:val="10"/>
                <w:color w:val="auto"/>
              </w:rPr>
            </w:pPr>
          </w:p>
        </w:tc>
        <w:tc>
          <w:tcPr>
            <w:tcW w:w="820" w:type="dxa"/>
            <w:vAlign w:val="bottom"/>
          </w:tcPr>
          <w:p>
            <w:pPr>
              <w:jc w:val="right"/>
              <w:ind w:right="76"/>
              <w:spacing w:after="0" w:line="126"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tcPr>
          <w:p>
            <w:pPr>
              <w:ind w:left="140"/>
              <w:spacing w:after="0" w:line="126" w:lineRule="exact"/>
              <w:rPr>
                <w:sz w:val="20"/>
                <w:szCs w:val="20"/>
                <w:color w:val="auto"/>
              </w:rPr>
            </w:pPr>
            <w:r>
              <w:rPr>
                <w:rFonts w:ascii="Arial" w:cs="Arial" w:eastAsia="Arial" w:hAnsi="Arial"/>
                <w:sz w:val="14"/>
                <w:szCs w:val="14"/>
                <w:b w:val="1"/>
                <w:bCs w:val="1"/>
                <w:color w:val="auto"/>
              </w:rPr>
              <w:t>June 29,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2"/>
              </w:rPr>
              <w:t>June 30,</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Market Classification</w:t>
            </w:r>
          </w:p>
        </w:tc>
        <w:tc>
          <w:tcPr>
            <w:tcW w:w="1900" w:type="dxa"/>
            <w:vAlign w:val="bottom"/>
            <w:gridSpan w:val="2"/>
          </w:tcPr>
          <w:p>
            <w:pPr>
              <w:jc w:val="right"/>
              <w:ind w:right="198"/>
              <w:spacing w:after="0"/>
              <w:rPr>
                <w:sz w:val="20"/>
                <w:szCs w:val="20"/>
                <w:color w:val="auto"/>
              </w:rPr>
            </w:pPr>
            <w:r>
              <w:rPr>
                <w:rFonts w:ascii="Arial" w:cs="Arial" w:eastAsia="Arial" w:hAnsi="Arial"/>
                <w:sz w:val="14"/>
                <w:szCs w:val="14"/>
                <w:b w:val="1"/>
                <w:bCs w:val="1"/>
                <w:color w:val="auto"/>
              </w:rPr>
              <w:t>2019</w:t>
            </w:r>
          </w:p>
        </w:tc>
        <w:tc>
          <w:tcPr>
            <w:tcW w:w="96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7"/>
              </w:rPr>
              <w:t>% Change</w:t>
            </w:r>
          </w:p>
        </w:tc>
        <w:tc>
          <w:tcPr>
            <w:tcW w:w="960" w:type="dxa"/>
            <w:vAlign w:val="bottom"/>
            <w:gridSpan w:val="2"/>
          </w:tcPr>
          <w:p>
            <w:pPr>
              <w:jc w:val="right"/>
              <w:ind w:right="17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0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$ 140,844</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$ 155,558</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(9.5)%</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$ 244,235</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266,187</w:t>
            </w: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(8.2)%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148,668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153,103</w:t>
            </w:r>
          </w:p>
        </w:tc>
        <w:tc>
          <w:tcPr>
            <w:tcW w:w="860" w:type="dxa"/>
            <w:vAlign w:val="bottom"/>
            <w:gridSpan w:val="2"/>
          </w:tcPr>
          <w:p>
            <w:pPr>
              <w:jc w:val="right"/>
              <w:ind w:right="19"/>
              <w:spacing w:after="0"/>
              <w:rPr>
                <w:sz w:val="20"/>
                <w:szCs w:val="20"/>
                <w:color w:val="auto"/>
              </w:rPr>
            </w:pPr>
            <w:r>
              <w:rPr>
                <w:rFonts w:ascii="Arial" w:cs="Arial" w:eastAsia="Arial" w:hAnsi="Arial"/>
                <w:sz w:val="18"/>
                <w:szCs w:val="18"/>
                <w:color w:val="auto"/>
              </w:rPr>
              <w:t>(2.9)%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282,147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280,902</w:t>
            </w:r>
          </w:p>
        </w:tc>
        <w:tc>
          <w:tcPr>
            <w:tcW w:w="14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0.4 %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138,469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155,116</w:t>
            </w:r>
          </w:p>
        </w:tc>
        <w:tc>
          <w:tcPr>
            <w:tcW w:w="8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266,753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284,472</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08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427,981</w:t>
            </w: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463,777</w:t>
            </w:r>
          </w:p>
        </w:tc>
        <w:tc>
          <w:tcPr>
            <w:tcW w:w="860" w:type="dxa"/>
            <w:vAlign w:val="bottom"/>
            <w:tcBorders>
              <w:top w:val="single" w:sz="8" w:color="CCEEFF"/>
            </w:tcBorders>
            <w:gridSpan w:val="2"/>
          </w:tcPr>
          <w:p>
            <w:pPr>
              <w:jc w:val="right"/>
              <w:ind w:right="19"/>
              <w:spacing w:after="0" w:line="203" w:lineRule="exact"/>
              <w:rPr>
                <w:sz w:val="20"/>
                <w:szCs w:val="20"/>
                <w:color w:val="auto"/>
              </w:rPr>
            </w:pPr>
            <w:r>
              <w:rPr>
                <w:rFonts w:ascii="Arial" w:cs="Arial" w:eastAsia="Arial" w:hAnsi="Arial"/>
                <w:sz w:val="18"/>
                <w:szCs w:val="18"/>
                <w:color w:val="auto"/>
              </w:rPr>
              <w:t>(7.7)%</w:t>
            </w:r>
          </w:p>
        </w:tc>
        <w:tc>
          <w:tcPr>
            <w:tcW w:w="16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793,135</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831,561</w:t>
            </w: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jc w:val="right"/>
              <w:ind w:right="13"/>
              <w:spacing w:after="0" w:line="203" w:lineRule="exact"/>
              <w:rPr>
                <w:sz w:val="20"/>
                <w:szCs w:val="20"/>
                <w:color w:val="auto"/>
              </w:rPr>
            </w:pPr>
            <w:r>
              <w:rPr>
                <w:rFonts w:ascii="Arial" w:cs="Arial" w:eastAsia="Arial" w:hAnsi="Arial"/>
                <w:sz w:val="18"/>
                <w:szCs w:val="18"/>
                <w:color w:val="auto"/>
              </w:rPr>
              <w:t>(4.6)%</w:t>
            </w: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0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(6,708)</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(6,952)</w:t>
            </w:r>
          </w:p>
        </w:tc>
        <w:tc>
          <w:tcPr>
            <w:tcW w:w="8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(12,268)</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420" w:type="dxa"/>
            <w:vAlign w:val="bottom"/>
            <w:gridSpan w:val="3"/>
          </w:tcPr>
          <w:p>
            <w:pPr>
              <w:spacing w:after="0" w:line="203" w:lineRule="exact"/>
              <w:rPr>
                <w:sz w:val="20"/>
                <w:szCs w:val="20"/>
                <w:color w:val="auto"/>
              </w:rPr>
            </w:pPr>
            <w:r>
              <w:rPr>
                <w:rFonts w:ascii="Arial" w:cs="Arial" w:eastAsia="Arial" w:hAnsi="Arial"/>
                <w:sz w:val="18"/>
                <w:szCs w:val="18"/>
                <w:color w:val="auto"/>
              </w:rPr>
              <w:t>Total Net Sales</w:t>
            </w:r>
          </w:p>
        </w:tc>
        <w:tc>
          <w:tcPr>
            <w:tcW w:w="1080" w:type="dxa"/>
            <w:vAlign w:val="bottom"/>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$ 421,273</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$ 456,825</w:t>
            </w:r>
          </w:p>
        </w:tc>
        <w:tc>
          <w:tcPr>
            <w:tcW w:w="860" w:type="dxa"/>
            <w:vAlign w:val="bottom"/>
            <w:gridSpan w:val="2"/>
          </w:tcPr>
          <w:p>
            <w:pPr>
              <w:jc w:val="right"/>
              <w:ind w:right="19"/>
              <w:spacing w:after="0" w:line="203" w:lineRule="exact"/>
              <w:rPr>
                <w:sz w:val="20"/>
                <w:szCs w:val="20"/>
                <w:color w:val="auto"/>
              </w:rPr>
            </w:pPr>
            <w:r>
              <w:rPr>
                <w:rFonts w:ascii="Arial" w:cs="Arial" w:eastAsia="Arial" w:hAnsi="Arial"/>
                <w:sz w:val="18"/>
                <w:szCs w:val="18"/>
                <w:color w:val="auto"/>
              </w:rPr>
              <w:t>(7.8)%</w:t>
            </w: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$ 781,370</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819,293</w:t>
            </w:r>
          </w:p>
        </w:tc>
        <w:tc>
          <w:tcPr>
            <w:tcW w:w="140" w:type="dxa"/>
            <w:vAlign w:val="bottom"/>
          </w:tcPr>
          <w:p>
            <w:pPr>
              <w:spacing w:after="0"/>
              <w:rPr>
                <w:sz w:val="17"/>
                <w:szCs w:val="17"/>
                <w:color w:val="auto"/>
              </w:rPr>
            </w:pPr>
          </w:p>
        </w:tc>
        <w:tc>
          <w:tcPr>
            <w:tcW w:w="800" w:type="dxa"/>
            <w:vAlign w:val="bottom"/>
          </w:tcPr>
          <w:p>
            <w:pPr>
              <w:jc w:val="right"/>
              <w:ind w:right="13"/>
              <w:spacing w:after="0" w:line="203" w:lineRule="exact"/>
              <w:rPr>
                <w:sz w:val="20"/>
                <w:szCs w:val="20"/>
                <w:color w:val="auto"/>
              </w:rPr>
            </w:pPr>
            <w:r>
              <w:rPr>
                <w:rFonts w:ascii="Arial" w:cs="Arial" w:eastAsia="Arial" w:hAnsi="Arial"/>
                <w:sz w:val="18"/>
                <w:szCs w:val="18"/>
                <w:color w:val="auto"/>
              </w:rPr>
              <w:t>(4.6)%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2019, certain customers were reclassified to a different market. Prior year information has been restated to reflect these changes.</w:t>
      </w:r>
    </w:p>
    <w:p>
      <w:pPr>
        <w:spacing w:after="0" w:line="22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sales attributable to the West reportable segment decreased in the second quarter of 2019 compared to 2018 primarily due to the impact of a lower lumber market.</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Earnings from operations for the West reportable segment decreased in the second quarter of 2019 by $0.4 million, or 1.7%, compared to the same period in 2018 due to a $1.3 million increase in gross profit, offset by a $1.7 million increase in SG&amp;A expenses primarily due to losses of a small framing operation. Gross profits were higher due to an increase of $3.4 million within the industrial market, offset by decreases of $0.9 million and $1.2 million within the retail and construction markets, respectively.</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sales attributable to the West reportable segment decreased in the first six months of 2019 compared to 2018 primarily due to the lower lumber market.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Earnings from operations for the West reportable segment increased in the first six months of 2019 by $4.1 million, or 9.2%, compared to the same period in 2018 due to a $8.2 million increase in gross profit, offset by a $4.1 million increase in SG&amp;A expenses due to the same factors previously discussed. Gross profits were higher due to increases of $8.9 million and $1.8 million within the industrial and construction markets, respectively, offset by decreases of $2.1 million within the retail market.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4635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355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54"/>
              <w:spacing w:after="0"/>
              <w:rPr>
                <w:sz w:val="20"/>
                <w:szCs w:val="20"/>
                <w:color w:val="auto"/>
              </w:rPr>
            </w:pPr>
            <w:r>
              <w:rPr>
                <w:rFonts w:ascii="Arial" w:cs="Arial" w:eastAsia="Arial" w:hAnsi="Arial"/>
                <w:sz w:val="14"/>
                <w:szCs w:val="14"/>
                <w:b w:val="1"/>
                <w:bCs w:val="1"/>
                <w:color w:val="auto"/>
                <w:w w:val="88"/>
              </w:rPr>
              <w:t>Net Sales</w:t>
            </w: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Net Sales</w:t>
            </w: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6"/>
          </w:tcPr>
          <w:p>
            <w:pPr>
              <w:jc w:val="center"/>
              <w:spacing w:after="0" w:line="149" w:lineRule="exact"/>
              <w:rPr>
                <w:sz w:val="20"/>
                <w:szCs w:val="20"/>
                <w:color w:val="auto"/>
              </w:rPr>
            </w:pPr>
            <w:r>
              <w:rPr>
                <w:rFonts w:ascii="Arial" w:cs="Arial" w:eastAsia="Arial" w:hAnsi="Arial"/>
                <w:sz w:val="14"/>
                <w:szCs w:val="14"/>
                <w:b w:val="1"/>
                <w:bCs w:val="1"/>
                <w:color w:val="auto"/>
                <w:w w:val="96"/>
              </w:rPr>
              <w:t>All Other Segment by Market</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tcBorders>
              <w:bottom w:val="single" w:sz="8" w:color="auto"/>
            </w:tcBorders>
            <w:gridSpan w:val="6"/>
          </w:tcPr>
          <w:p>
            <w:pPr>
              <w:jc w:val="center"/>
              <w:ind w:left="98"/>
              <w:spacing w:after="0" w:line="149" w:lineRule="exact"/>
              <w:rPr>
                <w:sz w:val="20"/>
                <w:szCs w:val="20"/>
                <w:color w:val="auto"/>
              </w:rPr>
            </w:pPr>
            <w:r>
              <w:rPr>
                <w:rFonts w:ascii="Arial" w:cs="Arial" w:eastAsia="Arial" w:hAnsi="Arial"/>
                <w:sz w:val="14"/>
                <w:szCs w:val="14"/>
                <w:b w:val="1"/>
                <w:bCs w:val="1"/>
                <w:color w:val="auto"/>
                <w:w w:val="96"/>
              </w:rPr>
              <w:t>All Other Segment by Market</w:t>
            </w: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6"/>
          </w:tcPr>
          <w:p>
            <w:pPr>
              <w:jc w:val="center"/>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tcBorders>
              <w:bottom w:val="single" w:sz="8" w:color="auto"/>
            </w:tcBorders>
            <w:gridSpan w:val="5"/>
          </w:tcPr>
          <w:p>
            <w:pPr>
              <w:jc w:val="center"/>
              <w:ind w:left="618"/>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70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77"/>
              <w:spacing w:after="0" w:line="126" w:lineRule="exact"/>
              <w:rPr>
                <w:sz w:val="20"/>
                <w:szCs w:val="20"/>
                <w:color w:val="auto"/>
              </w:rPr>
            </w:pPr>
            <w:r>
              <w:rPr>
                <w:rFonts w:ascii="Arial" w:cs="Arial" w:eastAsia="Arial" w:hAnsi="Arial"/>
                <w:sz w:val="14"/>
                <w:szCs w:val="14"/>
                <w:b w:val="1"/>
                <w:bCs w:val="1"/>
                <w:color w:val="auto"/>
                <w:w w:val="92"/>
              </w:rPr>
              <w:t>June 29,</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74"/>
              <w:spacing w:after="0" w:line="126"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140"/>
              <w:spacing w:after="0" w:line="126" w:lineRule="exact"/>
              <w:rPr>
                <w:sz w:val="20"/>
                <w:szCs w:val="20"/>
                <w:color w:val="auto"/>
              </w:rPr>
            </w:pPr>
            <w:r>
              <w:rPr>
                <w:rFonts w:ascii="Arial" w:cs="Arial" w:eastAsia="Arial" w:hAnsi="Arial"/>
                <w:sz w:val="14"/>
                <w:szCs w:val="14"/>
                <w:b w:val="1"/>
                <w:bCs w:val="1"/>
                <w:color w:val="auto"/>
              </w:rPr>
              <w:t>June 29,</w:t>
            </w:r>
          </w:p>
        </w:tc>
        <w:tc>
          <w:tcPr>
            <w:tcW w:w="20" w:type="dxa"/>
            <w:vAlign w:val="bottom"/>
          </w:tcPr>
          <w:p>
            <w:pPr>
              <w:spacing w:after="0"/>
              <w:rPr>
                <w:sz w:val="10"/>
                <w:szCs w:val="10"/>
                <w:color w:val="auto"/>
              </w:rPr>
            </w:pPr>
          </w:p>
        </w:tc>
        <w:tc>
          <w:tcPr>
            <w:tcW w:w="940" w:type="dxa"/>
            <w:vAlign w:val="bottom"/>
            <w:gridSpan w:val="2"/>
          </w:tcPr>
          <w:p>
            <w:pPr>
              <w:ind w:left="120"/>
              <w:spacing w:after="0" w:line="126" w:lineRule="exact"/>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700" w:type="dxa"/>
            <w:vAlign w:val="bottom"/>
            <w:gridSpan w:val="3"/>
          </w:tcPr>
          <w:p>
            <w:pPr>
              <w:spacing w:after="0"/>
              <w:rPr>
                <w:sz w:val="20"/>
                <w:szCs w:val="20"/>
                <w:color w:val="auto"/>
              </w:rPr>
            </w:pPr>
            <w:r>
              <w:rPr>
                <w:rFonts w:ascii="Arial" w:cs="Arial" w:eastAsia="Arial" w:hAnsi="Arial"/>
                <w:sz w:val="14"/>
                <w:szCs w:val="14"/>
                <w:b w:val="1"/>
                <w:bCs w:val="1"/>
                <w:color w:val="auto"/>
              </w:rPr>
              <w:t>Market Classification</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 Change</w:t>
            </w:r>
          </w:p>
        </w:tc>
        <w:tc>
          <w:tcPr>
            <w:tcW w:w="960" w:type="dxa"/>
            <w:vAlign w:val="bottom"/>
            <w:gridSpan w:val="2"/>
          </w:tcPr>
          <w:p>
            <w:pPr>
              <w:jc w:val="right"/>
              <w:ind w:right="19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82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6"/>
                <w:szCs w:val="16"/>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82,397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66,943</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23.1</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$ 135,547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$ 115,874</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17.0</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Industrial </w:t>
            </w:r>
            <w:r>
              <w:rPr>
                <w:rFonts w:ascii="Arial" w:cs="Arial" w:eastAsia="Arial" w:hAnsi="Arial"/>
                <w:sz w:val="25"/>
                <w:szCs w:val="25"/>
                <w:color w:val="auto"/>
                <w:vertAlign w:val="superscript"/>
              </w:rPr>
              <w:t>(1)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35,164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66,797</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60,322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6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Construction </w:t>
            </w:r>
            <w:r>
              <w:rPr>
                <w:rFonts w:ascii="Arial" w:cs="Arial" w:eastAsia="Arial" w:hAnsi="Arial"/>
                <w:sz w:val="25"/>
                <w:szCs w:val="25"/>
                <w:color w:val="auto"/>
                <w:vertAlign w:val="superscript"/>
              </w:rPr>
              <w:t>(1)</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115,238</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105,110</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8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7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183,322</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159,576</w:t>
            </w:r>
          </w:p>
        </w:tc>
        <w:tc>
          <w:tcPr>
            <w:tcW w:w="64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14.9</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317,582</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281,306</w:t>
            </w:r>
          </w:p>
        </w:tc>
        <w:tc>
          <w:tcPr>
            <w:tcW w:w="14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12.9</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 Allowances &amp; Other</w:t>
            </w: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(6,649)</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700" w:type="dxa"/>
            <w:vAlign w:val="bottom"/>
            <w:gridSpan w:val="3"/>
          </w:tcPr>
          <w:p>
            <w:pPr>
              <w:spacing w:after="0" w:line="203" w:lineRule="exact"/>
              <w:rPr>
                <w:sz w:val="20"/>
                <w:szCs w:val="20"/>
                <w:color w:val="auto"/>
              </w:rPr>
            </w:pPr>
            <w:r>
              <w:rPr>
                <w:rFonts w:ascii="Arial" w:cs="Arial" w:eastAsia="Arial" w:hAnsi="Arial"/>
                <w:sz w:val="18"/>
                <w:szCs w:val="18"/>
                <w:color w:val="auto"/>
              </w:rPr>
              <w:t>Total Net Sales</w:t>
            </w:r>
          </w:p>
        </w:tc>
        <w:tc>
          <w:tcPr>
            <w:tcW w:w="7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179,500</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155,474</w:t>
            </w:r>
          </w:p>
        </w:tc>
        <w:tc>
          <w:tcPr>
            <w:tcW w:w="6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15.5</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$ 311,955</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$ 274,657</w:t>
            </w:r>
          </w:p>
        </w:tc>
        <w:tc>
          <w:tcPr>
            <w:tcW w:w="14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13.6</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2019, certain customers were reclassified to a different market. Prior year information has been restated to reflect these changes.</w:t>
      </w:r>
    </w:p>
    <w:p>
      <w:pPr>
        <w:spacing w:after="0" w:line="215" w:lineRule="exact"/>
        <w:rPr>
          <w:sz w:val="20"/>
          <w:szCs w:val="20"/>
          <w:color w:val="auto"/>
        </w:rPr>
      </w:pPr>
    </w:p>
    <w:p>
      <w:pPr>
        <w:ind w:left="840" w:right="240" w:hanging="318"/>
        <w:spacing w:after="0" w:line="238" w:lineRule="auto"/>
        <w:tabs>
          <w:tab w:leader="none" w:pos="8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reclassified idX from industrial to the construction market to better align idX's core business, design, manufacture, distribution and installation of customized interior fixtures for a variety of retail and commercial structures, with the commercial construction market. The reclassification was recorded retrospectively.</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All Other reportable segment consists of our Alternative Materials, International, idX, and certain other segments which are not significant.</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sales attributable to All Other reportable segments increased in the second quarter of 2019 compared to 2018 primarily due to our sales to the retail market by our Alternative Materials segment, which won new sales of our Deckorators branded products with one of our big box customers. Our sales to the construction market increased primarily due to our idX business unit.</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Earnings from operations for All Other reportable segments increased during the second quarter of 2019 by $0.4 million primarily due to profits realized in our retail market within our Alternative Materials segment.</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Net sales attributable to All Other reportable segments increased in the first six months of 2019 compared to 2018 due to increases in sales to all our markets. The increase in sales to the retail market was primarily due to a $41.4 million increase to one of our big-box customers within our Alternative Materials segment, offset by decreases in sales to certain independent retailers. Our sales to the construction market increased primarily due to our idX business unit.</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Earnings from operations for All Other reportable segments decreased during the first six months of 2019 by $0.5 million primarily due expenses associated with an advertising campaign launched in 2019 for our Deckorators brand within our Alternative Materials segment.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off-balance sheet transactions.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2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95"/>
              <w:spacing w:after="0" w:line="126" w:lineRule="exact"/>
              <w:rPr>
                <w:sz w:val="20"/>
                <w:szCs w:val="20"/>
                <w:color w:val="auto"/>
              </w:rPr>
            </w:pPr>
            <w:r>
              <w:rPr>
                <w:rFonts w:ascii="Arial" w:cs="Arial" w:eastAsia="Arial" w:hAnsi="Arial"/>
                <w:sz w:val="14"/>
                <w:szCs w:val="14"/>
                <w:b w:val="1"/>
                <w:bCs w:val="1"/>
                <w:color w:val="auto"/>
                <w:w w:val="92"/>
              </w:rPr>
              <w:t>June 29,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right"/>
              <w:ind w:right="74"/>
              <w:spacing w:after="0" w:line="126" w:lineRule="exact"/>
              <w:rPr>
                <w:sz w:val="20"/>
                <w:szCs w:val="20"/>
                <w:color w:val="auto"/>
              </w:rPr>
            </w:pPr>
            <w:r>
              <w:rPr>
                <w:rFonts w:ascii="Arial" w:cs="Arial" w:eastAsia="Arial" w:hAnsi="Arial"/>
                <w:sz w:val="14"/>
                <w:szCs w:val="14"/>
                <w:b w:val="1"/>
                <w:bCs w:val="1"/>
                <w:color w:val="auto"/>
                <w:w w:val="96"/>
              </w:rPr>
              <w:t>June 30,</w:t>
            </w:r>
          </w:p>
        </w:tc>
      </w:tr>
      <w:tr>
        <w:trPr>
          <w:trHeight w:val="178"/>
        </w:trPr>
        <w:tc>
          <w:tcPr>
            <w:tcW w:w="20" w:type="dxa"/>
            <w:vAlign w:val="bottom"/>
          </w:tcPr>
          <w:p>
            <w:pPr>
              <w:spacing w:after="0"/>
              <w:rPr>
                <w:sz w:val="15"/>
                <w:szCs w:val="15"/>
                <w:color w:val="auto"/>
              </w:rPr>
            </w:pPr>
          </w:p>
        </w:tc>
        <w:tc>
          <w:tcPr>
            <w:tcW w:w="586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operating activities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(36,072)</w:t>
            </w: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(63,069)</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financing activities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114,840</w:t>
            </w:r>
          </w:p>
        </w:tc>
      </w:tr>
      <w:tr>
        <w:trPr>
          <w:trHeight w:val="223"/>
        </w:trPr>
        <w:tc>
          <w:tcPr>
            <w:tcW w:w="20" w:type="dxa"/>
            <w:vAlign w:val="bottom"/>
          </w:tcPr>
          <w:p>
            <w:pPr>
              <w:spacing w:after="0"/>
              <w:rPr>
                <w:sz w:val="19"/>
                <w:szCs w:val="19"/>
                <w:color w:val="auto"/>
              </w:rPr>
            </w:pPr>
          </w:p>
        </w:tc>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all cash and cash equivalents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w:t>
            </w:r>
          </w:p>
        </w:tc>
      </w:tr>
      <w:tr>
        <w:trPr>
          <w:trHeight w:val="223"/>
        </w:trPr>
        <w:tc>
          <w:tcPr>
            <w:tcW w:w="20" w:type="dxa"/>
            <w:vAlign w:val="bottom"/>
          </w:tcPr>
          <w:p>
            <w:pPr>
              <w:spacing w:after="0"/>
              <w:rPr>
                <w:sz w:val="19"/>
                <w:szCs w:val="19"/>
                <w:color w:val="auto"/>
              </w:rPr>
            </w:pPr>
          </w:p>
        </w:tc>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3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28,816</w:t>
            </w: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21,521</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44,259</w:t>
            </w: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general, we funded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September. Consequently, our working capital increases during our first and second quarters which typically results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increased to 53 days from 49 days during the second quarter of 2019 compared to the prior periods.</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78"/>
        </w:trPr>
        <w:tc>
          <w:tcPr>
            <w:tcW w:w="426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Three Months Ended</w:t>
            </w:r>
          </w:p>
        </w:tc>
        <w:tc>
          <w:tcPr>
            <w:tcW w:w="180" w:type="dxa"/>
            <w:vAlign w:val="bottom"/>
          </w:tcPr>
          <w:p>
            <w:pPr>
              <w:spacing w:after="0"/>
              <w:rPr>
                <w:sz w:val="15"/>
                <w:szCs w:val="15"/>
                <w:color w:val="auto"/>
              </w:rPr>
            </w:pPr>
          </w:p>
        </w:tc>
        <w:tc>
          <w:tcPr>
            <w:tcW w:w="1420" w:type="dxa"/>
            <w:vAlign w:val="bottom"/>
            <w:gridSpan w:val="4"/>
          </w:tcPr>
          <w:p>
            <w:pPr>
              <w:ind w:left="40"/>
              <w:spacing w:after="0"/>
              <w:rPr>
                <w:sz w:val="20"/>
                <w:szCs w:val="20"/>
                <w:color w:val="auto"/>
              </w:rPr>
            </w:pPr>
            <w:r>
              <w:rPr>
                <w:rFonts w:ascii="Arial" w:cs="Arial" w:eastAsia="Arial" w:hAnsi="Arial"/>
                <w:sz w:val="14"/>
                <w:szCs w:val="14"/>
                <w:b w:val="1"/>
                <w:bCs w:val="1"/>
                <w:color w:val="auto"/>
              </w:rPr>
              <w:t>Six Months Ended</w:t>
            </w:r>
          </w:p>
        </w:tc>
      </w:tr>
      <w:tr>
        <w:trPr>
          <w:trHeight w:val="126"/>
        </w:trPr>
        <w:tc>
          <w:tcPr>
            <w:tcW w:w="4260" w:type="dxa"/>
            <w:vAlign w:val="bottom"/>
          </w:tcPr>
          <w:p>
            <w:pPr>
              <w:spacing w:after="0"/>
              <w:rPr>
                <w:sz w:val="10"/>
                <w:szCs w:val="10"/>
                <w:color w:val="auto"/>
              </w:rPr>
            </w:pPr>
          </w:p>
        </w:tc>
        <w:tc>
          <w:tcPr>
            <w:tcW w:w="78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4"/>
                <w:szCs w:val="14"/>
                <w:b w:val="1"/>
                <w:bCs w:val="1"/>
                <w:color w:val="auto"/>
              </w:rPr>
              <w:t>June 29,</w:t>
            </w:r>
          </w:p>
        </w:tc>
        <w:tc>
          <w:tcPr>
            <w:tcW w:w="6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0"/>
                <w:szCs w:val="10"/>
                <w:color w:val="auto"/>
              </w:rPr>
            </w:pPr>
          </w:p>
        </w:tc>
        <w:tc>
          <w:tcPr>
            <w:tcW w:w="70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rPr>
              <w:t>June 29,</w:t>
            </w:r>
          </w:p>
        </w:tc>
        <w:tc>
          <w:tcPr>
            <w:tcW w:w="5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10"/>
                <w:szCs w:val="10"/>
                <w:color w:val="auto"/>
              </w:rPr>
            </w:pPr>
          </w:p>
        </w:tc>
      </w:tr>
      <w:tr>
        <w:trPr>
          <w:trHeight w:val="178"/>
        </w:trPr>
        <w:tc>
          <w:tcPr>
            <w:tcW w:w="4260" w:type="dxa"/>
            <w:vAlign w:val="bottom"/>
          </w:tcPr>
          <w:p>
            <w:pPr>
              <w:spacing w:after="0"/>
              <w:rPr>
                <w:sz w:val="15"/>
                <w:szCs w:val="15"/>
                <w:color w:val="auto"/>
              </w:rPr>
            </w:pPr>
          </w:p>
        </w:tc>
        <w:tc>
          <w:tcPr>
            <w:tcW w:w="580" w:type="dxa"/>
            <w:vAlign w:val="bottom"/>
          </w:tcPr>
          <w:p>
            <w:pPr>
              <w:jc w:val="right"/>
              <w:ind w:right="7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70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5"/>
                <w:szCs w:val="15"/>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5"/>
                <w:szCs w:val="15"/>
                <w:color w:val="auto"/>
              </w:rPr>
            </w:pPr>
          </w:p>
        </w:tc>
      </w:tr>
      <w:tr>
        <w:trPr>
          <w:trHeight w:val="216"/>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r>
      <w:tr>
        <w:trPr>
          <w:trHeight w:val="23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20"/>
                <w:szCs w:val="20"/>
                <w:color w:val="auto"/>
              </w:rPr>
            </w:pPr>
          </w:p>
        </w:tc>
      </w:tr>
      <w:tr>
        <w:trPr>
          <w:trHeight w:val="203"/>
        </w:trPr>
        <w:tc>
          <w:tcPr>
            <w:tcW w:w="42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Days in cash cycle</w:t>
            </w:r>
          </w:p>
        </w:tc>
        <w:tc>
          <w:tcPr>
            <w:tcW w:w="5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w:t>
            </w:r>
          </w:p>
        </w:tc>
        <w:tc>
          <w:tcPr>
            <w:tcW w:w="200" w:type="dxa"/>
            <w:vAlign w:val="bottom"/>
            <w:tcBorders>
              <w:top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w:t>
            </w:r>
          </w:p>
        </w:tc>
        <w:tc>
          <w:tcPr>
            <w:tcW w:w="180" w:type="dxa"/>
            <w:vAlign w:val="bottom"/>
            <w:tcBorders>
              <w:top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w:t>
            </w:r>
          </w:p>
        </w:tc>
        <w:tc>
          <w:tcPr>
            <w:tcW w:w="180" w:type="dxa"/>
            <w:vAlign w:val="bottom"/>
            <w:tcBorders>
              <w:top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w:t>
            </w:r>
          </w:p>
        </w:tc>
        <w:tc>
          <w:tcPr>
            <w:tcW w:w="180" w:type="dxa"/>
            <w:vAlign w:val="bottom"/>
            <w:tcBorders>
              <w:top w:val="single" w:sz="8" w:color="CCEEFF"/>
            </w:tcBorders>
          </w:tcPr>
          <w:p>
            <w:pPr>
              <w:spacing w:after="0"/>
              <w:rPr>
                <w:sz w:val="17"/>
                <w:szCs w:val="17"/>
                <w:color w:val="auto"/>
              </w:rPr>
            </w:pPr>
          </w:p>
        </w:tc>
      </w:tr>
      <w:tr>
        <w:trPr>
          <w:trHeight w:val="20"/>
        </w:trPr>
        <w:tc>
          <w:tcPr>
            <w:tcW w:w="4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increase in days supply of inventory was primarily due to opportunistic buying when lumber prices were low during the fourth quarter of 2018 to improve 2019 gross profits and higher levels of “safety stock” we carried to address transportation challenges and ensure timely deliveries to our customers.</w:t>
      </w:r>
    </w:p>
    <w:p>
      <w:pPr>
        <w:spacing w:after="0" w:line="18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In the first six months of 2019, our cash provided by operating activities was $70.9 million, which was comprised of net earnings of $91.1 million and $32.0 million of non-cash expenses, offset by a $52.2 million seasonal increase in working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capital since the end of December 2018. Comparatively, in the first six months of 2018, our cash used in operating activities was $36.1 million, which was comprised of net earnings of $78.7 million and $24.1 million of non-cash expenses, offset by a $138.9 million seasonal increase in working capital since the end of December 2017. Our seasonal increase in working capital was lower in 2019 due to opportunistic inventory buying in the fourth quarter of 2018, and lower lumber prices in 2019 helped mitigate the seasonal increase in our working capital.</w:t>
      </w:r>
    </w:p>
    <w:p>
      <w:pPr>
        <w:spacing w:after="0" w:line="17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Property, plant, and equipment comprised most of our cash used in investing activities during the first six months of 2019 and totaled $42.5 million. Acquisitions comprised approximately $5.0 million during the first six months of 2019. Outstanding purchase commitments on existing capital projects totaled approximately $48.3 million on June 29, 2019. We currently plan to spend up to $100 million for the year on capital expenditures. Major anticipated expenditures include projects to replace our capacity in South Florida resulting from the sale of our Medley facility last year, expand capacity and enhance the productivity of our Deckorators decking product line due to favorable demand trends and share gains we’ve achieved, and several projects to expand manufacturing capacity to serve industrial customers and achieve efficiencies through automation. We intend to fund capital expenditures and purchase commitments through our operating cash flows for the balance of the year. The sale and purchase of investments totaling $4.9 million and $3.7 million, respectively, are due to investment activity in our captive insurance subsidiary. Comparatively, acquisitions and purchases of property, plant, and equipment comprised most of our cash used in investing activities during the first six months of 2018 and totaled $38.0 million and $54.3 million, respectively. Proceeds from the sale of our Medley, FL, plant provided approximately $36 million in net cash proceeds.</w:t>
      </w:r>
    </w:p>
    <w:p>
      <w:pPr>
        <w:spacing w:after="0" w:line="188"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Cash flows from financing activities primarily consisted of net repayments under our revolving credit facility of approximately $14.6 million. Additionally, we paid a semi-annual dividend totaling $12.3 million or $0.20 per share.</w:t>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June 29, 2019, we had $37.7 million outstanding on our $375 million revolving credit facility. The amount outstanding on the revolving credit facility includes letters of credit totaling approximately $9.8 million on June 29, 2019; as a result, we had approximately $337.3 million in remaining availability on our revolver after considering letters of credit. Additionally, we have $150 million in availability under an amended “shelf agreement” for long term debt with a current lender after considering the second quarter 2018 issuance of long-term Senior Notes.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June 29, 2019.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29,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r>
        <w:rPr>
          <w:rFonts w:ascii="Arial" w:cs="Arial" w:eastAsia="Arial" w:hAnsi="Arial"/>
          <w:sz w:val="18"/>
          <w:szCs w:val="18"/>
          <w:b w:val="1"/>
          <w:bCs w:val="1"/>
          <w:color w:val="auto"/>
        </w:rPr>
        <w:t>.</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66"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w:t>
      </w:r>
    </w:p>
    <w:p>
      <w:pPr>
        <w:sectPr>
          <w:pgSz w:w="11900" w:h="16838" w:orient="portrait"/>
          <w:cols w:equalWidth="0" w:num="1">
            <w:col w:w="9060"/>
          </w:cols>
          <w:pgMar w:left="1420" w:top="544"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entered into forward foreign exchange rate contracts in 2018, which have since expired, and may enter into further forward contracts in the future associated with mitigating the foreign currency exchange risk. Historically, our hedge contracts are deemed immaterial to the financial statements, however any material hedge contract in the future will be disclosed.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r>
        <w:rPr>
          <w:rFonts w:ascii="Arial" w:cs="Arial" w:eastAsia="Arial" w:hAnsi="Arial"/>
          <w:sz w:val="18"/>
          <w:szCs w:val="18"/>
          <w:b w:val="1"/>
          <w:bCs w:val="1"/>
          <w:color w:val="auto"/>
        </w:rPr>
        <w:t>.</w:t>
      </w:r>
    </w:p>
    <w:p>
      <w:pPr>
        <w:spacing w:after="0" w:line="229" w:lineRule="exact"/>
        <w:rPr>
          <w:sz w:val="20"/>
          <w:szCs w:val="20"/>
          <w:color w:val="auto"/>
        </w:rPr>
      </w:pPr>
    </w:p>
    <w:p>
      <w:pPr>
        <w:ind w:left="840" w:right="80" w:hanging="318"/>
        <w:spacing w:after="0" w:line="302" w:lineRule="auto"/>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June 29, 2019 (the “Evaluation Date”), have concluded that, as of such date, our disclosure controls and procedures were effective.</w:t>
      </w:r>
    </w:p>
    <w:p>
      <w:pPr>
        <w:spacing w:after="0" w:line="154" w:lineRule="exact"/>
        <w:rPr>
          <w:rFonts w:ascii="Arial" w:cs="Arial" w:eastAsia="Arial" w:hAnsi="Arial"/>
          <w:sz w:val="16"/>
          <w:szCs w:val="16"/>
          <w:color w:val="auto"/>
        </w:rPr>
      </w:pPr>
    </w:p>
    <w:p>
      <w:pPr>
        <w:ind w:left="840" w:right="200" w:hanging="318"/>
        <w:spacing w:after="0" w:line="264"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June 29, 2019, there were no changes in our internal control over financial reporting that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44" w:right="14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r>
        <w:rPr>
          <w:rFonts w:ascii="Arial" w:cs="Arial" w:eastAsia="Arial" w:hAnsi="Arial"/>
          <w:sz w:val="18"/>
          <w:szCs w:val="18"/>
          <w:b w:val="1"/>
          <w:bCs w:val="1"/>
          <w:color w:val="auto"/>
        </w:rPr>
        <w: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r>
        <w:rPr>
          <w:rFonts w:ascii="Arial" w:cs="Arial" w:eastAsia="Arial" w:hAnsi="Arial"/>
          <w:sz w:val="18"/>
          <w:szCs w:val="18"/>
          <w:b w:val="1"/>
          <w:bCs w:val="1"/>
          <w:color w:val="auto"/>
        </w:rPr>
        <w:t>.</w:t>
      </w:r>
    </w:p>
    <w:p>
      <w:pPr>
        <w:spacing w:after="0" w:line="229" w:lineRule="exact"/>
        <w:rPr>
          <w:sz w:val="20"/>
          <w:szCs w:val="20"/>
          <w:color w:val="auto"/>
        </w:rPr>
      </w:pPr>
    </w:p>
    <w:p>
      <w:pPr>
        <w:ind w:left="840" w:hanging="318"/>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40" w:hanging="318"/>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40" w:hanging="318"/>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80" w:type="dxa"/>
            <w:vAlign w:val="bottom"/>
            <w:gridSpan w:val="3"/>
          </w:tcPr>
          <w:p>
            <w:pPr>
              <w:spacing w:after="0"/>
              <w:rPr>
                <w:sz w:val="20"/>
                <w:szCs w:val="20"/>
                <w:color w:val="auto"/>
              </w:rPr>
            </w:pPr>
            <w:r>
              <w:rPr>
                <w:rFonts w:ascii="Arial" w:cs="Arial" w:eastAsia="Arial" w:hAnsi="Arial"/>
                <w:sz w:val="14"/>
                <w:szCs w:val="14"/>
                <w:b w:val="1"/>
                <w:bCs w:val="1"/>
                <w:color w:val="auto"/>
              </w:rPr>
              <w:t>Fiscal Month</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(a)</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(b)</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(c)</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210"/>
        </w:trPr>
        <w:tc>
          <w:tcPr>
            <w:tcW w:w="5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31 - April 4, 2019</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1,860,354</w:t>
            </w:r>
          </w:p>
        </w:tc>
      </w:tr>
      <w:tr>
        <w:trPr>
          <w:trHeight w:val="216"/>
        </w:trPr>
        <w:tc>
          <w:tcPr>
            <w:tcW w:w="6080" w:type="dxa"/>
            <w:vAlign w:val="bottom"/>
            <w:gridSpan w:val="3"/>
          </w:tcPr>
          <w:p>
            <w:pPr>
              <w:spacing w:after="0"/>
              <w:rPr>
                <w:sz w:val="20"/>
                <w:szCs w:val="20"/>
                <w:color w:val="auto"/>
              </w:rPr>
            </w:pPr>
            <w:r>
              <w:rPr>
                <w:rFonts w:ascii="Arial" w:cs="Arial" w:eastAsia="Arial" w:hAnsi="Arial"/>
                <w:sz w:val="18"/>
                <w:szCs w:val="18"/>
                <w:color w:val="auto"/>
              </w:rPr>
              <w:t>April 5 - June 1, 2019</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1,860,354</w:t>
            </w:r>
          </w:p>
        </w:tc>
      </w:tr>
      <w:tr>
        <w:trPr>
          <w:trHeight w:val="216"/>
        </w:trPr>
        <w:tc>
          <w:tcPr>
            <w:tcW w:w="6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2 - 29, 2019</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1,860,354</w:t>
            </w:r>
          </w:p>
        </w:tc>
      </w:tr>
      <w:tr>
        <w:trPr>
          <w:trHeight w:val="108"/>
        </w:trPr>
        <w:tc>
          <w:tcPr>
            <w:tcW w:w="228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80" w:lineRule="exact"/>
        <w:rPr>
          <w:sz w:val="20"/>
          <w:szCs w:val="20"/>
          <w:color w:val="auto"/>
        </w:rPr>
      </w:pPr>
    </w:p>
    <w:p>
      <w:pPr>
        <w:ind w:left="340" w:hanging="331"/>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40" w:hanging="331"/>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40" w:hanging="331"/>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share repurchase program. The total number of remaining shares that may be repurchased under the program is approximately 1.9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44" w:right="14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500" w:right="9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84" w:lineRule="exact"/>
        <w:rPr>
          <w:sz w:val="20"/>
          <w:szCs w:val="20"/>
          <w:color w:val="auto"/>
        </w:rPr>
      </w:pPr>
    </w:p>
    <w:p>
      <w:pPr>
        <w:ind w:left="500" w:hanging="491"/>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080" w:right="39" w:hanging="571"/>
        <w:spacing w:after="0" w:line="277" w:lineRule="auto"/>
        <w:tabs>
          <w:tab w:leader="none" w:pos="1080" w:val="left"/>
        </w:tabs>
        <w:numPr>
          <w:ilvl w:val="1"/>
          <w:numId w:val="26"/>
        </w:numPr>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Certificate of the Chief Executive Officer of Universal Forest Products, Inc., pursuant to Section 302 of the</w:t>
        </w:r>
      </w:hyperlink>
      <w:r>
        <w:rPr>
          <w:rFonts w:ascii="Arial" w:cs="Arial" w:eastAsia="Arial" w:hAnsi="Arial"/>
          <w:sz w:val="18"/>
          <w:szCs w:val="18"/>
          <w:u w:val="single" w:color="auto"/>
          <w:color w:val="0000EE"/>
        </w:rPr>
        <w:t xml:space="preserve"> </w:t>
      </w:r>
      <w:hyperlink w:anchor="page35">
        <w:r>
          <w:rPr>
            <w:rFonts w:ascii="Arial" w:cs="Arial" w:eastAsia="Arial" w:hAnsi="Arial"/>
            <w:sz w:val="18"/>
            <w:szCs w:val="18"/>
            <w:u w:val="single" w:color="auto"/>
            <w:color w:val="0000EE"/>
          </w:rPr>
          <w:t>Sarbanes-Oxley Act of 2002 (18 U.S.C. 1350).</w:t>
        </w:r>
      </w:hyperlink>
    </w:p>
    <w:p>
      <w:pPr>
        <w:spacing w:after="0" w:line="170" w:lineRule="exact"/>
        <w:rPr>
          <w:rFonts w:ascii="Arial" w:cs="Arial" w:eastAsia="Arial" w:hAnsi="Arial"/>
          <w:sz w:val="18"/>
          <w:szCs w:val="18"/>
          <w:u w:val="single" w:color="auto"/>
          <w:color w:val="0000EE"/>
        </w:rPr>
      </w:pPr>
    </w:p>
    <w:p>
      <w:pPr>
        <w:ind w:left="1080" w:right="39" w:hanging="571"/>
        <w:spacing w:after="0" w:line="277" w:lineRule="auto"/>
        <w:tabs>
          <w:tab w:leader="none" w:pos="1080" w:val="left"/>
        </w:tabs>
        <w:numPr>
          <w:ilvl w:val="1"/>
          <w:numId w:val="26"/>
        </w:numPr>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Certificate of the Chief Financial Officer of Universal Forest Products, Inc., pursuant to Section 302 of the</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Sarbanes-Oxley Act of 2002 (18 U.S.C. 1350).</w:t>
        </w:r>
      </w:hyperlink>
    </w:p>
    <w:p>
      <w:pPr>
        <w:spacing w:after="0" w:line="170" w:lineRule="exact"/>
        <w:rPr>
          <w:rFonts w:ascii="Arial" w:cs="Arial" w:eastAsia="Arial" w:hAnsi="Arial"/>
          <w:sz w:val="18"/>
          <w:szCs w:val="18"/>
          <w:u w:val="single" w:color="auto"/>
          <w:color w:val="0000EE"/>
        </w:rPr>
      </w:pPr>
    </w:p>
    <w:p>
      <w:pPr>
        <w:ind w:left="500" w:hanging="491"/>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080" w:right="39" w:hanging="571"/>
        <w:spacing w:after="0" w:line="277" w:lineRule="auto"/>
        <w:tabs>
          <w:tab w:leader="none" w:pos="1080" w:val="left"/>
        </w:tabs>
        <w:numPr>
          <w:ilvl w:val="1"/>
          <w:numId w:val="26"/>
        </w:numPr>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Certificate of the Chief Executive Officer of Universal Forest Products, Inc., pursuant to Section 906 of the</w:t>
        </w:r>
      </w:hyperlink>
      <w:r>
        <w:rPr>
          <w:rFonts w:ascii="Arial" w:cs="Arial" w:eastAsia="Arial" w:hAnsi="Arial"/>
          <w:sz w:val="18"/>
          <w:szCs w:val="18"/>
          <w:u w:val="single" w:color="auto"/>
          <w:color w:val="0000EE"/>
        </w:rPr>
        <w:t xml:space="preserve"> </w:t>
      </w:r>
      <w:hyperlink w:anchor="page37">
        <w:r>
          <w:rPr>
            <w:rFonts w:ascii="Arial" w:cs="Arial" w:eastAsia="Arial" w:hAnsi="Arial"/>
            <w:sz w:val="18"/>
            <w:szCs w:val="18"/>
            <w:u w:val="single" w:color="auto"/>
            <w:color w:val="0000EE"/>
          </w:rPr>
          <w:t>Sarbanes-Oxley Act of 2002 (18 U.S.C. 1350).</w:t>
        </w:r>
      </w:hyperlink>
    </w:p>
    <w:p>
      <w:pPr>
        <w:spacing w:after="0" w:line="170" w:lineRule="exact"/>
        <w:rPr>
          <w:rFonts w:ascii="Arial" w:cs="Arial" w:eastAsia="Arial" w:hAnsi="Arial"/>
          <w:sz w:val="18"/>
          <w:szCs w:val="18"/>
          <w:u w:val="single" w:color="auto"/>
          <w:color w:val="0000EE"/>
        </w:rPr>
      </w:pPr>
    </w:p>
    <w:p>
      <w:pPr>
        <w:ind w:left="1080" w:right="39" w:hanging="571"/>
        <w:spacing w:after="0" w:line="277" w:lineRule="auto"/>
        <w:tabs>
          <w:tab w:leader="none" w:pos="1080" w:val="left"/>
        </w:tabs>
        <w:numPr>
          <w:ilvl w:val="1"/>
          <w:numId w:val="26"/>
        </w:numPr>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Certificate of the Chief Financial Officer of Universal Forest Products, Inc., pursuant to Section 906 of the</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Sarbanes-Oxley Act of 2002 (18 U.S.C. 1350).</w:t>
        </w:r>
      </w:hyperlink>
    </w:p>
    <w:p>
      <w:pPr>
        <w:spacing w:after="0" w:line="170" w:lineRule="exact"/>
        <w:rPr>
          <w:rFonts w:ascii="Arial" w:cs="Arial" w:eastAsia="Arial" w:hAnsi="Arial"/>
          <w:sz w:val="18"/>
          <w:szCs w:val="18"/>
          <w:color w:val="auto"/>
        </w:rPr>
      </w:pPr>
    </w:p>
    <w:p>
      <w:pPr>
        <w:spacing w:after="0"/>
        <w:tabs>
          <w:tab w:leader="none" w:pos="480" w:val="left"/>
        </w:tabs>
        <w:rPr>
          <w:sz w:val="20"/>
          <w:szCs w:val="20"/>
          <w:color w:val="auto"/>
        </w:rPr>
      </w:pPr>
      <w:r>
        <w:rPr>
          <w:rFonts w:ascii="Arial" w:cs="Arial" w:eastAsia="Arial" w:hAnsi="Arial"/>
          <w:sz w:val="18"/>
          <w:szCs w:val="18"/>
          <w:color w:val="auto"/>
        </w:rPr>
        <w:t>101</w:t>
        <w:tab/>
        <w:t>Interactive Data File formatted in iXBRL (Inline eXtensible Business Reporting Language).</w:t>
      </w:r>
    </w:p>
    <w:p>
      <w:pPr>
        <w:spacing w:after="0" w:line="225" w:lineRule="exact"/>
        <w:rPr>
          <w:rFonts w:ascii="Arial" w:cs="Arial" w:eastAsia="Arial" w:hAnsi="Arial"/>
          <w:sz w:val="18"/>
          <w:szCs w:val="18"/>
          <w:color w:val="auto"/>
        </w:rPr>
      </w:pPr>
    </w:p>
    <w:p>
      <w:pPr>
        <w:ind w:left="500"/>
        <w:spacing w:after="0"/>
        <w:tabs>
          <w:tab w:leader="none" w:pos="1060" w:val="left"/>
        </w:tabs>
        <w:rPr>
          <w:sz w:val="20"/>
          <w:szCs w:val="20"/>
          <w:color w:val="auto"/>
        </w:rPr>
      </w:pPr>
      <w:r>
        <w:rPr>
          <w:rFonts w:ascii="Arial" w:cs="Arial" w:eastAsia="Arial" w:hAnsi="Arial"/>
          <w:sz w:val="18"/>
          <w:szCs w:val="18"/>
          <w:color w:val="auto"/>
        </w:rPr>
        <w:t>(INS)</w:t>
      </w:r>
      <w:r>
        <w:rPr>
          <w:sz w:val="20"/>
          <w:szCs w:val="20"/>
          <w:color w:val="auto"/>
        </w:rPr>
        <w:tab/>
      </w:r>
      <w:r>
        <w:rPr>
          <w:rFonts w:ascii="Arial" w:cs="Arial" w:eastAsia="Arial" w:hAnsi="Arial"/>
          <w:sz w:val="16"/>
          <w:szCs w:val="16"/>
          <w:color w:val="auto"/>
        </w:rPr>
        <w:t>iXBRL Instance Document.</w:t>
      </w:r>
    </w:p>
    <w:p>
      <w:pPr>
        <w:spacing w:after="0" w:line="225" w:lineRule="exact"/>
        <w:rPr>
          <w:rFonts w:ascii="Arial" w:cs="Arial" w:eastAsia="Arial" w:hAnsi="Arial"/>
          <w:sz w:val="18"/>
          <w:szCs w:val="18"/>
          <w:color w:val="auto"/>
        </w:rPr>
      </w:pPr>
    </w:p>
    <w:p>
      <w:pPr>
        <w:ind w:left="500"/>
        <w:spacing w:after="0"/>
        <w:rPr>
          <w:sz w:val="20"/>
          <w:szCs w:val="20"/>
          <w:color w:val="auto"/>
        </w:rPr>
      </w:pPr>
      <w:r>
        <w:rPr>
          <w:rFonts w:ascii="Arial" w:cs="Arial" w:eastAsia="Arial" w:hAnsi="Arial"/>
          <w:sz w:val="18"/>
          <w:szCs w:val="18"/>
          <w:color w:val="auto"/>
        </w:rPr>
        <w:t>(SCH) iXBRL Schema Document.</w:t>
      </w:r>
    </w:p>
    <w:p>
      <w:pPr>
        <w:spacing w:after="0" w:line="225" w:lineRule="exact"/>
        <w:rPr>
          <w:rFonts w:ascii="Arial" w:cs="Arial" w:eastAsia="Arial" w:hAnsi="Arial"/>
          <w:sz w:val="18"/>
          <w:szCs w:val="18"/>
          <w:color w:val="auto"/>
        </w:rPr>
      </w:pPr>
    </w:p>
    <w:p>
      <w:pPr>
        <w:ind w:left="500"/>
        <w:spacing w:after="0"/>
        <w:rPr>
          <w:sz w:val="20"/>
          <w:szCs w:val="20"/>
          <w:color w:val="auto"/>
        </w:rPr>
      </w:pPr>
      <w:r>
        <w:rPr>
          <w:rFonts w:ascii="Arial" w:cs="Arial" w:eastAsia="Arial" w:hAnsi="Arial"/>
          <w:sz w:val="18"/>
          <w:szCs w:val="18"/>
          <w:color w:val="auto"/>
        </w:rPr>
        <w:t>(CAL) iXBRL Taxonomy Extension Calculation Linkbase Document.</w:t>
      </w:r>
    </w:p>
    <w:p>
      <w:pPr>
        <w:spacing w:after="0" w:line="225" w:lineRule="exact"/>
        <w:rPr>
          <w:rFonts w:ascii="Arial" w:cs="Arial" w:eastAsia="Arial" w:hAnsi="Arial"/>
          <w:sz w:val="18"/>
          <w:szCs w:val="18"/>
          <w:color w:val="auto"/>
        </w:rPr>
      </w:pPr>
    </w:p>
    <w:p>
      <w:pPr>
        <w:ind w:left="500"/>
        <w:spacing w:after="0"/>
        <w:rPr>
          <w:sz w:val="20"/>
          <w:szCs w:val="20"/>
          <w:color w:val="auto"/>
        </w:rPr>
      </w:pPr>
      <w:r>
        <w:rPr>
          <w:rFonts w:ascii="Arial" w:cs="Arial" w:eastAsia="Arial" w:hAnsi="Arial"/>
          <w:sz w:val="18"/>
          <w:szCs w:val="18"/>
          <w:color w:val="auto"/>
        </w:rPr>
        <w:t>(LAB) iXBRL Taxonomy Extension Label Linkbase Document.</w:t>
      </w:r>
    </w:p>
    <w:p>
      <w:pPr>
        <w:spacing w:after="0" w:line="225" w:lineRule="exact"/>
        <w:rPr>
          <w:rFonts w:ascii="Arial" w:cs="Arial" w:eastAsia="Arial" w:hAnsi="Arial"/>
          <w:sz w:val="18"/>
          <w:szCs w:val="18"/>
          <w:color w:val="auto"/>
        </w:rPr>
      </w:pPr>
    </w:p>
    <w:p>
      <w:pPr>
        <w:ind w:left="500"/>
        <w:spacing w:after="0"/>
        <w:rPr>
          <w:sz w:val="20"/>
          <w:szCs w:val="20"/>
          <w:color w:val="auto"/>
        </w:rPr>
      </w:pPr>
      <w:r>
        <w:rPr>
          <w:rFonts w:ascii="Arial" w:cs="Arial" w:eastAsia="Arial" w:hAnsi="Arial"/>
          <w:sz w:val="18"/>
          <w:szCs w:val="18"/>
          <w:color w:val="auto"/>
        </w:rPr>
        <w:t>(PRE)  iXBRL Taxonomy Extension Presentation Linkbase Document.</w:t>
      </w:r>
    </w:p>
    <w:p>
      <w:pPr>
        <w:spacing w:after="0" w:line="225" w:lineRule="exact"/>
        <w:rPr>
          <w:rFonts w:ascii="Arial" w:cs="Arial" w:eastAsia="Arial" w:hAnsi="Arial"/>
          <w:sz w:val="18"/>
          <w:szCs w:val="18"/>
          <w:color w:val="auto"/>
        </w:rPr>
      </w:pPr>
    </w:p>
    <w:p>
      <w:pPr>
        <w:ind w:left="500"/>
        <w:spacing w:after="0"/>
        <w:rPr>
          <w:sz w:val="20"/>
          <w:szCs w:val="20"/>
          <w:color w:val="auto"/>
        </w:rPr>
      </w:pPr>
      <w:r>
        <w:rPr>
          <w:rFonts w:ascii="Arial" w:cs="Arial" w:eastAsia="Arial" w:hAnsi="Arial"/>
          <w:sz w:val="18"/>
          <w:szCs w:val="18"/>
          <w:color w:val="auto"/>
        </w:rPr>
        <w:t>(DEF)  iXBRL Taxonomy Extension Definition Linkbase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44" w:right="1440"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7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39"/>
          </w:cols>
          <w:pgMar w:left="1420" w:top="5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August 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August 7, 2019</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-130810</wp:posOffset>
            </wp:positionV>
            <wp:extent cx="27101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Principal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 /s/ Michael R. Cole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-130810</wp:posOffset>
            </wp:positionV>
            <wp:extent cx="271018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101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40" w:space="720"/>
            <w:col w:w="4579"/>
          </w:cols>
          <w:pgMar w:left="1420" w:top="544" w:right="1440" w:bottom="1440" w:gutter="0" w:footer="0" w:header="0"/>
          <w:type w:val="continuous"/>
        </w:sect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44" w:right="1440"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Missad, certify that:</w:t>
      </w:r>
    </w:p>
    <w:p>
      <w:pPr>
        <w:spacing w:after="0" w:line="225" w:lineRule="exact"/>
        <w:rPr>
          <w:sz w:val="20"/>
          <w:szCs w:val="20"/>
          <w:color w:val="auto"/>
        </w:rPr>
      </w:pPr>
    </w:p>
    <w:p>
      <w:pPr>
        <w:ind w:left="480" w:hanging="477"/>
        <w:spacing w:after="0" w:line="207" w:lineRule="exact"/>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Q of Universal Forest Products, Inc.;</w:t>
      </w:r>
    </w:p>
    <w:p>
      <w:pPr>
        <w:spacing w:after="0" w:line="225"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480" w:hanging="477"/>
        <w:spacing w:after="0" w:line="221" w:lineRule="exact"/>
        <w:tabs>
          <w:tab w:leader="none" w:pos="4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820" w:hanging="331"/>
        <w:spacing w:after="0" w:line="259" w:lineRule="auto"/>
        <w:tabs>
          <w:tab w:leader="none" w:pos="8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20" w:hanging="331"/>
        <w:spacing w:after="0" w:line="277" w:lineRule="auto"/>
        <w:tabs>
          <w:tab w:leader="none" w:pos="8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August 7, 2019</w:t>
      </w:r>
      <w:r>
        <w:rPr>
          <w:sz w:val="20"/>
          <w:szCs w:val="20"/>
          <w:color w:val="auto"/>
        </w:rPr>
        <w:tab/>
      </w:r>
      <w:r>
        <w:rPr>
          <w:rFonts w:ascii="Arial" w:cs="Arial" w:eastAsia="Arial" w:hAnsi="Arial"/>
          <w:sz w:val="16"/>
          <w:szCs w:val="16"/>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901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-130175</wp:posOffset>
            </wp:positionV>
            <wp:extent cx="28727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485775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Cole, certify that:</w:t>
      </w:r>
    </w:p>
    <w:p>
      <w:pPr>
        <w:spacing w:after="0" w:line="225" w:lineRule="exact"/>
        <w:rPr>
          <w:sz w:val="20"/>
          <w:szCs w:val="20"/>
          <w:color w:val="auto"/>
        </w:rPr>
      </w:pPr>
    </w:p>
    <w:p>
      <w:pPr>
        <w:ind w:left="480" w:hanging="477"/>
        <w:spacing w:after="0" w:line="207" w:lineRule="exact"/>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Q of Universal Forest Products, Inc.;</w:t>
      </w:r>
    </w:p>
    <w:p>
      <w:pPr>
        <w:spacing w:after="0" w:line="225"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480" w:hanging="477"/>
        <w:spacing w:after="0" w:line="221" w:lineRule="exact"/>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820" w:hanging="331"/>
        <w:spacing w:after="0" w:line="259"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20" w:hanging="331"/>
        <w:spacing w:after="0" w:line="277" w:lineRule="auto"/>
        <w:tabs>
          <w:tab w:leader="none" w:pos="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Arial" w:cs="Arial" w:eastAsia="Arial" w:hAnsi="Arial"/>
                <w:sz w:val="18"/>
                <w:szCs w:val="18"/>
                <w:color w:val="auto"/>
              </w:rPr>
              <w:t>Date: August 7, 2019</w:t>
            </w:r>
          </w:p>
        </w:tc>
        <w:tc>
          <w:tcPr>
            <w:tcW w:w="452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21"/>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 and Principal Accounting Officer</w:t>
            </w:r>
          </w:p>
        </w:tc>
      </w:tr>
      <w:tr>
        <w:trPr>
          <w:trHeight w:val="777"/>
        </w:trPr>
        <w:tc>
          <w:tcPr>
            <w:tcW w:w="4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Matthew J. Missad, Chief Executive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left="560" w:hanging="557"/>
        <w:spacing w:after="0" w:line="224" w:lineRule="exact"/>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June 29, 2019, which this statement accompanies, fully complies with requirements of Section 13(a) or 15(d) of the Securities Exchange Act of 1934; and</w:t>
      </w:r>
    </w:p>
    <w:p>
      <w:pPr>
        <w:spacing w:after="0" w:line="202" w:lineRule="exact"/>
        <w:rPr>
          <w:rFonts w:ascii="Arial" w:cs="Arial" w:eastAsia="Arial" w:hAnsi="Arial"/>
          <w:sz w:val="16"/>
          <w:szCs w:val="16"/>
          <w:color w:val="auto"/>
        </w:rPr>
      </w:pPr>
    </w:p>
    <w:p>
      <w:pPr>
        <w:ind w:left="560" w:hanging="557"/>
        <w:spacing w:after="0" w:line="224" w:lineRule="exact"/>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June 29, 2019, fairly presents, in all material respects, the financial condition and results of operations of Universal Forest Products, Inc.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UNIVERSAL FOREST PRODUCTS, INC.</w:t>
            </w:r>
          </w:p>
        </w:tc>
      </w:tr>
      <w:tr>
        <w:trPr>
          <w:trHeight w:val="392"/>
        </w:trPr>
        <w:tc>
          <w:tcPr>
            <w:tcW w:w="4540" w:type="dxa"/>
            <w:vAlign w:val="bottom"/>
            <w:gridSpan w:val="3"/>
          </w:tcPr>
          <w:p>
            <w:pPr>
              <w:spacing w:after="0"/>
              <w:rPr>
                <w:sz w:val="20"/>
                <w:szCs w:val="20"/>
                <w:color w:val="auto"/>
              </w:rPr>
            </w:pPr>
            <w:r>
              <w:rPr>
                <w:rFonts w:ascii="Arial" w:cs="Arial" w:eastAsia="Arial" w:hAnsi="Arial"/>
                <w:sz w:val="18"/>
                <w:szCs w:val="18"/>
                <w:color w:val="auto"/>
              </w:rPr>
              <w:t>Date: August 7, 2019</w:t>
            </w:r>
          </w:p>
        </w:tc>
        <w:tc>
          <w:tcPr>
            <w:tcW w:w="4520" w:type="dxa"/>
            <w:vAlign w:val="bottom"/>
          </w:tcPr>
          <w:p>
            <w:pPr>
              <w:spacing w:after="0"/>
              <w:rPr>
                <w:sz w:val="20"/>
                <w:szCs w:val="20"/>
                <w:color w:val="auto"/>
              </w:rPr>
            </w:pPr>
            <w:r>
              <w:rPr>
                <w:rFonts w:ascii="Arial" w:cs="Arial" w:eastAsia="Arial" w:hAnsi="Arial"/>
                <w:sz w:val="18"/>
                <w:szCs w:val="18"/>
                <w:color w:val="auto"/>
              </w:rPr>
              <w:t>By:  /s/ Matthew J. Missad</w:t>
            </w:r>
          </w:p>
        </w:tc>
      </w:tr>
      <w:tr>
        <w:trPr>
          <w:trHeight w:val="21"/>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598170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7" w:name="page38"/>
    <w:bookmarkEnd w:id="37"/>
    <w:p>
      <w:pPr>
        <w:ind w:left="8060"/>
        <w:spacing w:after="0"/>
        <w:rPr>
          <w:sz w:val="20"/>
          <w:szCs w:val="20"/>
          <w:color w:val="auto"/>
        </w:rPr>
      </w:pPr>
      <w:r>
        <w:rPr>
          <w:rFonts w:ascii="Arial" w:cs="Arial" w:eastAsia="Arial" w:hAnsi="Arial"/>
          <w:sz w:val="16"/>
          <w:szCs w:val="16"/>
          <w:b w:val="1"/>
          <w:bCs w:val="1"/>
          <w:color w:val="auto"/>
        </w:rPr>
        <w:t>Exhibit 32(b)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left="560" w:hanging="557"/>
        <w:spacing w:after="0" w:line="224" w:lineRule="exact"/>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June 29, 2019, which this statement accompanies, fully complies with requirements of Section 13(a) or 15(d) of the Securities Exchange Act of 1934; and</w:t>
      </w:r>
    </w:p>
    <w:p>
      <w:pPr>
        <w:spacing w:after="0" w:line="202" w:lineRule="exact"/>
        <w:rPr>
          <w:rFonts w:ascii="Arial" w:cs="Arial" w:eastAsia="Arial" w:hAnsi="Arial"/>
          <w:sz w:val="16"/>
          <w:szCs w:val="16"/>
          <w:color w:val="auto"/>
        </w:rPr>
      </w:pPr>
    </w:p>
    <w:p>
      <w:pPr>
        <w:ind w:left="560" w:hanging="557"/>
        <w:spacing w:after="0" w:line="224" w:lineRule="exact"/>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June 29, 2019, fairly presents, in all material respects, the financial condition and results of operations of Universal Forest Products, Inc.</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UNIVERSAL FOREST PRODUCTS, INC.</w:t>
            </w:r>
          </w:p>
        </w:tc>
      </w:tr>
      <w:tr>
        <w:trPr>
          <w:trHeight w:val="392"/>
        </w:trPr>
        <w:tc>
          <w:tcPr>
            <w:tcW w:w="4540" w:type="dxa"/>
            <w:vAlign w:val="bottom"/>
            <w:gridSpan w:val="3"/>
          </w:tcPr>
          <w:p>
            <w:pPr>
              <w:spacing w:after="0"/>
              <w:rPr>
                <w:sz w:val="20"/>
                <w:szCs w:val="20"/>
                <w:color w:val="auto"/>
              </w:rPr>
            </w:pPr>
            <w:r>
              <w:rPr>
                <w:rFonts w:ascii="Arial" w:cs="Arial" w:eastAsia="Arial" w:hAnsi="Arial"/>
                <w:sz w:val="18"/>
                <w:szCs w:val="18"/>
                <w:color w:val="auto"/>
              </w:rPr>
              <w:t>Date: August 7, 2019</w:t>
            </w:r>
          </w:p>
        </w:tc>
        <w:tc>
          <w:tcPr>
            <w:tcW w:w="4520" w:type="dxa"/>
            <w:vAlign w:val="bottom"/>
          </w:tcPr>
          <w:p>
            <w:pPr>
              <w:spacing w:after="0"/>
              <w:rPr>
                <w:sz w:val="20"/>
                <w:szCs w:val="20"/>
                <w:color w:val="auto"/>
              </w:rPr>
            </w:pPr>
            <w:r>
              <w:rPr>
                <w:rFonts w:ascii="Arial" w:cs="Arial" w:eastAsia="Arial" w:hAnsi="Arial"/>
                <w:sz w:val="18"/>
                <w:szCs w:val="18"/>
                <w:color w:val="auto"/>
              </w:rPr>
              <w:t>By:  /s/ Michael R. Cole</w:t>
            </w:r>
          </w:p>
        </w:tc>
      </w:tr>
      <w:tr>
        <w:trPr>
          <w:trHeight w:val="21"/>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 and Principal Financial Officer</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598170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upperLetter"/>
      <w:start w:val="1"/>
    </w:lvl>
  </w:abstractNum>
  <w:abstractNum w:abstractNumId="3">
    <w:nsid w:val="25E45D32"/>
    <w:multiLevelType w:val="hybridMultilevel"/>
    <w:lvl w:ilvl="0">
      <w:lvlJc w:val="left"/>
      <w:lvlText w:val="%1."/>
      <w:numFmt w:val="upperLetter"/>
      <w:start w:val="3"/>
    </w:lvl>
  </w:abstractNum>
  <w:abstractNum w:abstractNumId="4">
    <w:nsid w:val="519B500D"/>
    <w:multiLevelType w:val="hybridMultilevel"/>
    <w:lvl w:ilvl="0">
      <w:lvlJc w:val="left"/>
      <w:lvlText w:val="%1."/>
      <w:numFmt w:val="upperLetter"/>
      <w:start w:val="4"/>
    </w:lvl>
  </w:abstractNum>
  <w:abstractNum w:abstractNumId="5">
    <w:nsid w:val="431BD7B7"/>
    <w:multiLevelType w:val="hybridMultilevel"/>
    <w:lvl w:ilvl="0">
      <w:lvlJc w:val="left"/>
      <w:lvlText w:val="%1."/>
      <w:numFmt w:val="upperLetter"/>
      <w:start w:val="5"/>
    </w:lvl>
  </w:abstractNum>
  <w:abstractNum w:abstractNumId="6">
    <w:nsid w:val="3F2DBA31"/>
    <w:multiLevelType w:val="hybridMultilevel"/>
    <w:lvl w:ilvl="0">
      <w:lvlJc w:val="left"/>
      <w:lvlText w:val="%1."/>
      <w:numFmt w:val="upperLetter"/>
      <w:start w:val="6"/>
    </w:lvl>
  </w:abstractNum>
  <w:abstractNum w:abstractNumId="7">
    <w:nsid w:val="7C83E458"/>
    <w:multiLevelType w:val="hybridMultilevel"/>
    <w:lvl w:ilvl="0">
      <w:lvlJc w:val="left"/>
      <w:lvlText w:val="%1."/>
      <w:numFmt w:val="upperLetter"/>
      <w:start w:val="7"/>
    </w:lvl>
  </w:abstractNum>
  <w:abstractNum w:abstractNumId="8">
    <w:nsid w:val="257130A3"/>
    <w:multiLevelType w:val="hybridMultilevel"/>
    <w:lvl w:ilvl="0">
      <w:lvlJc w:val="left"/>
      <w:lvlText w:val="(%1)"/>
      <w:numFmt w:val="lowerLetter"/>
      <w:start w:val="2"/>
    </w:lvl>
  </w:abstractNum>
  <w:abstractNum w:abstractNumId="9">
    <w:nsid w:val="62BBD95A"/>
    <w:multiLevelType w:val="hybridMultilevel"/>
    <w:lvl w:ilvl="0">
      <w:lvlJc w:val="left"/>
      <w:lvlText w:val="%1."/>
      <w:numFmt w:val="upperLetter"/>
      <w:start w:val="8"/>
    </w:lvl>
  </w:abstractNum>
  <w:abstractNum w:abstractNumId="10">
    <w:nsid w:val="436C6125"/>
    <w:multiLevelType w:val="hybridMultilevel"/>
    <w:lvl w:ilvl="0">
      <w:lvlJc w:val="left"/>
      <w:lvlText w:val="%1."/>
      <w:numFmt w:val="upperLetter"/>
      <w:start w:val="9"/>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decimal"/>
      <w:start w:val="31"/>
    </w:lvl>
    <w:lvl w:ilvl="1">
      <w:lvlJc w:val="left"/>
      <w:lvlText w:val="(%2)"/>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2019-12-28T08:02:32Z</dcterms:created>
  <dcterms:modified xsi:type="dcterms:W3CDTF">2019-12-28T08:02:32Z</dcterms:modified>
</cp:coreProperties>
</file>