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2"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March 29, 2025</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860" w:right="1280" w:hanging="3850"/>
        <w:spacing w:after="0" w:line="396" w:lineRule="auto"/>
        <w:tabs>
          <w:tab w:leader="none" w:pos="27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0-22684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UFP INDUSTRIES,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32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rPr>
              <w:t>Michigan</w:t>
            </w:r>
          </w:p>
        </w:tc>
        <w:tc>
          <w:tcPr>
            <w:tcW w:w="39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38-1465835</w:t>
            </w:r>
          </w:p>
        </w:tc>
      </w:tr>
      <w:tr>
        <w:trPr>
          <w:trHeight w:val="198"/>
        </w:trPr>
        <w:tc>
          <w:tcPr>
            <w:tcW w:w="4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39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r>
        <w:trPr>
          <w:trHeight w:val="360"/>
        </w:trPr>
        <w:tc>
          <w:tcPr>
            <w:tcW w:w="53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(616)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974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2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UFPI</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98" w:lineRule="exact"/>
        <w:rPr>
          <w:sz w:val="24"/>
          <w:szCs w:val="24"/>
          <w:color w:val="auto"/>
        </w:rPr>
      </w:pPr>
    </w:p>
    <w:p>
      <w:pPr>
        <w:jc w:val="both"/>
        <w:ind w:left="20"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88" w:right="819" w:bottom="1440" w:gutter="0" w:footer="0" w:header="0"/>
        </w:sectPr>
      </w:pPr>
    </w:p>
    <w:p>
      <w:pPr>
        <w:spacing w:after="0" w:line="41" w:lineRule="exact"/>
        <w:rPr>
          <w:sz w:val="24"/>
          <w:szCs w:val="24"/>
          <w:color w:val="auto"/>
        </w:rPr>
      </w:pPr>
    </w:p>
    <w:p>
      <w:pPr>
        <w:ind w:left="5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right="800"/>
        <w:spacing w:after="0" w:line="245"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51" w:lineRule="exact"/>
        <w:rPr>
          <w:sz w:val="24"/>
          <w:szCs w:val="24"/>
          <w:color w:val="auto"/>
        </w:rPr>
      </w:pPr>
    </w:p>
    <w:p>
      <w:pPr>
        <w:sectPr>
          <w:pgSz w:w="11900" w:h="16838" w:orient="portrait"/>
          <w:cols w:equalWidth="0" w:num="4">
            <w:col w:w="2500" w:space="660"/>
            <w:col w:w="1440" w:space="280"/>
            <w:col w:w="1820" w:space="480"/>
            <w:col w:w="3080"/>
          </w:cols>
          <w:pgMar w:left="820" w:top="688" w:right="819" w:bottom="1440" w:gutter="0" w:footer="0" w:header="0"/>
          <w:type w:val="continuous"/>
        </w:sectPr>
      </w:pPr>
    </w:p>
    <w:p>
      <w:pPr>
        <w:ind w:left="20" w:right="20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Class</w:t>
            </w:r>
          </w:p>
        </w:tc>
        <w:tc>
          <w:tcPr>
            <w:tcW w:w="50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Outstanding as of March 29, 2025</w:t>
            </w: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200" w:type="dxa"/>
            <w:vAlign w:val="bottom"/>
          </w:tcPr>
          <w:p>
            <w:pPr>
              <w:spacing w:after="0"/>
              <w:rPr>
                <w:sz w:val="20"/>
                <w:szCs w:val="20"/>
                <w:color w:val="auto"/>
              </w:rPr>
            </w:pPr>
          </w:p>
        </w:tc>
        <w:tc>
          <w:tcPr>
            <w:tcW w:w="4000" w:type="dxa"/>
            <w:vAlign w:val="bottom"/>
            <w:tcBorders>
              <w:top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60,394,887</w:t>
            </w:r>
          </w:p>
        </w:tc>
        <w:tc>
          <w:tcPr>
            <w:tcW w:w="1060" w:type="dxa"/>
            <w:vAlign w:val="bottom"/>
          </w:tcPr>
          <w:p>
            <w:pPr>
              <w:spacing w:after="0"/>
              <w:rPr>
                <w:sz w:val="20"/>
                <w:szCs w:val="20"/>
                <w:color w:val="auto"/>
              </w:rPr>
            </w:pPr>
          </w:p>
        </w:tc>
      </w:tr>
      <w:tr>
        <w:trPr>
          <w:trHeight w:val="130"/>
        </w:trPr>
        <w:tc>
          <w:tcPr>
            <w:tcW w:w="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r>
      <w:tr>
        <w:trPr>
          <w:trHeight w:val="574"/>
        </w:trPr>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88"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76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56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March 29, 2025, December 28, 2024 and</w:t>
            </w:r>
          </w:p>
        </w:tc>
        <w:tc>
          <w:tcPr>
            <w:tcW w:w="760" w:type="dxa"/>
            <w:vAlign w:val="bottom"/>
            <w:shd w:val="clear" w:color="auto" w:fill="CCEEFF"/>
          </w:tcPr>
          <w:p>
            <w:pPr>
              <w:spacing w:after="0"/>
              <w:rPr>
                <w:sz w:val="15"/>
                <w:szCs w:val="15"/>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March 30, 2024</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and Comprehensive Income for the</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Three Months Ended March 29, 2025 and March 30, 2024</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Months Ended</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5"/>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March 29, 2025 and March 30, 2024</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March 29, 2025 and March 30, 2024</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3.</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4.</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share data)</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903,562</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1,171,828</w:t>
            </w:r>
          </w:p>
        </w:tc>
        <w:tc>
          <w:tcPr>
            <w:tcW w:w="2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979,746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31,087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712,990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500,920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713,414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388,413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388,435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410,959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366,500</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332,389</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334,336</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754,913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720,824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745,295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20,588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59,321</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50,012</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36,036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2,464,391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2,503,025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2,514,415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4,796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42,038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39,140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116,457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114,721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103,658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98,409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96,977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340,255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339,839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335,596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7,307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7,300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152,498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1,810,735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1,750,211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1,596,622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(887,710)</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(859,468)</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(802,062)</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20" w:type="dxa"/>
            <w:vAlign w:val="bottom"/>
            <w:tcBorders>
              <w:bottom w:val="single" w:sz="8" w:color="CCEEFF"/>
            </w:tcBorders>
          </w:tcPr>
          <w:p>
            <w:pPr>
              <w:ind w:left="400"/>
              <w:spacing w:after="0" w:line="136"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923,025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890,743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794,560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4,150,286</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4,150,938</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4,078,639</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277,690</w:t>
            </w:r>
          </w:p>
        </w:tc>
        <w:tc>
          <w:tcPr>
            <w:tcW w:w="42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224,659</w:t>
            </w:r>
          </w:p>
        </w:tc>
        <w:tc>
          <w:tcPr>
            <w:tcW w:w="22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254,902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123,587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193,438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133,513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63,113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62,356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28,051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27,870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4,085</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4,125</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44,051</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496,526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512,448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525,018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229,936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229,830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233,046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96,218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95,095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30,682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32,588</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32,330</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34,140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885,950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900,947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943,161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TEMPORARY EQUITY: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5,280</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5,366</w:t>
            </w:r>
          </w:p>
        </w:tc>
        <w:tc>
          <w:tcPr>
            <w:tcW w:w="2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22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 none</w:t>
            </w:r>
          </w:p>
        </w:tc>
        <w:tc>
          <w:tcPr>
            <w:tcW w:w="3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2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160,000,000; issued and</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60,395</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60,724</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60,394,887, 60,724,308 and 61,753,899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416,562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403,379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362,231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2,772,821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2,775,280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2,664,081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(12,097)</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(15,311)</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3,237,681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3,224,072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3,087,759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21,375</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20,553</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28,336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2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3,259,056</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3,244,625</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3,116,095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LIABILITIES, TEMPORARY EQUITY AND SHAREHOLDERS’ EQUITY</w:t>
            </w:r>
          </w:p>
        </w:tc>
        <w:tc>
          <w:tcPr>
            <w:tcW w:w="2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4,150,286</w:t>
            </w:r>
          </w:p>
        </w:tc>
        <w:tc>
          <w:tcPr>
            <w:tcW w:w="220" w:type="dxa"/>
            <w:vAlign w:val="bottom"/>
          </w:tcPr>
          <w:p>
            <w:pPr>
              <w:spacing w:after="0"/>
              <w:rPr>
                <w:sz w:val="11"/>
                <w:szCs w:val="11"/>
                <w:color w:val="auto"/>
              </w:rPr>
            </w:pPr>
          </w:p>
        </w:tc>
        <w:tc>
          <w:tcPr>
            <w:tcW w:w="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4,150,938</w:t>
            </w: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4,078,639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per share data)</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11"/>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1,638,966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1,312,888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268,196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326,078</w:t>
            </w: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192,059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GAIN ON DISPOSITION AND IMPAIRMENT OF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(GAINS) LOSSES, NET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133,823</w:t>
            </w: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IN LOSS OF INVESTEE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100,681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146,586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25,487</w:t>
            </w:r>
          </w:p>
        </w:tc>
        <w:tc>
          <w:tcPr>
            <w:tcW w:w="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79,423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121,099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ATTRIBUTABLE TO NONCONTROLLING INTEREST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EARNINGS ATTRIBUTABLE TO CONTROLLING INTEREST</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78,753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120,791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82,604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119,969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 ATTRIBUTABLE TO CONTROLLING INTEREST</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81,967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119,378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9019"/>
          </w:cols>
          <w:pgMar w:left="1440" w:top="540" w:right="1440" w:bottom="1440" w:gutter="0" w:footer="0" w:header="0"/>
        </w:sectPr>
      </w:pPr>
    </w:p>
    <w:p>
      <w:pPr>
        <w:spacing w:after="0" w:line="227" w:lineRule="exact"/>
        <w:rPr>
          <w:sz w:val="20"/>
          <w:szCs w:val="20"/>
          <w:color w:val="auto"/>
        </w:rPr>
      </w:pPr>
    </w:p>
    <w:p>
      <w:pPr>
        <w:ind w:left="60"/>
        <w:spacing w:after="0" w:line="285" w:lineRule="auto"/>
        <w:rPr>
          <w:sz w:val="20"/>
          <w:szCs w:val="20"/>
          <w:color w:val="auto"/>
        </w:rPr>
      </w:pPr>
      <w:r>
        <w:rPr>
          <w:rFonts w:ascii="Times New Roman" w:cs="Times New Roman" w:eastAsia="Times New Roman" w:hAnsi="Times New Roman"/>
          <w:sz w:val="14"/>
          <w:szCs w:val="14"/>
          <w:b w:val="1"/>
          <w:bCs w:val="1"/>
          <w:color w:val="auto"/>
        </w:rPr>
        <w:t>(in thousands of United States dollars, except share and per share data)</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70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0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Temporary</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vMerge w:val="continue"/>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700" w:type="dxa"/>
            <w:vAlign w:val="bottom"/>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380" w:space="540"/>
            <w:col w:w="6099"/>
          </w:cols>
          <w:pgMar w:left="1440" w:top="540" w:right="1440" w:bottom="1440" w:gutter="0" w:footer="0" w:header="0"/>
          <w:type w:val="continuous"/>
        </w:sectPr>
      </w:pPr>
    </w:p>
    <w:tbl>
      <w:tblPr>
        <w:tblLayout w:type="fixed"/>
        <w:tblInd w:w="60" w:type="dxa"/>
        <w:tblCellMar>
          <w:top w:w="0" w:type="dxa"/>
          <w:left w:w="0" w:type="dxa"/>
          <w:bottom w:w="0" w:type="dxa"/>
          <w:right w:w="0" w:type="dxa"/>
        </w:tblCellMar>
      </w:tblPr>
      <w:tr>
        <w:trPr>
          <w:trHeight w:val="156"/>
        </w:trPr>
        <w:tc>
          <w:tcPr>
            <w:tcW w:w="27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on December 28, 2024</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$ 60,724</w:t>
            </w: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$ 403,379</w:t>
            </w: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$ 2,775,280</w:t>
            </w: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(15,311)</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20,553</w:t>
            </w: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$ 3,244,625</w:t>
            </w: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5,366</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78,753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4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79,606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$0.35 per share - quarterly</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7,197 shares under employee stock</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232,101 shares under stock grant</w:t>
            </w: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40" w:type="dxa"/>
            <w:vAlign w:val="bottom"/>
          </w:tcPr>
          <w:p>
            <w:pPr>
              <w:spacing w:after="0"/>
              <w:rPr>
                <w:sz w:val="10"/>
                <w:szCs w:val="10"/>
                <w:color w:val="auto"/>
              </w:rPr>
            </w:pP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40" w:type="dxa"/>
            <w:vAlign w:val="bottom"/>
          </w:tcPr>
          <w:p>
            <w:pPr>
              <w:spacing w:after="0"/>
              <w:rPr>
                <w:sz w:val="10"/>
                <w:szCs w:val="10"/>
                <w:color w:val="auto"/>
              </w:rPr>
            </w:pP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6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80,341 shares under deferred</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shd w:val="clear" w:color="auto" w:fill="CCEEFF"/>
          </w:tcPr>
          <w:p>
            <w:pPr>
              <w:spacing w:after="0"/>
              <w:rPr>
                <w:sz w:val="10"/>
                <w:szCs w:val="10"/>
                <w:color w:val="auto"/>
              </w:rPr>
            </w:pPr>
          </w:p>
        </w:tc>
        <w:tc>
          <w:tcPr>
            <w:tcW w:w="7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4"/>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649,060 shares</w:t>
            </w:r>
          </w:p>
        </w:tc>
        <w:tc>
          <w:tcPr>
            <w:tcW w:w="68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72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(9,460)</w:t>
            </w:r>
          </w:p>
        </w:tc>
        <w:tc>
          <w:tcPr>
            <w:tcW w:w="8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(59,991)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(70,100)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11,493</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11,493</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7,888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March 29, 2025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$ 60,395</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$ 416,562</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$ 2,772,821</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(12,097)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21,375</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$ 3,259,056</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5,280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except share and per share data)</w:t>
            </w:r>
          </w:p>
        </w:tc>
        <w:tc>
          <w:tcPr>
            <w:tcW w:w="6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4"/>
          </w:tcPr>
          <w:p>
            <w:pPr>
              <w:jc w:val="right"/>
              <w:ind w:right="40"/>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00" w:type="dxa"/>
            <w:vAlign w:val="bottom"/>
            <w:gridSpan w:val="5"/>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Temporary</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5"/>
                <w:szCs w:val="15"/>
                <w:color w:val="auto"/>
              </w:rPr>
            </w:pP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7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December 30, 2023</w:t>
            </w: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$ 61,621</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$ 354,702</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$ 2,582,332</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1,106</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30,429</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$ 3,030,190</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20,030</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120,791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4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121,413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$0.33 per share - quarterly</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6,251 shares under employee stock</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369,012 shares under stock grant</w:t>
            </w: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40" w:type="dxa"/>
            <w:vAlign w:val="bottom"/>
          </w:tcPr>
          <w:p>
            <w:pPr>
              <w:spacing w:after="0"/>
              <w:rPr>
                <w:sz w:val="10"/>
                <w:szCs w:val="10"/>
                <w:color w:val="auto"/>
              </w:rPr>
            </w:pP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6,198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6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76,927 shares under deferred</w:t>
            </w: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4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319,295 shares</w:t>
            </w:r>
          </w:p>
        </w:tc>
        <w:tc>
          <w:tcPr>
            <w:tcW w:w="6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4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(17,686)</w:t>
            </w:r>
          </w:p>
        </w:tc>
        <w:tc>
          <w:tcPr>
            <w:tcW w:w="4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March 30, 2024</w:t>
            </w: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$ 61,754</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$ 362,231</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$ 2,664,081</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(307)</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28,336</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$ 3,116,095</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19,383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4"/>
        </w:trPr>
        <w:tc>
          <w:tcPr>
            <w:tcW w:w="6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OPERATING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79,423</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121,099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32,941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30,019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5,817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loss (gain) on investments and 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in loss of investee</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gain on sale, disposition and impairment of assets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from reduction of estimated earnout liability</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(211,709)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(164,613)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(17,788)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52,902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52,264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(46,166)</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(53,290)</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(108,807)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(16,798)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INVESTING ACTIVITIES: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(67,268)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(49,148)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net of cash received and purchase of equity method investment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(7,191)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(9,352)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(3,206)</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(75,550)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(56,062)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FINANCING ACTIVITIES: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(4,278)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 of debt on behalf of investee</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to taxing authorities in connection with shares directly withheld from employees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(9,547)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(17,838)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(60,553)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(18,798)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1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(90,926)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(68,968)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1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(274,971)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(141,749)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1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1,179,594</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1,122,256</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904,623</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980,507</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1,171,828</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1,118,329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1,179,594</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1,122,256</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5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903,562</w:t>
            </w:r>
          </w:p>
        </w:tc>
        <w:tc>
          <w:tcPr>
            <w:tcW w:w="18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979,746</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5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904,623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980,507</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SUPPLEMENTAL INFORMATION:</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3,038</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1,770</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8,823</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8,616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40" w:hanging="490"/>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are presented in United States dollars (“US dollars” or “USD”), unless otherwise indicated.</w:t>
      </w:r>
    </w:p>
    <w:p>
      <w:pPr>
        <w:spacing w:after="0" w:line="162"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of America. All significant intercompany balances and transactions have been eliminated in consolidation.</w:t>
      </w:r>
    </w:p>
    <w:p>
      <w:pPr>
        <w:spacing w:after="0" w:line="18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w:t>
      </w:r>
    </w:p>
    <w:p>
      <w:pPr>
        <w:spacing w:after="0" w:line="3" w:lineRule="exact"/>
        <w:rPr>
          <w:sz w:val="20"/>
          <w:szCs w:val="20"/>
          <w:color w:val="auto"/>
        </w:rPr>
      </w:pPr>
    </w:p>
    <w:p>
      <w:pPr>
        <w:jc w:val="both"/>
        <w:ind w:left="60" w:right="59" w:hanging="10"/>
        <w:spacing w:after="0" w:line="255"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86"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The Sellers have a put right to sell their equity interest to us for $50 million and we have a call right to purchase the Seller’s equity interest for $70 million, which are both first exercisable in June 2025 and expire in June 2030. As of March 29, 2025, the carrying value of our investment in Dempsey is $55.4 million and is recorded in Other Assets. Our maximum exposure to loss consists of our investment amount and any contingent loss that may occur in the future as a result of a change in the fair value of Dempsey relative to the strike price of the put option.</w:t>
      </w:r>
    </w:p>
    <w:p>
      <w:pPr>
        <w:spacing w:after="0" w:line="18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28, 2024.</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March 30, 2024 balances in the accompanying unaudited condensed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Additionally, in January 2025, the FASB issued ASU 2025-01 to clarify the effective date of ASU 2024-03. This ASU provides guidance to expand disclosures related to the disaggregation of income statement expenses. Also, this ASU requires, in the notes to the financial statements, disclosure of specified information about certain costs and expenses which includes purchases of inventory, employee compensation, depreciation, and intangible asset amortization included in each relevant expense caption. ASU 2025-01 is effective for fiscal years beginning after December 15, 2026, and interim periods within annual reporting periods beginning after December 15, 2027, on a retrospective or prospective basis, with early adoption permitted. We are currently evaluating the impact of adopting this guidance on the financial statement disclosures.</w:t>
      </w:r>
    </w:p>
    <w:p>
      <w:pPr>
        <w:spacing w:after="0" w:line="188"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Although the ASU only modifies our required income tax disclosures, we are currently evaluating the impact of adopting this guidance on the consolidated financial statements.</w:t>
      </w:r>
    </w:p>
    <w:p>
      <w:pPr>
        <w:spacing w:after="0" w:line="194"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The amendments are effective for fiscal years beginning after December 15, 2023, and interim periods within fiscal years beginning after December 15, 2024. We adopted this new standard in 2024. Our disclosures required by the new standard have been provided and updated retrospectively for all periods presented. Refer to Note G — Segment Reporting.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540" w:hanging="490"/>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jc w:val="both"/>
        <w:ind w:left="60" w:right="59" w:firstLine="492"/>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88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7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40" w:type="dxa"/>
            <w:vAlign w:val="bottom"/>
            <w:gridSpan w:val="2"/>
            <w:vMerge w:val="continue"/>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42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Money market</w:t>
            </w: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39,428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$ 119,928</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$ 356,700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$ 377,850</w:t>
            </w: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Fixed income</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39,246</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38,348</w:t>
            </w:r>
          </w:p>
        </w:tc>
        <w:tc>
          <w:tcPr>
            <w:tcW w:w="0" w:type="dxa"/>
            <w:vAlign w:val="bottom"/>
          </w:tcPr>
          <w:p>
            <w:pPr>
              <w:spacing w:after="0"/>
              <w:rPr>
                <w:sz w:val="1"/>
                <w:szCs w:val="1"/>
                <w:color w:val="auto"/>
              </w:rPr>
            </w:pPr>
          </w:p>
        </w:tc>
      </w:tr>
      <w:tr>
        <w:trPr>
          <w:trHeight w:val="182"/>
        </w:trPr>
        <w:tc>
          <w:tcPr>
            <w:tcW w:w="14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Treasury</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28,500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44,819</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26,000</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42,431</w:t>
            </w: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4,034</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Domestic stock</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9,267</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9,534</w:t>
            </w:r>
          </w:p>
        </w:tc>
        <w:tc>
          <w:tcPr>
            <w:tcW w:w="0" w:type="dxa"/>
            <w:vAlign w:val="bottom"/>
          </w:tcPr>
          <w:p>
            <w:pPr>
              <w:spacing w:after="0"/>
              <w:rPr>
                <w:sz w:val="1"/>
                <w:szCs w:val="1"/>
                <w:color w:val="auto"/>
              </w:rPr>
            </w:pPr>
          </w:p>
        </w:tc>
      </w:tr>
      <w:tr>
        <w:trPr>
          <w:trHeight w:val="181"/>
        </w:trPr>
        <w:tc>
          <w:tcPr>
            <w:tcW w:w="142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funds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0" w:type="dxa"/>
            <w:vAlign w:val="bottom"/>
          </w:tcPr>
          <w:p>
            <w:pPr>
              <w:spacing w:after="0"/>
              <w:rPr>
                <w:sz w:val="1"/>
                <w:szCs w:val="1"/>
                <w:color w:val="auto"/>
              </w:rPr>
            </w:pPr>
          </w:p>
        </w:tc>
      </w:tr>
      <w:tr>
        <w:trPr>
          <w:trHeight w:val="204"/>
        </w:trPr>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3"/>
        </w:trPr>
        <w:tc>
          <w:tcPr>
            <w:tcW w:w="1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0" w:type="dxa"/>
            <w:vAlign w:val="bottom"/>
          </w:tcPr>
          <w:p>
            <w:pPr>
              <w:spacing w:after="0"/>
              <w:rPr>
                <w:sz w:val="1"/>
                <w:szCs w:val="1"/>
                <w:color w:val="auto"/>
              </w:rPr>
            </w:pPr>
          </w:p>
        </w:tc>
      </w:tr>
      <w:tr>
        <w:trPr>
          <w:trHeight w:val="231"/>
        </w:trPr>
        <w:tc>
          <w:tcPr>
            <w:tcW w:w="1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mutual</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10,428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10,428</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10,668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10,668</w:t>
            </w:r>
          </w:p>
        </w:tc>
        <w:tc>
          <w:tcPr>
            <w:tcW w:w="0" w:type="dxa"/>
            <w:vAlign w:val="bottom"/>
          </w:tcPr>
          <w:p>
            <w:pPr>
              <w:spacing w:after="0"/>
              <w:rPr>
                <w:sz w:val="1"/>
                <w:szCs w:val="1"/>
                <w:color w:val="auto"/>
              </w:rPr>
            </w:pPr>
          </w:p>
        </w:tc>
      </w:tr>
      <w:tr>
        <w:trPr>
          <w:trHeight w:val="218"/>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112,847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73,418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32,534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$ 218,799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$ 389,415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30,044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$ 473,685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From the assets measured at fair value as of March 29, 2025, listed in the table above, $117.5 million of money market funds are held in Cash and Cash Equivalents, $30.6 million of mutual funds, equity securities, and alternative investments are held in Investments, $28.5 million of equity securities are held in Other Assets, $0.2 million of mutual funds are held in Other Assets for our deferred compensation plan, and $39.6 million of fixed income funds and $2.4 million of money market funds are held in Restricted Investments. As of December 28, 2024, $377.4 million of money market funds were held in Cash and Cash Equivalents, $31.0 million of mutual funds, equity securities, and alternative investments were held in Investments, $26.0 million of equity securities were held in Other Assets, $0.2 million of mutual funds were held in Other Assets for our deferred compensation plan, and $38.7 million of fixed income funds and $0.4 million of money market funds were held in Restricted Investments.</w:t>
      </w:r>
    </w:p>
    <w:p>
      <w:pPr>
        <w:spacing w:after="0" w:line="18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any of our financial instruments except for those expressly required by U.S. GAAP.</w:t>
      </w:r>
    </w:p>
    <w:p>
      <w:pPr>
        <w:spacing w:after="0" w:line="183"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have $28.5 million of investments through our Innov8 Fund, which is designed to invest in emerging projects, services, and technologies. These investments are valued as Level 3 assets and are categorized as “Equity securities.”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80" w:firstLine="492"/>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$70.3 million and $69.8 million as of March 29, 2025 and December 28, 2024, respectively, which has been included in the aforementioned table of total investments. This portfolio consists of domestic and international equity securities, alternative investments, and fixed income bonds.</w:t>
      </w:r>
    </w:p>
    <w:p>
      <w:pPr>
        <w:spacing w:after="0" w:line="180" w:lineRule="exact"/>
        <w:rPr>
          <w:sz w:val="20"/>
          <w:szCs w:val="20"/>
          <w:color w:val="auto"/>
        </w:rPr>
      </w:pPr>
    </w:p>
    <w:p>
      <w:pPr>
        <w:jc w:val="both"/>
        <w:ind w:left="60" w:right="80" w:firstLine="492"/>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center"/>
              <w:ind w:right="593"/>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124"/>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0"/>
                <w:szCs w:val="10"/>
                <w:color w:val="auto"/>
              </w:rPr>
            </w:pPr>
          </w:p>
        </w:tc>
        <w:tc>
          <w:tcPr>
            <w:tcW w:w="90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$ 39,246</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$ 39,645</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$ 38,348</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65,611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4,704</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$ 70,315</w:t>
            </w:r>
          </w:p>
        </w:tc>
        <w:tc>
          <w:tcPr>
            <w:tcW w:w="14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$ 65,020</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4,760</w:t>
            </w:r>
          </w:p>
        </w:tc>
        <w:tc>
          <w:tcPr>
            <w:tcW w:w="140" w:type="dxa"/>
            <w:vAlign w:val="bottom"/>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$ 69,780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80" w:firstLine="492"/>
        <w:spacing w:after="0" w:line="255"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of the portfolio was $4.7 million and $4.8 million as of March 29, 2025 and December 28, 2024, respectively. Carrying amounts above are recorded in the Investments and Restricted Investments line items within the balance sheet as of March 29, 2025 and December 28, 2024.</w:t>
      </w:r>
    </w:p>
    <w:p>
      <w:pPr>
        <w:spacing w:after="0" w:line="185" w:lineRule="exact"/>
        <w:rPr>
          <w:sz w:val="20"/>
          <w:szCs w:val="20"/>
          <w:color w:val="auto"/>
        </w:rPr>
      </w:pPr>
    </w:p>
    <w:p>
      <w:pPr>
        <w:ind w:left="540" w:hanging="490"/>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80" w:firstLine="492"/>
        <w:spacing w:after="0" w:line="254" w:lineRule="auto"/>
        <w:rPr>
          <w:sz w:val="20"/>
          <w:szCs w:val="20"/>
          <w:color w:val="auto"/>
        </w:rPr>
      </w:pPr>
      <w:r>
        <w:rPr>
          <w:rFonts w:ascii="Times New Roman" w:cs="Times New Roman" w:eastAsia="Times New Roman" w:hAnsi="Times New Roman"/>
          <w:sz w:val="18"/>
          <w:szCs w:val="18"/>
          <w:color w:val="auto"/>
        </w:rPr>
        <w:t>Within the three primary segments, UFP Retail Solutions (“Retail”), UFP Packaging (“Packaging”) and UFP Construction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92" w:lineRule="exact"/>
        <w:rPr>
          <w:sz w:val="20"/>
          <w:szCs w:val="20"/>
          <w:color w:val="auto"/>
        </w:rPr>
      </w:pPr>
    </w:p>
    <w:p>
      <w:pPr>
        <w:jc w:val="both"/>
        <w:ind w:left="60" w:right="80" w:firstLine="492"/>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176" w:lineRule="exact"/>
        <w:rPr>
          <w:sz w:val="20"/>
          <w:szCs w:val="20"/>
          <w:color w:val="auto"/>
        </w:rPr>
      </w:pPr>
    </w:p>
    <w:p>
      <w:pPr>
        <w:jc w:val="both"/>
        <w:ind w:left="60" w:right="80" w:firstLine="492"/>
        <w:spacing w:after="0" w:line="258"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40" w:right="141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8"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2"/>
          </w:tcPr>
          <w:p>
            <w:pPr>
              <w:ind w:left="200"/>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280" w:type="dxa"/>
            <w:vAlign w:val="bottom"/>
          </w:tcPr>
          <w:p>
            <w:pPr>
              <w:spacing w:after="0"/>
              <w:rPr>
                <w:sz w:val="10"/>
                <w:szCs w:val="10"/>
                <w:color w:val="auto"/>
              </w:rPr>
            </w:pPr>
          </w:p>
        </w:tc>
        <w:tc>
          <w:tcPr>
            <w:tcW w:w="1460" w:type="dxa"/>
            <w:vAlign w:val="bottom"/>
            <w:gridSpan w:val="2"/>
          </w:tcPr>
          <w:p>
            <w:pPr>
              <w:ind w:left="20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4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0"/>
        </w:trPr>
        <w:tc>
          <w:tcPr>
            <w:tcW w:w="39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 Revenue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1,549,304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1,604,835</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46,215</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34,131</w:t>
            </w:r>
          </w:p>
        </w:tc>
        <w:tc>
          <w:tcPr>
            <w:tcW w:w="1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1,595,519</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1,638,966</w:t>
            </w: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which are included in “Other current assets” and “Accrued liabilities: Other”, respectively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80"/>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0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2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8,242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200" w:type="dxa"/>
            <w:vAlign w:val="bottom"/>
          </w:tcPr>
          <w:p>
            <w:pPr>
              <w:spacing w:after="0"/>
              <w:rPr>
                <w:sz w:val="20"/>
                <w:szCs w:val="20"/>
                <w:color w:val="auto"/>
              </w:rPr>
            </w:pPr>
          </w:p>
        </w:tc>
      </w:tr>
      <w:tr>
        <w:trPr>
          <w:trHeight w:val="8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80" w:type="dxa"/>
            <w:vAlign w:val="bottom"/>
          </w:tcPr>
          <w:p>
            <w:pPr>
              <w:jc w:val="right"/>
              <w:ind w:right="1256"/>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8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6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computation of earnings per share (“EPS”) is as follows (in thousands):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3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34"/>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33"/>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00" w:type="dxa"/>
            <w:vAlign w:val="bottom"/>
          </w:tcPr>
          <w:p>
            <w:pPr>
              <w:spacing w:after="0"/>
              <w:rPr>
                <w:sz w:val="10"/>
                <w:szCs w:val="10"/>
                <w:color w:val="auto"/>
              </w:rPr>
            </w:pPr>
          </w:p>
        </w:tc>
      </w:tr>
      <w:tr>
        <w:trPr>
          <w:trHeight w:val="180"/>
        </w:trPr>
        <w:tc>
          <w:tcPr>
            <w:tcW w:w="320" w:type="dxa"/>
            <w:vAlign w:val="bottom"/>
            <w:tcBorders>
              <w:bottom w:val="single" w:sz="8" w:color="CCEEFF"/>
            </w:tcBorders>
          </w:tcPr>
          <w:p>
            <w:pPr>
              <w:spacing w:after="0"/>
              <w:rPr>
                <w:sz w:val="15"/>
                <w:szCs w:val="15"/>
                <w:color w:val="auto"/>
              </w:rPr>
            </w:pPr>
          </w:p>
        </w:tc>
        <w:tc>
          <w:tcPr>
            <w:tcW w:w="60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120,791</w:t>
            </w:r>
          </w:p>
        </w:tc>
        <w:tc>
          <w:tcPr>
            <w:tcW w:w="200" w:type="dxa"/>
            <w:vAlign w:val="bottom"/>
          </w:tcPr>
          <w:p>
            <w:pPr>
              <w:spacing w:after="0"/>
              <w:rPr>
                <w:sz w:val="18"/>
                <w:szCs w:val="18"/>
                <w:color w:val="auto"/>
              </w:rPr>
            </w:pPr>
          </w:p>
        </w:tc>
      </w:tr>
      <w:tr>
        <w:trPr>
          <w:trHeight w:val="236"/>
        </w:trPr>
        <w:tc>
          <w:tcPr>
            <w:tcW w:w="6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earnings allocated to non-vested restricted common stock equivalents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Borders>
              <w:bottom w:val="single" w:sz="8" w:color="CCEEFF"/>
            </w:tcBorders>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75,778</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115,890</w:t>
            </w:r>
          </w:p>
        </w:tc>
        <w:tc>
          <w:tcPr>
            <w:tcW w:w="200" w:type="dxa"/>
            <w:vAlign w:val="bottom"/>
            <w:tcBorders>
              <w:bottom w:val="single" w:sz="8" w:color="CCEEFF"/>
            </w:tcBorders>
          </w:tcPr>
          <w:p>
            <w:pPr>
              <w:spacing w:after="0"/>
              <w:rPr>
                <w:sz w:val="21"/>
                <w:szCs w:val="21"/>
                <w:color w:val="auto"/>
              </w:rPr>
            </w:pPr>
          </w:p>
        </w:tc>
      </w:tr>
      <w:tr>
        <w:trPr>
          <w:trHeight w:val="197"/>
        </w:trPr>
        <w:tc>
          <w:tcPr>
            <w:tcW w:w="6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61,985</w:t>
            </w:r>
          </w:p>
        </w:tc>
        <w:tc>
          <w:tcPr>
            <w:tcW w:w="200" w:type="dxa"/>
            <w:vAlign w:val="bottom"/>
          </w:tcPr>
          <w:p>
            <w:pPr>
              <w:spacing w:after="0"/>
              <w:rPr>
                <w:sz w:val="18"/>
                <w:szCs w:val="18"/>
                <w:color w:val="auto"/>
              </w:rPr>
            </w:pPr>
          </w:p>
        </w:tc>
      </w:tr>
      <w:tr>
        <w:trPr>
          <w:trHeight w:val="236"/>
        </w:trPr>
        <w:tc>
          <w:tcPr>
            <w:tcW w:w="6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non-vested restricted common stock equivalents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3"/>
        </w:trPr>
        <w:tc>
          <w:tcPr>
            <w:tcW w:w="632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58,377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59,176</w:t>
            </w:r>
          </w:p>
        </w:tc>
        <w:tc>
          <w:tcPr>
            <w:tcW w:w="200" w:type="dxa"/>
            <w:vAlign w:val="bottom"/>
          </w:tcPr>
          <w:p>
            <w:pPr>
              <w:spacing w:after="0"/>
              <w:rPr>
                <w:sz w:val="17"/>
                <w:szCs w:val="17"/>
                <w:color w:val="auto"/>
              </w:rPr>
            </w:pPr>
          </w:p>
        </w:tc>
      </w:tr>
      <w:tr>
        <w:trPr>
          <w:trHeight w:val="236"/>
        </w:trPr>
        <w:tc>
          <w:tcPr>
            <w:tcW w:w="6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restricted common stock equivalents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Borders>
              <w:bottom w:val="single" w:sz="8" w:color="CCEEFF"/>
            </w:tcBorders>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58,460</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59,262</w:t>
            </w:r>
          </w:p>
        </w:tc>
        <w:tc>
          <w:tcPr>
            <w:tcW w:w="200" w:type="dxa"/>
            <w:vAlign w:val="bottom"/>
            <w:tcBorders>
              <w:bottom w:val="single" w:sz="8" w:color="CCEEFF"/>
            </w:tcBorders>
          </w:tcPr>
          <w:p>
            <w:pPr>
              <w:spacing w:after="0"/>
              <w:rPr>
                <w:sz w:val="21"/>
                <w:szCs w:val="21"/>
                <w:color w:val="auto"/>
              </w:rPr>
            </w:pPr>
          </w:p>
        </w:tc>
      </w:tr>
      <w:tr>
        <w:trPr>
          <w:trHeight w:val="197"/>
        </w:trPr>
        <w:tc>
          <w:tcPr>
            <w:tcW w:w="6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CEEFF"/>
          </w:tcPr>
          <w:p>
            <w:pPr>
              <w:spacing w:after="0"/>
              <w:rPr>
                <w:sz w:val="18"/>
                <w:szCs w:val="18"/>
                <w:color w:val="auto"/>
              </w:rPr>
            </w:pPr>
          </w:p>
        </w:tc>
      </w:tr>
    </w:tbl>
    <w:p>
      <w:pPr>
        <w:spacing w:after="0" w:line="207" w:lineRule="exact"/>
        <w:rPr>
          <w:sz w:val="20"/>
          <w:szCs w:val="20"/>
          <w:color w:val="auto"/>
        </w:rPr>
      </w:pPr>
    </w:p>
    <w:p>
      <w:pPr>
        <w:ind w:left="540" w:hanging="490"/>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In addition, on March 29, 2025,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On March 29, 2025, we had outstanding purchase commitments on commenced capital projects of approximately $153.4 million.</w:t>
      </w:r>
    </w:p>
    <w:p>
      <w:pPr>
        <w:spacing w:after="0" w:line="16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0"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March 29, 2025, we had approximately $15.9 million in outstanding payment and performance bonds for open projects. We had approximately $19.7 million in payment and performance bonds outstanding for completed projects which are still under warranty.</w:t>
      </w:r>
    </w:p>
    <w:p>
      <w:pPr>
        <w:spacing w:after="0" w:line="189"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On March 29, 2025, we had outstanding letters of credit totaling $39.6 million, primarily related to certain insurance contracts, industrial development revenue bonds, and other debt agreements described further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and other third parties to guarantee our performance under certain insurance contracts and other legal agreements. As of March 29, 2025, we have irrevocable letters of credit outstanding totaling approximately $36.3 million for these types of arrangements. We have reserves recorded on our balance sheet, in accrued liabilities, that reflect our expected future liabilities under those insurance arrangements.</w:t>
      </w:r>
    </w:p>
    <w:p>
      <w:pPr>
        <w:spacing w:after="0" w:line="183" w:lineRule="exact"/>
        <w:rPr>
          <w:sz w:val="20"/>
          <w:szCs w:val="20"/>
          <w:color w:val="auto"/>
        </w:rPr>
      </w:pPr>
    </w:p>
    <w:p>
      <w:pPr>
        <w:jc w:val="both"/>
        <w:ind w:left="60" w:right="79" w:firstLine="492"/>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first quarter of 2025 which would require us to recognize a liability on our balance sheet.</w:t>
      </w:r>
    </w:p>
    <w:p>
      <w:pPr>
        <w:spacing w:after="0" w:line="158" w:lineRule="exact"/>
        <w:rPr>
          <w:sz w:val="20"/>
          <w:szCs w:val="20"/>
          <w:color w:val="auto"/>
        </w:rPr>
      </w:pPr>
    </w:p>
    <w:p>
      <w:pPr>
        <w:ind w:left="500" w:hanging="450"/>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We completed the following acquisitions since the end of March 2024, which were accounted for using the purchase method. Dollars below are in thousands unless otherwise noted:</w:t>
      </w:r>
    </w:p>
    <w:p>
      <w:pPr>
        <w:spacing w:after="0" w:line="173" w:lineRule="exact"/>
        <w:rPr>
          <w:sz w:val="20"/>
          <w:szCs w:val="20"/>
          <w:color w:val="auto"/>
        </w:rPr>
      </w:pPr>
    </w:p>
    <w:tbl>
      <w:tblPr>
        <w:tblLayout w:type="fixed"/>
        <w:tblInd w:w="5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7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80" w:type="dxa"/>
            <w:vAlign w:val="bottom"/>
          </w:tcPr>
          <w:p>
            <w:pPr>
              <w:spacing w:after="0"/>
              <w:rPr>
                <w:sz w:val="17"/>
                <w:szCs w:val="17"/>
                <w:color w:val="auto"/>
              </w:rPr>
            </w:pPr>
          </w:p>
        </w:tc>
        <w:tc>
          <w:tcPr>
            <w:tcW w:w="9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Tangible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25"/>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$29,901</w:t>
            </w: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18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December 23, 2024</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12,662</w:t>
            </w:r>
          </w:p>
        </w:tc>
        <w:tc>
          <w:tcPr>
            <w:tcW w:w="180" w:type="dxa"/>
            <w:vAlign w:val="bottom"/>
            <w:shd w:val="clear" w:color="auto" w:fill="CCEB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17,239</w:t>
            </w:r>
          </w:p>
        </w:tc>
        <w:tc>
          <w:tcPr>
            <w:tcW w:w="8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Packaging</w:t>
            </w: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C&amp;L Wood Products (C&amp;L)</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asset purchase</w:t>
            </w: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18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6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Hartselle, AL and founded in 1975, C&amp;L is a manufacturer of machine-built pallets,</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mulch, and other wood products. The company had trailing 12-month sales of approximately $25</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360" w:type="dxa"/>
            <w:vAlign w:val="bottom"/>
            <w:tcBorders>
              <w:bottom w:val="single" w:sz="8" w:color="auto"/>
            </w:tcBorders>
            <w:gridSpan w:val="3"/>
            <w:shd w:val="clear" w:color="auto" w:fill="CCEBFF"/>
          </w:tcPr>
          <w:p>
            <w:pPr>
              <w:spacing w:after="0"/>
              <w:rPr>
                <w:sz w:val="20"/>
                <w:szCs w:val="20"/>
                <w:color w:val="auto"/>
              </w:rPr>
            </w:pPr>
            <w:r>
              <w:rPr>
                <w:rFonts w:ascii="Times New Roman" w:cs="Times New Roman" w:eastAsia="Times New Roman" w:hAnsi="Times New Roman"/>
                <w:sz w:val="16"/>
                <w:szCs w:val="16"/>
                <w:color w:val="auto"/>
              </w:rPr>
              <w:t>million through November 2024.</w:t>
            </w: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18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intangible assets for the above investment have not been finalized and allocated to their respective identifiable asset and goodwill accounts. This investment contributed approximately $6.1 million to net sales and $0.2 million to operating profits during the first three months of 2025.</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business combination mentioned above was not significant to our operating results and thus pro forma results for 2025 and 2024 are not presented.</w:t>
      </w:r>
    </w:p>
    <w:p>
      <w:pPr>
        <w:spacing w:after="0" w:line="158" w:lineRule="exact"/>
        <w:rPr>
          <w:sz w:val="20"/>
          <w:szCs w:val="20"/>
          <w:color w:val="auto"/>
        </w:rPr>
      </w:pPr>
    </w:p>
    <w:p>
      <w:pPr>
        <w:ind w:left="560" w:hanging="510"/>
        <w:spacing w:after="0"/>
        <w:tabs>
          <w:tab w:leader="none" w:pos="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ASC 280, Segment Reporting (“ASC 280”), defines operating segments as components of an enterprise about which separate financial information is available that is evaluated regularly by the chief operating decision maker (“CODM”) in deciding how to allocate resources and in assessing performance. Our CODM is the chief executive officer, as he has the ultimate decision-making authority related to assessing the Company’s performance and allocating resources. The CODM assesses performance for our segments and decides how to allocate resources based on net sales, cost of goods sold, earnings from operations and net earnings. These metrics are also reported on the Consolidated Statement of Earnings and Comprehensive Income. The measure of segment assets is reported on the Consolidated Balance Sheet as total consolidated assets. The CODM uses earnings from operations and net earnings to evaluate income generated from segment assets (return on investment) in determining wage increase allocations and bonus pools, and in deciding whether to reinvest profits into the business, such as for acquisitions, or to pay dividends.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UFP Retail Solutions, UFP Packaging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w:t>
      </w:r>
    </w:p>
    <w:p>
      <w:pPr>
        <w:spacing w:after="0" w:line="18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packaging operations in Mexico, Canada, Spain, India, United Arab Emirates and Australia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6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“Corporate” includes purchasing, transportation, corporate ventures, and administrative functions that serve our operating segments. Operating results of Corporate primarily consist of net sales to external customers initiated by UFP Purchasing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and certain property, equipment and other assets pertaining to the centralized activities of Corporate, UFP Real Estate, Inc., UFP Transportation, Inc., and UFP Purchasing, Inc. Real estate activities are conducted by the real estate company on behalf of the segments, and capital expenditures associated with real estate are allocated to the segments.</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tables below are presented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100" w:type="dxa"/>
            <w:vAlign w:val="bottom"/>
            <w:tcBorders>
              <w:top w:val="single" w:sz="8" w:color="auto"/>
              <w:bottom w:val="single" w:sz="8" w:color="auto"/>
            </w:tcBorders>
            <w:gridSpan w:val="10"/>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4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0"/>
                <w:szCs w:val="10"/>
                <w:color w:val="auto"/>
              </w:rPr>
            </w:pPr>
          </w:p>
        </w:tc>
        <w:tc>
          <w:tcPr>
            <w:tcW w:w="800" w:type="dxa"/>
            <w:vAlign w:val="bottom"/>
            <w:gridSpan w:val="2"/>
          </w:tcPr>
          <w:p>
            <w:pPr>
              <w:jc w:val="right"/>
              <w:ind w:right="44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607,383</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410,008</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515,940</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(64,645)</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(26,561)</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(90,484)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526,088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(14,005)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(10,718)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995,830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341,947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100" w:type="dxa"/>
            <w:vAlign w:val="bottom"/>
            <w:tcBorders>
              <w:top w:val="single" w:sz="8" w:color="auto"/>
              <w:bottom w:val="single" w:sz="8" w:color="auto"/>
            </w:tcBorders>
            <w:gridSpan w:val="10"/>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4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0"/>
                <w:szCs w:val="10"/>
                <w:color w:val="auto"/>
              </w:rPr>
            </w:pPr>
          </w:p>
        </w:tc>
        <w:tc>
          <w:tcPr>
            <w:tcW w:w="800" w:type="dxa"/>
            <w:vAlign w:val="bottom"/>
            <w:gridSpan w:val="2"/>
          </w:tcPr>
          <w:p>
            <w:pPr>
              <w:jc w:val="right"/>
              <w:ind w:right="44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0"/>
                <w:szCs w:val="10"/>
                <w:color w:val="auto"/>
              </w:rPr>
            </w:pPr>
          </w:p>
        </w:tc>
        <w:tc>
          <w:tcPr>
            <w:tcW w:w="8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gridSpan w:val="3"/>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628,765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424,418</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1,638,966</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(171,564)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527,641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1,312,888</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101,124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114,335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326,078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192,059</w:t>
            </w: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(gain) loss on disposition and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(13,575)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146,586</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25,487</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25,328</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121,099</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30,019</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966,544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310,360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4,078,639</w:t>
            </w: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goodwill by segment as of March 29, 2025, and December 28, 2024 (in thousands):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28,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$ 84,116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$ 146,747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$ 21,575</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$ 339,839</w:t>
            </w:r>
          </w:p>
        </w:tc>
        <w:tc>
          <w:tcPr>
            <w:tcW w:w="20" w:type="dxa"/>
            <w:vAlign w:val="bottom"/>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Purchase Accounting Adjustments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Net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Pr>
          <w:p>
            <w:pPr>
              <w:spacing w:after="0"/>
              <w:rPr>
                <w:sz w:val="20"/>
                <w:szCs w:val="20"/>
                <w:color w:val="auto"/>
              </w:rPr>
            </w:pPr>
          </w:p>
        </w:tc>
      </w:tr>
      <w:tr>
        <w:trPr>
          <w:trHeight w:val="203"/>
        </w:trPr>
        <w:tc>
          <w:tcPr>
            <w:tcW w:w="37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as of March 29, 2025</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$ 84,115</w:t>
            </w: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$ 146,759</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87,434</w:t>
            </w: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$ 21,947</w:t>
            </w: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$ 340,255</w:t>
            </w:r>
          </w:p>
        </w:tc>
        <w:tc>
          <w:tcPr>
            <w:tcW w:w="2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37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7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net sales (in thousands) by business unit for each segment for the three months ended March 29, 2025, and March 30, 2024 (in thousands).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r>
      <w:tr>
        <w:trPr>
          <w:trHeight w:val="191"/>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80"/>
        </w:trPr>
        <w:tc>
          <w:tcPr>
            <w:tcW w:w="6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Retail</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Deckorators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74,135</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ProWood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553,245</w:t>
            </w:r>
          </w:p>
        </w:tc>
        <w:tc>
          <w:tcPr>
            <w:tcW w:w="160" w:type="dxa"/>
            <w:vAlign w:val="bottom"/>
            <w:shd w:val="clear" w:color="auto" w:fill="CCEEFF"/>
          </w:tcPr>
          <w:p>
            <w:pPr>
              <w:spacing w:after="0"/>
              <w:rPr>
                <w:sz w:val="18"/>
                <w:szCs w:val="18"/>
                <w:color w:val="auto"/>
              </w:rPr>
            </w:pPr>
          </w:p>
        </w:tc>
      </w:tr>
      <w:tr>
        <w:trPr>
          <w:trHeight w:val="223"/>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60" w:type="dxa"/>
            <w:vAlign w:val="bottom"/>
            <w:tcBorders>
              <w:bottom w:val="single" w:sz="8" w:color="CCEEFF"/>
            </w:tcBorders>
          </w:tcPr>
          <w:p>
            <w:pPr>
              <w:spacing w:after="0"/>
              <w:rPr>
                <w:sz w:val="19"/>
                <w:szCs w:val="19"/>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Retail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628,765</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Structural Packaging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255,982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274,150</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PalletOne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132,490</w:t>
            </w:r>
          </w:p>
        </w:tc>
        <w:tc>
          <w:tcPr>
            <w:tcW w:w="160" w:type="dxa"/>
            <w:vAlign w:val="bottom"/>
            <w:shd w:val="clear" w:color="auto" w:fill="CCEEFF"/>
          </w:tcPr>
          <w:p>
            <w:pPr>
              <w:spacing w:after="0"/>
              <w:rPr>
                <w:sz w:val="18"/>
                <w:szCs w:val="18"/>
                <w:color w:val="auto"/>
              </w:rPr>
            </w:pPr>
          </w:p>
        </w:tc>
      </w:tr>
      <w:tr>
        <w:trPr>
          <w:trHeight w:val="223"/>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Protective Packaging</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60" w:type="dxa"/>
            <w:vAlign w:val="bottom"/>
            <w:tcBorders>
              <w:bottom w:val="single" w:sz="8" w:color="CCEEFF"/>
            </w:tcBorders>
          </w:tcPr>
          <w:p>
            <w:pPr>
              <w:spacing w:after="0"/>
              <w:rPr>
                <w:sz w:val="19"/>
                <w:szCs w:val="19"/>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Packaging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424,418</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Factory Built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217,219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191,834</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Site Built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221,559</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61,384</w:t>
            </w:r>
          </w:p>
        </w:tc>
        <w:tc>
          <w:tcPr>
            <w:tcW w:w="160" w:type="dxa"/>
            <w:vAlign w:val="bottom"/>
          </w:tcPr>
          <w:p>
            <w:pPr>
              <w:spacing w:after="0"/>
              <w:rPr>
                <w:sz w:val="18"/>
                <w:szCs w:val="18"/>
                <w:color w:val="auto"/>
              </w:rPr>
            </w:pPr>
          </w:p>
        </w:tc>
      </w:tr>
      <w:tr>
        <w:trPr>
          <w:trHeight w:val="236"/>
        </w:trPr>
        <w:tc>
          <w:tcPr>
            <w:tcW w:w="6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Concrete Forming</w:t>
            </w: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43,119</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03"/>
        </w:trPr>
        <w:tc>
          <w:tcPr>
            <w:tcW w:w="6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Construction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515,940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517,896</w:t>
            </w:r>
          </w:p>
        </w:tc>
        <w:tc>
          <w:tcPr>
            <w:tcW w:w="160" w:type="dxa"/>
            <w:vAlign w:val="bottom"/>
          </w:tcPr>
          <w:p>
            <w:pPr>
              <w:spacing w:after="0"/>
              <w:rPr>
                <w:sz w:val="17"/>
                <w:szCs w:val="17"/>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66,947</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tcPr>
          <w:p>
            <w:pPr>
              <w:spacing w:after="0"/>
              <w:rPr>
                <w:sz w:val="18"/>
                <w:szCs w:val="18"/>
                <w:color w:val="auto"/>
              </w:rPr>
            </w:pPr>
          </w:p>
        </w:tc>
      </w:tr>
      <w:tr>
        <w:trPr>
          <w:trHeight w:val="236"/>
        </w:trPr>
        <w:tc>
          <w:tcPr>
            <w:tcW w:w="6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03"/>
        </w:trPr>
        <w:tc>
          <w:tcPr>
            <w:tcW w:w="6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1,595,519</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1,638,966</w:t>
            </w:r>
          </w:p>
        </w:tc>
        <w:tc>
          <w:tcPr>
            <w:tcW w:w="16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hanging="510"/>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21.1% in the first quarter of 2025 compared to 17.4% in the same period of 2024. The increase in our effective tax rate for the first quarter was primarily due to a decrease in our tax deduction from stock-based compensation accounted for as a permanent difference.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480" w:hanging="430"/>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279" w:firstLine="492"/>
        <w:spacing w:after="0" w:line="282" w:lineRule="auto"/>
        <w:rPr>
          <w:sz w:val="20"/>
          <w:szCs w:val="20"/>
          <w:color w:val="auto"/>
        </w:rPr>
      </w:pPr>
      <w:r>
        <w:rPr>
          <w:rFonts w:ascii="Times New Roman" w:cs="Times New Roman" w:eastAsia="Times New Roman" w:hAnsi="Times New Roman"/>
          <w:sz w:val="18"/>
          <w:szCs w:val="18"/>
          <w:color w:val="auto"/>
        </w:rPr>
        <w:t>Below is a summary of common stock issuances for the first three months of 2025 and 2024 (in thousands, except average share price):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3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18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6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00" w:type="dxa"/>
            <w:vAlign w:val="bottom"/>
            <w:tcBorders>
              <w:bottom w:val="single" w:sz="8" w:color="auto"/>
            </w:tcBorders>
            <w:gridSpan w:val="2"/>
            <w:vMerge w:val="continue"/>
          </w:tcPr>
          <w:p>
            <w:pPr>
              <w:spacing w:after="0"/>
              <w:rPr>
                <w:sz w:val="11"/>
                <w:szCs w:val="11"/>
                <w:color w:val="auto"/>
              </w:rPr>
            </w:pPr>
          </w:p>
        </w:tc>
        <w:tc>
          <w:tcPr>
            <w:tcW w:w="53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under the director compensation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under the executive stock match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109.82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2025, we repurchased 649,060 shares of our common stock at an average share price of $108.00.</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116.27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grants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113.13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99" w:firstLine="492"/>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2024, we repurchased approximately 319,295 shares of our common stock at an average share price of $114.74.</w:t>
      </w:r>
    </w:p>
    <w:p>
      <w:pPr>
        <w:spacing w:after="0" w:line="158" w:lineRule="exact"/>
        <w:rPr>
          <w:sz w:val="20"/>
          <w:szCs w:val="20"/>
          <w:color w:val="auto"/>
        </w:rPr>
      </w:pPr>
    </w:p>
    <w:p>
      <w:pPr>
        <w:ind w:left="500" w:hanging="450"/>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w:t>
      </w:r>
    </w:p>
    <w:p>
      <w:pPr>
        <w:spacing w:after="0" w:line="18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Condensed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 The lower of cost or net realizable value adjustments to inventory were not significant as of March 29, 2025 and March 30, 2024.</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560" w:hanging="510"/>
        <w:spacing w:after="0"/>
        <w:tabs>
          <w:tab w:leader="none" w:pos="5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Subsequent to our reporting date, we repurchased 1,153,370 shares for $120.6 million, at an average share price of</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UFP Industries, Inc. is a holding company with subsidiaries in North America, Europe, Asia, and Australia that design, manufacture, and supply products made from wood, wood and non-wood composites, and other materials to three segments: retail, packaging, and construction. Our business segments are functionally interdependent and are supported by common corporate services, such as accounting and finance, information technology, human resources, marketing, purchasing, transportation, legal and compliance, among others. We regularly invest in automation and implement best practices to improve the efficiency of our manufacturing facilities across each of the segments. The results and improvements from these investments are shared among the segments. This exchange of ideas drives faster innovation for new products, processes, and product improvements. While the majority of our facilities serve only one business segment, many of our larger facilities serve two or more segments.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believe that our operating structure allows us to better evaluate market conditions and opportunities and more effectively allocate capital and resources to the appropriate segments and business units. Also, we believe our diversification and manner in which we operate our business provide an inherent hedge against the business cycles our end markets experience and over which we have limited control. Accordingly, we have the ability to provide more stable earnings and cash flows to our shareholders. Our diversification and operating practices also mitigate the impact that more volatile lumber market conditions have on traditional lumber companies. We are headquartered in Grand Rapids, Mich.</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changes in tariffs, import/export regulations, and other trade policies; concentration of sales to customers; the success of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and potential pandemics. Certain of these risk factors as well as other risk factors and additional information are included in our reports on Form 10-K and 10-Q on file with the Securities and Exchange Commission.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results for the first quarter of 2025 include the following highlights:</w:t>
      </w:r>
    </w:p>
    <w:p>
      <w:pPr>
        <w:spacing w:after="0" w:line="225" w:lineRule="exact"/>
        <w:rPr>
          <w:sz w:val="20"/>
          <w:szCs w:val="20"/>
          <w:color w:val="auto"/>
        </w:rPr>
      </w:pPr>
    </w:p>
    <w:p>
      <w:pPr>
        <w:jc w:val="both"/>
        <w:ind w:left="880" w:right="79" w:hanging="317"/>
        <w:spacing w:after="0" w:line="256"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decreased 3% compared to the first quarter of 2024, which was comprised of a 1% decrease in selling prices and a 2% decrease in unit sales. The overall decrease in our selling prices is primarily due to more competitive pricing in our Site-Built and Structural Packaging business units. Organic unit sales changes consist of decreases of 4% in our retail segment and 3% in our packaging segment, partially offset by an increase of 3% in our construction segment. An acquired business contributed a 1% unit increase in our packaging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880" w:right="79" w:hanging="317"/>
        <w:spacing w:after="0" w:line="258"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profits decreased by $58 million, or 18%, compared to the same period of the prior year. By segment, gross profits decreased by $24 million in Construction, $16 million in Packaging, and $20 million in Retail. The overall decrease in our gross profits is primarily due to volume decreases in our Retail and Packaging segments, competitive pricing in our Site Built and Structural Packaging business units, and an increase in material costs in our ProWood, Structural Packaging and Pallet One business units.</w:t>
      </w:r>
    </w:p>
    <w:p>
      <w:pPr>
        <w:spacing w:after="0" w:line="183"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decreased $42 million, or 31%, compared to the first quarter of 2024. The overall decrease is a result of the decrease in gross profits mentioned above partially offset by a decrease in selling, general, and administrative (“SG&amp;A”) expenses. Our SG&amp;A decreased primarily due to bonus expense and other incentive compensation tied to profitability and return on investment.</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used in operations was $109 million in the first three months of 2025 compared to $17 million during the first three months of 2024. The $92 million decline resulted from a decrease in net earnings and non-cash expenses of $37 million and an increase in our investment in net working capital since year end that was $55 million higher in the first three months of 2025 than it was in 2024.</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at the end of March 2025 was $904 million compared to $980 million at the end of March 2024. Our unused borrowing capacity under our revolving credit facility and a shelf agreement with certain lenders along with our cash resulted in total liquidity of approximately $2.2 billion at the end of the first quarter of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The following table presents the Random Lengths framing lumber composite price:</w:t>
      </w:r>
    </w:p>
    <w:p>
      <w:pPr>
        <w:spacing w:after="0" w:line="214"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average</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percentage change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almost two-thirds of our total lumber purchases.</w:t>
      </w:r>
    </w:p>
    <w:p>
      <w:pPr>
        <w:spacing w:after="0" w:line="169"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Random Lengths SYP</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3320" w:type="dxa"/>
            <w:vAlign w:val="bottom"/>
            <w:tcBorders>
              <w:bottom w:val="single" w:sz="8" w:color="CCEEFF"/>
            </w:tcBorders>
          </w:tcPr>
          <w:p>
            <w:pPr>
              <w:spacing w:after="0"/>
              <w:rPr>
                <w:sz w:val="14"/>
                <w:szCs w:val="14"/>
                <w:color w:val="auto"/>
              </w:rPr>
            </w:pPr>
          </w:p>
        </w:tc>
        <w:tc>
          <w:tcPr>
            <w:tcW w:w="35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average</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percentage change</w:t>
            </w:r>
          </w:p>
        </w:tc>
        <w:tc>
          <w:tcPr>
            <w:tcW w:w="3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5.8 %</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64"/>
        </w:trPr>
        <w:tc>
          <w:tcPr>
            <w:tcW w:w="3320" w:type="dxa"/>
            <w:vAlign w:val="bottom"/>
          </w:tcPr>
          <w:p>
            <w:pPr>
              <w:spacing w:after="0"/>
              <w:rPr>
                <w:sz w:val="24"/>
                <w:szCs w:val="24"/>
                <w:color w:val="auto"/>
              </w:rPr>
            </w:pP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3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Higher overall lumber prices in 2025 compared to 2024 is primarily due to increased end market demand in the U.S. as well as various supply constraints. A change in lumber prices impacts profitability of products sold with fixed and variable prices, as discussed below. If recently proposed tariffs are enforced, which have been paused in Mexico and Canada, the demand for domestic product is expected to increase, which will likely increase costs as capacity gets challenged. Although the trade landscape continues to evolve, since we do not own any foreign sawmills and have excellent relationships with our mill partners, we believe we are currently in a strong position to adapt quickly to tariffs without material adverse financial impact after a short adjustment period. We will continue to monitor the market and make decisions quickly to minimize disruption. As of March 29, 2025, 84% of our lumber purchases are from domestic suppliers and 15% are imported from Canada and other international suppliers.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dollar sales levels (and working capital requirements) are impacted by the lumber costs of our products. Lumber costs were 43.8% and 39.8% of our sales in the first three months of 2025 and 2024, respectively.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Additionally, as explained below, product categories can be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5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187" w:lineRule="exact"/>
        <w:rPr>
          <w:rFonts w:ascii="Times New Roman" w:cs="Times New Roman" w:eastAsia="Times New Roman" w:hAnsi="Times New Roman"/>
          <w:sz w:val="18"/>
          <w:szCs w:val="18"/>
          <w:color w:val="auto"/>
        </w:rPr>
      </w:pPr>
    </w:p>
    <w:p>
      <w:pPr>
        <w:jc w:val="both"/>
        <w:ind w:left="880" w:right="79" w:hanging="317"/>
        <w:spacing w:after="0" w:line="255"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customers’ needs and carry appropriate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89" w:lineRule="exact"/>
        <w:rPr>
          <w:sz w:val="20"/>
          <w:szCs w:val="20"/>
          <w:color w:val="auto"/>
        </w:rPr>
      </w:pPr>
    </w:p>
    <w:p>
      <w:pPr>
        <w:jc w:val="both"/>
        <w:ind w:left="540" w:right="59"/>
        <w:spacing w:after="0" w:line="266" w:lineRule="auto"/>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 As a result of the balance in our net sales to each of our end markets, we believe our gross profits are more stable than those of our competitors who are less diversified.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3"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includes treated lumber, which comprised approximately 21% of our total net sales in the first three months of 2025. This exposure is less significant with remanufactured lumber, panel goods, other commodity-type items, and trusses sold to the manufactured housing market due to the higher rate of inventory turnover. We attempt to mitigate the risk associated with treated lumber through managed inventory programs with our vendors. We estimate that 14% of our total purchases for the first three months of 2025 were transacted under these programs. (</w:t>
      </w:r>
      <w:r>
        <w:rPr>
          <w:rFonts w:ascii="Times New Roman" w:cs="Times New Roman" w:eastAsia="Times New Roman" w:hAnsi="Times New Roman"/>
          <w:sz w:val="18"/>
          <w:szCs w:val="18"/>
          <w:i w:val="1"/>
          <w:iCs w:val="1"/>
          <w:color w:val="auto"/>
        </w:rPr>
        <w:t>Please refer to the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section of our annual report on form 10-K, filed with the United States Securities and Exchange Commission.</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the impact of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8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8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 AND ASSET PURCHASES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completed one business acquisition in fiscal 2024. The annual historical sales attributable to this acquisition are approximately $25 million. This business combination is not significant to our quarterly results and thus pro forma results for 2025 and 2024 are not presented.</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Notes to the Unaudited Condensed Consolidated Financial Statements, Note F, “Business Combinations” for additional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900" w:type="dxa"/>
            <w:vAlign w:val="bottom"/>
          </w:tcPr>
          <w:p>
            <w:pPr>
              <w:spacing w:after="0"/>
              <w:rPr>
                <w:sz w:val="15"/>
                <w:szCs w:val="15"/>
                <w:color w:val="auto"/>
              </w:rPr>
            </w:pPr>
          </w:p>
        </w:tc>
        <w:tc>
          <w:tcPr>
            <w:tcW w:w="20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6900" w:type="dxa"/>
            <w:vAlign w:val="bottom"/>
          </w:tcPr>
          <w:p>
            <w:pPr>
              <w:spacing w:after="0"/>
              <w:rPr>
                <w:sz w:val="10"/>
                <w:szCs w:val="10"/>
                <w:color w:val="auto"/>
              </w:rPr>
            </w:pPr>
          </w:p>
        </w:tc>
        <w:tc>
          <w:tcPr>
            <w:tcW w:w="1000" w:type="dxa"/>
            <w:vAlign w:val="bottom"/>
            <w:gridSpan w:val="2"/>
          </w:tcPr>
          <w:p>
            <w:pPr>
              <w:jc w:val="right"/>
              <w:ind w:right="210"/>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000" w:type="dxa"/>
            <w:vAlign w:val="bottom"/>
            <w:gridSpan w:val="2"/>
          </w:tcPr>
          <w:p>
            <w:pPr>
              <w:jc w:val="right"/>
              <w:ind w:right="23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80"/>
        </w:trPr>
        <w:tc>
          <w:tcPr>
            <w:tcW w:w="69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60" w:type="dxa"/>
            <w:vAlign w:val="bottom"/>
            <w:tcBorders>
              <w:bottom w:val="single" w:sz="8" w:color="CCEEFF"/>
            </w:tcBorders>
          </w:tcPr>
          <w:p>
            <w:pPr>
              <w:spacing w:after="0"/>
              <w:rPr>
                <w:sz w:val="18"/>
                <w:szCs w:val="18"/>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shd w:val="clear" w:color="auto" w:fill="CCEEFF"/>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spacing w:after="0"/>
              <w:rPr>
                <w:sz w:val="18"/>
                <w:szCs w:val="18"/>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disposition and impairment of assets</w:t>
            </w:r>
          </w:p>
        </w:tc>
        <w:tc>
          <w:tcPr>
            <w:tcW w:w="10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(0.8)</w:t>
            </w:r>
          </w:p>
        </w:tc>
      </w:tr>
      <w:tr>
        <w:trPr>
          <w:trHeight w:val="210"/>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CEEFF"/>
            </w:tcBorders>
          </w:tcPr>
          <w:p>
            <w:pPr>
              <w:spacing w:after="0"/>
              <w:rPr>
                <w:sz w:val="18"/>
                <w:szCs w:val="18"/>
                <w:color w:val="auto"/>
              </w:rPr>
            </w:pP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26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155"/>
        </w:trPr>
        <w:tc>
          <w:tcPr>
            <w:tcW w:w="6260" w:type="dxa"/>
            <w:vAlign w:val="bottom"/>
          </w:tcPr>
          <w:p>
            <w:pPr>
              <w:spacing w:after="0"/>
              <w:rPr>
                <w:sz w:val="13"/>
                <w:szCs w:val="13"/>
                <w:color w:val="auto"/>
              </w:rPr>
            </w:pPr>
          </w:p>
        </w:tc>
        <w:tc>
          <w:tcPr>
            <w:tcW w:w="2640" w:type="dxa"/>
            <w:vAlign w:val="bottom"/>
            <w:tcBorders>
              <w:bottom w:val="single" w:sz="8" w:color="auto"/>
            </w:tcBorders>
            <w:gridSpan w:val="3"/>
          </w:tcPr>
          <w:p>
            <w:pPr>
              <w:jc w:val="right"/>
              <w:ind w:right="57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6260" w:type="dxa"/>
            <w:vAlign w:val="bottom"/>
          </w:tcPr>
          <w:p>
            <w:pPr>
              <w:spacing w:after="0"/>
              <w:rPr>
                <w:sz w:val="10"/>
                <w:szCs w:val="10"/>
                <w:color w:val="auto"/>
              </w:rPr>
            </w:pPr>
          </w:p>
        </w:tc>
        <w:tc>
          <w:tcPr>
            <w:tcW w:w="1400" w:type="dxa"/>
            <w:vAlign w:val="bottom"/>
            <w:gridSpan w:val="2"/>
          </w:tcPr>
          <w:p>
            <w:pPr>
              <w:ind w:left="300"/>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240" w:type="dxa"/>
            <w:vAlign w:val="bottom"/>
          </w:tcPr>
          <w:p>
            <w:pPr>
              <w:jc w:val="right"/>
              <w:ind w:right="216"/>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80"/>
        </w:trPr>
        <w:tc>
          <w:tcPr>
            <w:tcW w:w="62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sold</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8"/>
                <w:szCs w:val="18"/>
                <w:color w:val="auto"/>
              </w:rPr>
            </w:pPr>
          </w:p>
        </w:tc>
        <w:tc>
          <w:tcPr>
            <w:tcW w:w="12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0"/>
                <w:szCs w:val="20"/>
                <w:color w:val="auto"/>
              </w:rPr>
            </w:pPr>
          </w:p>
        </w:tc>
        <w:tc>
          <w:tcPr>
            <w:tcW w:w="12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(17.2)</w:t>
            </w:r>
          </w:p>
        </w:tc>
      </w:tr>
    </w:tbl>
    <w:p>
      <w:pPr>
        <w:spacing w:after="0" w:line="1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(SG&amp;A) costs as a percentage of gross profit. Over time, we believe this ratio provides an enhanced view of our effectiveness in managing these costs given our strategies to enhance our capabilities and improve our value-added product offering and recognizing the higher relative level of SG&amp;A these strategies require. This ratio also mitigates the impact of changing lumber prices. The increase in the ratio of SG&amp;A as a percentage of gross profit from the prior year is primarily due to the impact of competitive pricing and higher material costs, which has reduced our gross profits.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24"/>
        </w:trPr>
        <w:tc>
          <w:tcPr>
            <w:tcW w:w="38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0" w:type="dxa"/>
            <w:vAlign w:val="bottom"/>
            <w:gridSpan w:val="2"/>
          </w:tcPr>
          <w:p>
            <w:pPr>
              <w:ind w:left="300"/>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620" w:type="dxa"/>
            <w:vAlign w:val="bottom"/>
          </w:tcPr>
          <w:p>
            <w:pPr>
              <w:spacing w:after="0"/>
              <w:rPr>
                <w:sz w:val="10"/>
                <w:szCs w:val="10"/>
                <w:color w:val="auto"/>
              </w:rPr>
            </w:pPr>
          </w:p>
        </w:tc>
        <w:tc>
          <w:tcPr>
            <w:tcW w:w="1140" w:type="dxa"/>
            <w:vAlign w:val="bottom"/>
          </w:tcPr>
          <w:p>
            <w:pPr>
              <w:jc w:val="right"/>
              <w:ind w:right="357"/>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gridSpan w:val="2"/>
          </w:tcPr>
          <w:p>
            <w:pPr>
              <w:spacing w:after="0"/>
              <w:rPr>
                <w:sz w:val="10"/>
                <w:szCs w:val="10"/>
                <w:color w:val="auto"/>
              </w:rPr>
            </w:pPr>
          </w:p>
        </w:tc>
      </w:tr>
      <w:tr>
        <w:trPr>
          <w:trHeight w:val="180"/>
        </w:trPr>
        <w:tc>
          <w:tcPr>
            <w:tcW w:w="38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268,196</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326,078</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176,254</w:t>
            </w:r>
          </w:p>
        </w:tc>
        <w:tc>
          <w:tcPr>
            <w:tcW w:w="24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64"/>
        </w:trPr>
        <w:tc>
          <w:tcPr>
            <w:tcW w:w="38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segments consist of UFP Retail Solutions (“Retail”), UFP Packaging (“Packaging”) and UFP Construction (“Construction”), and align with the end markets we serve. Among other advantages, this structure allows for a more specialized and consistent sales approach,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packaging operations in Mexico, Canada, Spain, India, and Australia and sales and buying offices in other parts of the world. Our International segment and Ardellis (our insurance captive) are included in the “All Other” column of the table below. The “Corporate” column includes purchasing, transportation, corporate ventures,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our operating results, for the periods indicated, by segment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410,008</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1,595,519</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340,434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(14,005)</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1,327,323</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268,196</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176,254</w:t>
            </w:r>
          </w:p>
        </w:tc>
        <w:tc>
          <w:tcPr>
            <w:tcW w:w="20" w:type="dxa"/>
            <w:vAlign w:val="bottom"/>
          </w:tcPr>
          <w:p>
            <w:pPr>
              <w:spacing w:after="0"/>
              <w:rPr>
                <w:sz w:val="20"/>
                <w:szCs w:val="20"/>
                <w:color w:val="auto"/>
              </w:rPr>
            </w:pP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0"/>
                <w:szCs w:val="20"/>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9"/>
                <w:szCs w:val="19"/>
                <w:color w:val="auto"/>
              </w:rPr>
            </w:pP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92,252</w:t>
            </w:r>
          </w:p>
        </w:tc>
        <w:tc>
          <w:tcPr>
            <w:tcW w:w="20" w:type="dxa"/>
            <w:vAlign w:val="bottom"/>
          </w:tcPr>
          <w:p>
            <w:pPr>
              <w:spacing w:after="0"/>
              <w:rPr>
                <w:sz w:val="19"/>
                <w:szCs w:val="19"/>
                <w:color w:val="auto"/>
              </w:rPr>
            </w:pPr>
          </w:p>
        </w:tc>
      </w:tr>
      <w:tr>
        <w:trPr>
          <w:trHeight w:val="385"/>
        </w:trPr>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424,418</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517,896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1,638,966</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338,978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(6,294)</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1,312,888</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326,078</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192,059</w:t>
            </w:r>
          </w:p>
        </w:tc>
        <w:tc>
          <w:tcPr>
            <w:tcW w:w="20" w:type="dxa"/>
            <w:vAlign w:val="bottom"/>
          </w:tcPr>
          <w:p>
            <w:pPr>
              <w:spacing w:after="0"/>
              <w:rPr>
                <w:sz w:val="20"/>
                <w:szCs w:val="20"/>
                <w:color w:val="auto"/>
              </w:rPr>
            </w:pP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(gain) loss 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0"/>
                <w:szCs w:val="20"/>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9"/>
                <w:szCs w:val="19"/>
                <w:color w:val="auto"/>
              </w:rPr>
            </w:pP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133,823</w:t>
            </w:r>
          </w:p>
        </w:tc>
        <w:tc>
          <w:tcPr>
            <w:tcW w:w="20" w:type="dxa"/>
            <w:vAlign w:val="bottom"/>
          </w:tcPr>
          <w:p>
            <w:pPr>
              <w:spacing w:after="0"/>
              <w:rPr>
                <w:sz w:val="19"/>
                <w:szCs w:val="19"/>
                <w:color w:val="auto"/>
              </w:rPr>
            </w:pPr>
          </w:p>
        </w:tc>
      </w:tr>
      <w:tr>
        <w:trPr>
          <w:trHeight w:val="86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for the periods indicated, as a percentage of net sales by segment.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0"/>
                <w:szCs w:val="20"/>
                <w:color w:val="auto"/>
              </w:rPr>
            </w:pPr>
          </w:p>
        </w:tc>
      </w:tr>
      <w:tr>
        <w:trPr>
          <w:trHeight w:val="198"/>
        </w:trPr>
        <w:tc>
          <w:tcPr>
            <w:tcW w:w="2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assets</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20"/>
                <w:szCs w:val="20"/>
                <w:color w:val="auto"/>
              </w:rPr>
            </w:pPr>
          </w:p>
        </w:tc>
      </w:tr>
      <w:tr>
        <w:trPr>
          <w:trHeight w:val="198"/>
        </w:trPr>
        <w:tc>
          <w:tcPr>
            <w:tcW w:w="2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(gain) loss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 impairment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assets</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primarily used to enhance outdoor living environments; for national home centers and other retailers; for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p>
      <w:pPr>
        <w:spacing w:after="0" w:line="183" w:lineRule="exact"/>
        <w:rPr>
          <w:sz w:val="20"/>
          <w:szCs w:val="20"/>
          <w:color w:val="auto"/>
        </w:rPr>
      </w:pPr>
    </w:p>
    <w:p>
      <w:pPr>
        <w:jc w:val="both"/>
        <w:ind w:left="380" w:right="79" w:hanging="330"/>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xml:space="preserve"> The following table presents estimates, for the periods indicated, of our percentage change in net sales attributable to changes in overall selling prices versus changes in units shipped by segment.</w:t>
      </w:r>
    </w:p>
    <w:p>
      <w:pPr>
        <w:spacing w:after="0" w:line="182" w:lineRule="exact"/>
        <w:rPr>
          <w:rFonts w:ascii="Times New Roman" w:cs="Times New Roman" w:eastAsia="Times New Roman" w:hAnsi="Times New Roman"/>
          <w:sz w:val="18"/>
          <w:szCs w:val="18"/>
          <w:color w:val="auto"/>
        </w:rPr>
      </w:pPr>
    </w:p>
    <w:p>
      <w:pPr>
        <w:ind w:left="6760" w:hanging="177"/>
        <w:spacing w:after="0"/>
        <w:tabs>
          <w:tab w:leader="none" w:pos="6760" w:val="left"/>
        </w:tabs>
        <w:numPr>
          <w:ilvl w:val="1"/>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482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3420" w:type="dxa"/>
            <w:vAlign w:val="bottom"/>
            <w:tcBorders>
              <w:top w:val="single" w:sz="8" w:color="auto"/>
              <w:bottom w:val="single" w:sz="8" w:color="auto"/>
            </w:tcBorders>
            <w:gridSpan w:val="9"/>
          </w:tcPr>
          <w:p>
            <w:pPr>
              <w:jc w:val="right"/>
              <w:ind w:right="640"/>
              <w:spacing w:after="0" w:line="155" w:lineRule="exact"/>
              <w:rPr>
                <w:sz w:val="20"/>
                <w:szCs w:val="20"/>
                <w:color w:val="auto"/>
              </w:rPr>
            </w:pPr>
            <w:r>
              <w:rPr>
                <w:rFonts w:ascii="Times New Roman" w:cs="Times New Roman" w:eastAsia="Times New Roman" w:hAnsi="Times New Roman"/>
                <w:sz w:val="14"/>
                <w:szCs w:val="14"/>
                <w:b w:val="1"/>
                <w:bCs w:val="1"/>
                <w:color w:val="auto"/>
              </w:rPr>
              <w:t>First Quarter 2025 versus First Quarter 2024</w:t>
            </w:r>
          </w:p>
        </w:tc>
        <w:tc>
          <w:tcPr>
            <w:tcW w:w="0" w:type="dxa"/>
            <w:vAlign w:val="bottom"/>
          </w:tcPr>
          <w:p>
            <w:pPr>
              <w:spacing w:after="0"/>
              <w:rPr>
                <w:sz w:val="1"/>
                <w:szCs w:val="1"/>
                <w:color w:val="auto"/>
              </w:rPr>
            </w:pPr>
          </w:p>
        </w:tc>
      </w:tr>
      <w:tr>
        <w:trPr>
          <w:trHeight w:val="124"/>
        </w:trPr>
        <w:tc>
          <w:tcPr>
            <w:tcW w:w="4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tcPr>
          <w:p>
            <w:pPr>
              <w:jc w:val="center"/>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6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Units</w:t>
            </w:r>
          </w:p>
        </w:tc>
        <w:tc>
          <w:tcPr>
            <w:tcW w:w="240" w:type="dxa"/>
            <w:vAlign w:val="bottom"/>
            <w:vMerge w:val="restart"/>
          </w:tcPr>
          <w:p>
            <w:pPr>
              <w:spacing w:after="0"/>
              <w:rPr>
                <w:sz w:val="12"/>
                <w:szCs w:val="12"/>
                <w:color w:val="auto"/>
              </w:rPr>
            </w:pPr>
          </w:p>
        </w:tc>
        <w:tc>
          <w:tcPr>
            <w:tcW w:w="9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80"/>
        </w:trPr>
        <w:tc>
          <w:tcPr>
            <w:tcW w:w="48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9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7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1.1 %  (11.0)%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43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101.1 %</w:t>
            </w:r>
          </w:p>
        </w:tc>
        <w:tc>
          <w:tcPr>
            <w:tcW w:w="100" w:type="dxa"/>
            <w:vAlign w:val="bottom"/>
            <w:shd w:val="clear" w:color="auto" w:fill="CCEEFF"/>
          </w:tcPr>
          <w:p>
            <w:pPr>
              <w:spacing w:after="0"/>
              <w:rPr>
                <w:sz w:val="24"/>
                <w:szCs w:val="24"/>
                <w:color w:val="auto"/>
              </w:rPr>
            </w:pPr>
          </w:p>
        </w:tc>
        <w:tc>
          <w:tcPr>
            <w:tcW w:w="16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  101.1 %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80" w:hanging="330"/>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geographically in our core businesses</w:t>
      </w:r>
      <w:r>
        <w:rPr>
          <w:rFonts w:ascii="Times New Roman" w:cs="Times New Roman" w:eastAsia="Times New Roman" w:hAnsi="Times New Roman"/>
          <w:sz w:val="18"/>
          <w:szCs w:val="18"/>
          <w:color w:val="auto"/>
        </w:rPr>
        <w:t>, domestically and internationally.</w:t>
      </w:r>
    </w:p>
    <w:p>
      <w:pPr>
        <w:spacing w:after="0" w:line="225" w:lineRule="exact"/>
        <w:rPr>
          <w:rFonts w:ascii="Times New Roman" w:cs="Times New Roman" w:eastAsia="Times New Roman" w:hAnsi="Times New Roman"/>
          <w:sz w:val="18"/>
          <w:szCs w:val="18"/>
          <w:color w:val="auto"/>
        </w:rPr>
      </w:pPr>
    </w:p>
    <w:p>
      <w:pPr>
        <w:jc w:val="both"/>
        <w:ind w:left="380" w:right="79" w:hanging="330"/>
        <w:spacing w:after="0" w:line="253"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Increasing our sales of “value-added” products and enhancing our product offering with new or improved products. </w:t>
      </w:r>
      <w:r>
        <w:rPr>
          <w:rFonts w:ascii="Times New Roman" w:cs="Times New Roman" w:eastAsia="Times New Roman" w:hAnsi="Times New Roman"/>
          <w:sz w:val="18"/>
          <w:szCs w:val="18"/>
          <w:color w:val="auto"/>
        </w:rPr>
        <w:t>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We estimate that approximately 79% of our sales consist of products we manufacture at our locations, while 21% of our sales consist of products manufactured by suppliers that we inventory and distribute to customers.</w:t>
      </w:r>
    </w:p>
    <w:p>
      <w:pPr>
        <w:spacing w:after="0" w:line="190" w:lineRule="exact"/>
        <w:rPr>
          <w:sz w:val="20"/>
          <w:szCs w:val="20"/>
          <w:color w:val="auto"/>
        </w:rPr>
      </w:pPr>
    </w:p>
    <w:p>
      <w:pPr>
        <w:ind w:left="38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by our segments: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r>
      <w:tr>
        <w:trPr>
          <w:trHeight w:val="156"/>
        </w:trPr>
        <w:tc>
          <w:tcPr>
            <w:tcW w:w="3740" w:type="dxa"/>
            <w:vAlign w:val="bottom"/>
          </w:tcPr>
          <w:p>
            <w:pPr>
              <w:spacing w:after="0"/>
              <w:rPr>
                <w:sz w:val="13"/>
                <w:szCs w:val="13"/>
                <w:color w:val="auto"/>
              </w:rPr>
            </w:pPr>
          </w:p>
        </w:tc>
        <w:tc>
          <w:tcPr>
            <w:tcW w:w="1260" w:type="dxa"/>
            <w:vAlign w:val="bottom"/>
            <w:tcBorders>
              <w:top w:val="single" w:sz="8" w:color="auto"/>
            </w:tcBorders>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1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Commodity-Based</w:t>
            </w:r>
          </w:p>
        </w:tc>
        <w:tc>
          <w:tcPr>
            <w:tcW w:w="160" w:type="dxa"/>
            <w:vAlign w:val="bottom"/>
          </w:tcPr>
          <w:p>
            <w:pPr>
              <w:spacing w:after="0"/>
              <w:rPr>
                <w:sz w:val="13"/>
                <w:szCs w:val="13"/>
                <w:color w:val="auto"/>
              </w:rPr>
            </w:pPr>
          </w:p>
        </w:tc>
        <w:tc>
          <w:tcPr>
            <w:tcW w:w="1260" w:type="dxa"/>
            <w:vAlign w:val="bottom"/>
            <w:tcBorders>
              <w:top w:val="single" w:sz="8" w:color="auto"/>
            </w:tcBorders>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Value-Added</w:t>
            </w:r>
          </w:p>
        </w:tc>
        <w:tc>
          <w:tcPr>
            <w:tcW w:w="11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Commodity-Based</w:t>
            </w:r>
          </w:p>
        </w:tc>
        <w:tc>
          <w:tcPr>
            <w:tcW w:w="160" w:type="dxa"/>
            <w:vAlign w:val="bottom"/>
          </w:tcPr>
          <w:p>
            <w:pPr>
              <w:spacing w:after="0"/>
              <w:rPr>
                <w:sz w:val="13"/>
                <w:szCs w:val="13"/>
                <w:color w:val="auto"/>
              </w:rPr>
            </w:pPr>
          </w:p>
        </w:tc>
      </w:tr>
      <w:tr>
        <w:trPr>
          <w:trHeight w:val="216"/>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6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60" w:type="dxa"/>
            <w:vAlign w:val="bottom"/>
            <w:shd w:val="clear" w:color="auto" w:fill="CCEEFF"/>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6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60" w:type="dxa"/>
            <w:vAlign w:val="bottom"/>
            <w:shd w:val="clear" w:color="auto" w:fill="CCEEFF"/>
          </w:tcPr>
          <w:p>
            <w:pPr>
              <w:spacing w:after="0"/>
              <w:rPr>
                <w:sz w:val="18"/>
                <w:szCs w:val="18"/>
                <w:color w:val="auto"/>
              </w:rPr>
            </w:pP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60" w:type="dxa"/>
            <w:vAlign w:val="bottom"/>
          </w:tcPr>
          <w:p>
            <w:pPr>
              <w:spacing w:after="0"/>
              <w:rPr>
                <w:sz w:val="20"/>
                <w:szCs w:val="20"/>
                <w:color w:val="auto"/>
              </w:rPr>
            </w:pPr>
          </w:p>
        </w:tc>
      </w:tr>
    </w:tbl>
    <w:p>
      <w:pPr>
        <w:spacing w:after="0" w:line="121"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99" w:lineRule="exact"/>
        <w:rPr>
          <w:sz w:val="20"/>
          <w:szCs w:val="20"/>
          <w:color w:val="auto"/>
        </w:rPr>
      </w:pPr>
    </w:p>
    <w:p>
      <w:pPr>
        <w:jc w:val="both"/>
        <w:ind w:left="380" w:right="80"/>
        <w:spacing w:after="0" w:line="266" w:lineRule="auto"/>
        <w:rPr>
          <w:sz w:val="20"/>
          <w:szCs w:val="20"/>
          <w:color w:val="auto"/>
        </w:rPr>
      </w:pPr>
      <w:r>
        <w:rPr>
          <w:rFonts w:ascii="Times New Roman" w:cs="Times New Roman" w:eastAsia="Times New Roman" w:hAnsi="Times New Roman"/>
          <w:sz w:val="18"/>
          <w:szCs w:val="18"/>
          <w:color w:val="auto"/>
        </w:rPr>
        <w:t>Our overall unit sales of value-added products were up 2% in the first quarter of 2025 compared to the same period last year. Our overall unit sales of commodity-based products decreased approximately 3% in the first quarter of 2025 compared to the same period last year.</w:t>
      </w:r>
    </w:p>
    <w:p>
      <w:pPr>
        <w:spacing w:after="0" w:line="176" w:lineRule="exact"/>
        <w:rPr>
          <w:sz w:val="20"/>
          <w:szCs w:val="20"/>
          <w:color w:val="auto"/>
        </w:rPr>
      </w:pPr>
    </w:p>
    <w:p>
      <w:pPr>
        <w:jc w:val="both"/>
        <w:ind w:left="380" w:right="100" w:hanging="330"/>
        <w:spacing w:after="0" w:line="254"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xml:space="preserve"> We define new products as those that will generate sales of at least $1 million per year within 4 years of launch and are still growing and gaining market penetration and meet our internal definition of value-added products. New product sales in the first quarter of 2025 decreased 9%, primarily due to a decline in unit sales in our structural packaging business unit. Approximately $15.9 million of new product sales for the first three months of 2024, while they continue to be sold, were sunset in 2025 and excluded from the table below because they no longer meet the definition above. Our short-term goal is to achieve annual new product sales of at least $550 million in 2025. For the first three months of 2025, new product sales totaled $106 million. Our long-term goal is for new products to comprise at least 10% of our total net sales.</w:t>
      </w:r>
    </w:p>
    <w:p>
      <w:pPr>
        <w:spacing w:after="0" w:line="19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new product sales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8"/>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6"/>
        </w:trPr>
        <w:tc>
          <w:tcPr>
            <w:tcW w:w="2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6"/>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24"/>
        </w:trPr>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right"/>
              <w:ind w:right="175"/>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20" w:type="dxa"/>
            <w:vAlign w:val="bottom"/>
          </w:tcPr>
          <w:p>
            <w:pPr>
              <w:spacing w:after="0"/>
              <w:rPr>
                <w:sz w:val="10"/>
                <w:szCs w:val="10"/>
                <w:color w:val="auto"/>
              </w:rPr>
            </w:pPr>
          </w:p>
        </w:tc>
        <w:tc>
          <w:tcPr>
            <w:tcW w:w="9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1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0"/>
                <w:szCs w:val="10"/>
                <w:color w:val="auto"/>
              </w:rPr>
            </w:pPr>
          </w:p>
        </w:tc>
      </w:tr>
      <w:tr>
        <w:trPr>
          <w:trHeight w:val="180"/>
        </w:trPr>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Sales</w:t>
            </w:r>
          </w:p>
        </w:tc>
      </w:tr>
      <w:tr>
        <w:trPr>
          <w:trHeight w:val="216"/>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18"/>
                <w:szCs w:val="18"/>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shd w:val="clear" w:color="auto" w:fill="CCEEFF"/>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103.8 %</w:t>
            </w:r>
          </w:p>
        </w:tc>
        <w:tc>
          <w:tcPr>
            <w:tcW w:w="280" w:type="dxa"/>
            <w:vAlign w:val="bottom"/>
          </w:tcPr>
          <w:p>
            <w:pPr>
              <w:spacing w:after="0"/>
              <w:rPr>
                <w:sz w:val="18"/>
                <w:szCs w:val="18"/>
                <w:color w:val="auto"/>
              </w:rPr>
            </w:pPr>
          </w:p>
        </w:tc>
      </w:tr>
      <w:tr>
        <w:trPr>
          <w:trHeight w:val="236"/>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Borders>
              <w:bottom w:val="single" w:sz="8" w:color="CCEEFF"/>
            </w:tcBorders>
            <w:shd w:val="clear" w:color="auto" w:fill="CCEEFF"/>
          </w:tcPr>
          <w:p>
            <w:pPr>
              <w:spacing w:after="0"/>
              <w:rPr>
                <w:sz w:val="20"/>
                <w:szCs w:val="20"/>
                <w:color w:val="auto"/>
              </w:rPr>
            </w:pPr>
          </w:p>
        </w:tc>
      </w:tr>
      <w:tr>
        <w:trPr>
          <w:trHeight w:val="203"/>
        </w:trPr>
        <w:tc>
          <w:tcPr>
            <w:tcW w:w="27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New Product Sales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106,288</w:t>
            </w:r>
          </w:p>
        </w:tc>
        <w:tc>
          <w:tcPr>
            <w:tcW w:w="9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117,211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17"/>
                <w:szCs w:val="17"/>
                <w:color w:val="auto"/>
              </w:rPr>
            </w:pPr>
          </w:p>
        </w:tc>
      </w:tr>
      <w:tr>
        <w:trPr>
          <w:trHeight w:val="20"/>
        </w:trPr>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Retail Segment</w:t>
      </w:r>
    </w:p>
    <w:p>
      <w:pPr>
        <w:spacing w:after="0" w:line="229" w:lineRule="exact"/>
        <w:rPr>
          <w:sz w:val="20"/>
          <w:szCs w:val="20"/>
          <w:color w:val="auto"/>
        </w:rPr>
      </w:pPr>
    </w:p>
    <w:p>
      <w:pPr>
        <w:jc w:val="both"/>
        <w:ind w:left="60" w:right="80"/>
        <w:spacing w:after="0" w:line="253" w:lineRule="auto"/>
        <w:rPr>
          <w:sz w:val="20"/>
          <w:szCs w:val="20"/>
          <w:color w:val="auto"/>
        </w:rPr>
      </w:pPr>
      <w:r>
        <w:rPr>
          <w:rFonts w:ascii="Times New Roman" w:cs="Times New Roman" w:eastAsia="Times New Roman" w:hAnsi="Times New Roman"/>
          <w:sz w:val="18"/>
          <w:szCs w:val="18"/>
          <w:color w:val="auto"/>
        </w:rPr>
        <w:t>Net sales in the first quarter of 2025 decreased by 3% compared to the same period of 2024 due to a 1% increase in selling prices and a 4% decrease in units. Unit changes within this segment consisted of decreases of 11% in Deckorators and 3% in ProWood. Our unit sales to big box customers, which we believe are more closely correlated with repair and remodel activity, decreased approximately 3%, while unit sales to independent retailers, which we believe are more closely correlated to new housing starts, decreased approximately 7%. Within our Deckorators business unit, our sales of wood-plastic composite decking, mineral-based-composite decking (sold under our new Surestone tradename) and railing systems decreased 14%. We believe our unit decline is due to a recent change in customer mix in which we lost market share with one big box customer and gained market share with another. For the remainder of the year we believe we will benefit from a modest net gain in market share as we begin stocking approximately 1,500 stores and continue to add capacity to produce our mineral-based composite decking. We expect to realize the full benefit of our net market share gain in 2026. Our long-term goal is to double our market share over the next 5 years.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40" w:right="1419"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$20 million, or 20% to $81 million for the first quarter of 2025 compared to the same period last year. The change in gross profit was attributable to the following:</w:t>
      </w:r>
    </w:p>
    <w:p>
      <w:pPr>
        <w:spacing w:after="0" w:line="162" w:lineRule="exact"/>
        <w:rPr>
          <w:sz w:val="20"/>
          <w:szCs w:val="20"/>
          <w:color w:val="auto"/>
        </w:rPr>
      </w:pPr>
    </w:p>
    <w:p>
      <w:pPr>
        <w:jc w:val="both"/>
        <w:ind w:left="720" w:right="7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ProWood business unit decreased by $12 million, primarily due to a decline in unit sales as a result of softer demand and an increase in material costs. The products sold by this business unit consist primarily of pressure treated lumber sold at a variable price indexed to the lumber market at the time they are shipped.</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Deckorators business unit decreased by $4 million due to lower unit sales as a result of a temporary decline in demand due to a strategic shift in the business discussed above and unfavorable cost variances as a result of fixed manufacturing costs.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remained flat in the first quarter of 2025 compared to the same period of 2024. Accrued bonus expense, which varies with the overall profitability and return on investment of the segment, decreased approximately $5 million from the first quarter of 2024 and totaled approximately $9 million for the quarter. This decrease, along with other smaller decreases in various accounts, was substantially offset by an increase in advertising of $5 million related to Deckorators.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Retail reportable segment decreased in the first quarter of 2025 compared to 2024 by $20 million, or 43%, as a result of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Packaging Segment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in the first quarter of 2025 decreased 3% compared to the same period of 2024, due to a 1% decrease in selling prices and a 3% decrease in organic unit sales, partially offset by an acquired business which contributed to 1% unit growth. Organic unit changes consist of decreases of 1% in PalletOne and 5% in Structural Packaging, primarily due to a decline in demand, partially offset by growth of 13% in Protective Packaging due to market share gains. The decrease in selling prices is due to competitive price pressure primarily in our Structural Packaging business unit.</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$16 million, or 19%, for the first quarter of 2025 compared to the same period last year. The change in gross profit was attributable to the following:</w:t>
      </w:r>
    </w:p>
    <w:p>
      <w:pPr>
        <w:spacing w:after="0" w:line="162" w:lineRule="exact"/>
        <w:rPr>
          <w:sz w:val="20"/>
          <w:szCs w:val="20"/>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a total of $11 million. The decline in gross profit is attributable to competitive price pressure and a decline in volume due to lower demand and an increase in material costs.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$5 million primarily due to competitive price pressure as a result of softer demand and an increase in material costs.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remained flat compared to last year.</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decreased by approximately $6 million, or 11%, in the first quarter of 2025 compared to the same period of 2024. Accrued bonus expense, which varies with the overall profitability and return on investment of the segment, decreased approximately $2 million relative to the same period of 2024, and totaled $8 million for the quarter. The remaining decrease is attributable to other incentives which declined by $1 million for this quarter as well as many smaller decreases in several accounts.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Packaging reportable segment decreased in the first quarter of 2025 compared to 2024 by $10 million, or 30%, due to the factors discussed above.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sales in the first quarter of 2025 remained flat compared to the same period of 2024 due to a 3% decrease in selling prices offset by a 3% organic unit increase. We experienced unit increases of 13% in factory-built, 4% in commercial construction, and 3% in concrete forming. Our growth in factory-built is primarily due to an increase in industry production. These increases were partially offset by a 5% decrease in site-built, primarily due to softer demand for housing. As of March 29, 2025 and March 30, 2024, we estimate that our backlog of orders in our site-built construction business unit were $65 million and $79 million, respectively. The decrease in pricing was primarily due to competitive price pressure in our site-built business unit.</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$24 million, or 21%, in the first quarter of 2025 compared to the same period of 2024. The change in our gross profit was comprised of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construction business unit decreased by $23 million, primarily due to a decline in unit sales and competitive price pressure due to softer demand.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decreased by $1 million due to increased labor and overhead costs associated with a plant closure and the transfer of volume to an existing plant, which temporarily increased costs.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factory-built business unit increased by $1 million due to an increase in unit sales, offset by an increase in material costs.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concrete-forming business unit remained flat.</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SG&amp;A decreased by approximately $6 million, or 9%, in the first quarter of 2025 compared to the same period of 2024. Accrued bonus expense declined by $4 million and totaled $10 million for the quarter. The decline in SG&amp;A was also attributable to other incentives and many smaller decreases in several accounts.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Construction reportable segment decreased in the first quarter of 2025 compared to 2024 by $18 million, or 39%,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21.1% in the first quarter of 2025 compared to 17.4% in the same period of 2024. The increase in our effective tax rate for the first quarter was primarily due to a decrease in our tax deduction from stock-based compensation accounted for as a permanent difference.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5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75"/>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74"/>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80"/>
        </w:trPr>
        <w:tc>
          <w:tcPr>
            <w:tcW w:w="574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(56,062)</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(68,968)</w:t>
            </w:r>
          </w:p>
        </w:tc>
      </w:tr>
      <w:tr>
        <w:trPr>
          <w:trHeight w:val="223"/>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(141,749)</w:t>
            </w:r>
          </w:p>
        </w:tc>
      </w:tr>
      <w:tr>
        <w:trPr>
          <w:trHeight w:val="223"/>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1,179,594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1,122,256</w:t>
            </w:r>
          </w:p>
        </w:tc>
      </w:tr>
      <w:tr>
        <w:trPr>
          <w:trHeight w:val="216"/>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904,623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980,507</w:t>
            </w:r>
          </w:p>
        </w:tc>
      </w:tr>
      <w:tr>
        <w:trPr>
          <w:trHeight w:val="20"/>
        </w:trPr>
        <w:tc>
          <w:tcPr>
            <w:tcW w:w="5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typically increases during our first and second quarters resulting in negative or modest cash flows from operations during those periods. Conversely, we tend to experience a substantial decrease in working capital once we move beyond our peak selling season which typically results in significant cash flows from operations in our third and fourth quarters.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of payables outstanding) is a good indicator of our working capital management. As indicated in the table below, our cash cycle was 62 days during the first quarter of 2025 and in the same period of the prior year.</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880" w:type="dxa"/>
            <w:vAlign w:val="bottom"/>
          </w:tcPr>
          <w:p>
            <w:pPr>
              <w:spacing w:after="0"/>
              <w:rPr>
                <w:sz w:val="15"/>
                <w:szCs w:val="15"/>
                <w:color w:val="auto"/>
              </w:rPr>
            </w:pPr>
          </w:p>
        </w:tc>
        <w:tc>
          <w:tcPr>
            <w:tcW w:w="20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6880" w:type="dxa"/>
            <w:vAlign w:val="bottom"/>
          </w:tcPr>
          <w:p>
            <w:pPr>
              <w:spacing w:after="0"/>
              <w:rPr>
                <w:sz w:val="10"/>
                <w:szCs w:val="10"/>
                <w:color w:val="auto"/>
              </w:rPr>
            </w:pPr>
          </w:p>
        </w:tc>
        <w:tc>
          <w:tcPr>
            <w:tcW w:w="1000" w:type="dxa"/>
            <w:vAlign w:val="bottom"/>
            <w:tcBorders>
              <w:top w:val="single" w:sz="8" w:color="auto"/>
            </w:tcBorders>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8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Pr>
          <w:p>
            <w:pPr>
              <w:spacing w:after="0"/>
              <w:rPr>
                <w:sz w:val="10"/>
                <w:szCs w:val="10"/>
                <w:color w:val="auto"/>
              </w:rPr>
            </w:pPr>
          </w:p>
        </w:tc>
      </w:tr>
      <w:tr>
        <w:trPr>
          <w:trHeight w:val="180"/>
        </w:trPr>
        <w:tc>
          <w:tcPr>
            <w:tcW w:w="68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sales outstanding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supply of inventory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payables outstanding</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r>
      <w:tr>
        <w:trPr>
          <w:trHeight w:val="203"/>
        </w:trPr>
        <w:tc>
          <w:tcPr>
            <w:tcW w:w="688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top w:val="single" w:sz="8" w:color="CCEEFF"/>
            </w:tcBorders>
          </w:tcPr>
          <w:p>
            <w:pPr>
              <w:spacing w:after="0"/>
              <w:rPr>
                <w:sz w:val="17"/>
                <w:szCs w:val="17"/>
                <w:color w:val="auto"/>
              </w:rPr>
            </w:pPr>
          </w:p>
        </w:tc>
      </w:tr>
      <w:tr>
        <w:trPr>
          <w:trHeight w:val="20"/>
        </w:trPr>
        <w:tc>
          <w:tcPr>
            <w:tcW w:w="6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continue to focus on past due account balances with customers, and the percentage of our accounts receivable that are current was 94% and 95% at the end of the first quarter of 2025 and 2024, respectively.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first three months of 2025, our cash flows used in operations were $109 million and were comprised of net earnings of $79 million, $51 million of non-cash expenses, and a $239 million increase in working capital since the end of December 2024. Our cash flows used in operations increased by $92 million compared to the same period of last year primarily due to the increase in our investment in net working capital since year end, which was $55 million higher in 2025 compared to 2024.</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Purchases of property, plant, and equipment of $67 million comprised most of our cash used in investing activities during the first three months of 2025. Outstanding purchase commitments on existing capital projects totaled approximately $153.4 million on March 29, 2025. Capital spending primarily consists of several projects to expand capacity to manufacture new and value-added products, primarily in our Packaging segment and our Site-Built and Deckorators business units, to achieve efficiencies through automation in all segments, and make improvements to a number of facilities. We intend to fund capital expenditures and purchase commitments through our operating cash flows for the balance of the year.</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flows used in financing activities during the first three months of 2025 primarily consisted of the following:</w:t>
      </w:r>
    </w:p>
    <w:p>
      <w:pPr>
        <w:spacing w:after="0" w:line="225" w:lineRule="exact"/>
        <w:rPr>
          <w:sz w:val="20"/>
          <w:szCs w:val="20"/>
          <w:color w:val="auto"/>
        </w:rPr>
      </w:pPr>
    </w:p>
    <w:p>
      <w:pPr>
        <w:jc w:val="both"/>
        <w:ind w:left="760" w:right="79" w:hanging="318"/>
        <w:spacing w:after="0" w:line="26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649,060 shares of our common stock for $70 million during the first three months of 2025 at an average price of $108.00 per share. Of this amount, 86,899 shares were repurchased in order to settle tax withholding obligations of long-term stock incentive plan participants’ awards which vested in February. The shares were purchased at an average price of $109.87 per share, totaling $10 million.</w:t>
      </w:r>
    </w:p>
    <w:p>
      <w:pPr>
        <w:spacing w:after="0" w:line="179"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during the first three months of 2025 were $21 million ($0.35 per share).</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March 29, 2025, we had no amount outstanding on our $750 million revolving credit facility, and we had approximately $713 million in remaining availability after considering $37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March 29, 2025.</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end of the first quarter of 2025, we had approximately $2.2 billion in total liquidity, consisting of our cash, remaining availability under our revolving credit facility, and a shelf agreement with certain lenders providing up to $575 million in remaining borrowing capacity.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Notes to Unaudited Consolidated Condensed Financial Statements, Note E, “Commitments, Contingencies, and Guarantees.”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28,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long-term financial goals include:</w:t>
      </w:r>
    </w:p>
    <w:p>
      <w:pPr>
        <w:spacing w:after="0" w:line="117" w:lineRule="exact"/>
        <w:rPr>
          <w:sz w:val="20"/>
          <w:szCs w:val="20"/>
          <w:color w:val="auto"/>
        </w:rPr>
      </w:pPr>
    </w:p>
    <w:p>
      <w:pPr>
        <w:ind w:left="720" w:right="1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annual unit sales by 7 to 10 percent (including smaller tuck-in acquisitions) with at least 10 percent of all sales coming from new products;</w:t>
      </w:r>
    </w:p>
    <w:p>
      <w:pPr>
        <w:spacing w:after="0" w:line="53"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sustaining a 12.5 percent EBITDA margin by continuing to enhance our capabilities and grow our portfolio and sales of value-added products, expanding geographically in our higher margin business units, and achieving operating improvements;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 an incremental return on new investment over our hurdle rate;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conservative capital structure.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believe improvements in demand in the end markets we serve and effectively executing our strategies will allow us to achieve our long-term goals. However, in the short-term, demand in our markets has contracted due to a variety of factors, which will continue to impact our results and vary depending on the severity and duration of this cycle. As a result of these more challenging conditions, we have developed and are executing plans to reduce or eliminate capacity of locations that are not meeting our profitability targets, exit business that does not meet our profitability targets, and reduce our SG&amp;A costs. Our goal through these actions is to lower our cost structure and improve our operating profits by $60 million by year-end 2026. We anticipate benefits of approximately $40 million by the end of 2025, including approximately $26 million from planned SG&amp;A cost reductions and $14 million from planned capacity reductions. In 2025 we anticipate these planned decreases will be offset a $20 million increase in advertising costs in our Deckorators business unit to build our Surestone brand and other increases primarily to pursue greenfield growth opportunities, technology improvements, and product innovation.</w:t>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factors should be considered when evaluating our future prospects:</w:t>
      </w:r>
    </w:p>
    <w:p>
      <w:pPr>
        <w:spacing w:after="0" w:line="117" w:lineRule="exact"/>
        <w:rPr>
          <w:sz w:val="20"/>
          <w:szCs w:val="20"/>
          <w:color w:val="auto"/>
        </w:rPr>
      </w:pPr>
    </w:p>
    <w:p>
      <w:pPr>
        <w:ind w:left="720" w:right="179" w:hanging="319"/>
        <w:spacing w:after="0" w:line="273" w:lineRule="auto"/>
        <w:tabs>
          <w:tab w:leader="none" w:pos="7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Lumber prices, which impact our cost of goods sold and selling prices, have normalized due to additional capacity added by sawmills and demand falling from peak levels. We anticipate lumber prices will remain near current levels, and experience more typical seasonal trends, until there is a substantial change in the balance of supply and demand. In the event higher duties on Canadian softwood lumber and new tariffs are enacted on imports generally, we anticipate lumber prices will increase accordingly. We believe we are currently in a strong position to adapt quickly to duties and tariffs without a material adverse financial impact after a short adjustment period. However, a widespread increase in tariffs may adversely impact demand in the markets we serve.</w:t>
      </w:r>
    </w:p>
    <w:p>
      <w:pPr>
        <w:spacing w:after="0" w:line="63" w:lineRule="exact"/>
        <w:rPr>
          <w:rFonts w:ascii="Times New Roman" w:cs="Times New Roman" w:eastAsia="Times New Roman" w:hAnsi="Times New Roman"/>
          <w:sz w:val="17"/>
          <w:szCs w:val="17"/>
          <w:color w:val="auto"/>
        </w:rPr>
      </w:pPr>
    </w:p>
    <w:p>
      <w:pPr>
        <w:ind w:left="720" w:right="9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accounted for 38% of our net sales for the first three months of 2025. When evaluating future demand for the segment, we analyze data such as the same-store sales growth of national home improvement retailers and forecasts of home remodeling activity. Based on this data, we currently anticipate market demand to be slightly down for the remainder of 2025.</w:t>
      </w:r>
    </w:p>
    <w:p>
      <w:pPr>
        <w:spacing w:after="0" w:line="71" w:lineRule="exact"/>
        <w:rPr>
          <w:rFonts w:ascii="Times New Roman" w:cs="Times New Roman" w:eastAsia="Times New Roman" w:hAnsi="Times New Roman"/>
          <w:sz w:val="18"/>
          <w:szCs w:val="18"/>
          <w:color w:val="auto"/>
        </w:rPr>
      </w:pPr>
    </w:p>
    <w:p>
      <w:pPr>
        <w:ind w:left="720" w:right="35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sales accounted for 26% of our net sales for the first three months of 2025. When evaluating future demand, we consider a number of metrics, including the Purchasing Managers Index (PMI), durable goods manufacturing, and U.S. real GDP. We currently believe overall demand in the markets we serve to be slightly down for the remainder of 2025.</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sales accounted for 32% of our net sales for the first three months of 2025.</w:t>
      </w:r>
    </w:p>
    <w:p>
      <w:pPr>
        <w:spacing w:after="0" w:line="117" w:lineRule="exact"/>
        <w:rPr>
          <w:rFonts w:ascii="Times New Roman" w:cs="Times New Roman" w:eastAsia="Times New Roman" w:hAnsi="Times New Roman"/>
          <w:sz w:val="18"/>
          <w:szCs w:val="18"/>
          <w:color w:val="auto"/>
        </w:rPr>
      </w:pPr>
    </w:p>
    <w:p>
      <w:pPr>
        <w:ind w:left="1380" w:right="119" w:hanging="331"/>
        <w:spacing w:after="0" w:line="256" w:lineRule="auto"/>
        <w:tabs>
          <w:tab w:leader="none" w:pos="13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site-built business unit accounted for approximately 12% of our net sales for the first three months of 2025. Approximately one-third of site-built customers are multifamily builders. The industry consensus estimate of national housing starts for 2025 is 1.36 million, with estimates generally predicting slightly positive to slightly negative growth in the coming year with single-family generally performing better than multi-family. We anticipate demand in the regions we operate to be slightly down for the remainder of 2025.</w:t>
      </w:r>
    </w:p>
    <w:p>
      <w:pPr>
        <w:spacing w:after="0" w:line="79" w:lineRule="exact"/>
        <w:rPr>
          <w:rFonts w:ascii="Times New Roman" w:cs="Times New Roman" w:eastAsia="Times New Roman" w:hAnsi="Times New Roman"/>
          <w:sz w:val="18"/>
          <w:szCs w:val="18"/>
          <w:color w:val="auto"/>
        </w:rPr>
      </w:pPr>
    </w:p>
    <w:p>
      <w:pPr>
        <w:ind w:left="1380" w:right="119" w:hanging="331"/>
        <w:spacing w:after="0" w:line="289" w:lineRule="auto"/>
        <w:tabs>
          <w:tab w:leader="none" w:pos="138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factory-built housing business unit accounted for 14% of our net sales for the first three months of 2025. When evaluating future demand, we analyze data from production and shipments of manufactured housing. We currently believe overall demand will be slightly up for the remainder of 2025.</w:t>
      </w:r>
    </w:p>
    <w:p>
      <w:pPr>
        <w:spacing w:after="0" w:line="49" w:lineRule="exact"/>
        <w:rPr>
          <w:rFonts w:ascii="Times New Roman" w:cs="Times New Roman" w:eastAsia="Times New Roman" w:hAnsi="Times New Roman"/>
          <w:sz w:val="17"/>
          <w:szCs w:val="17"/>
          <w:color w:val="auto"/>
        </w:rPr>
      </w:pPr>
    </w:p>
    <w:p>
      <w:pPr>
        <w:ind w:left="1380" w:right="79" w:hanging="331"/>
        <w:spacing w:after="0" w:line="261" w:lineRule="auto"/>
        <w:tabs>
          <w:tab w:leader="none" w:pos="13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construction and concrete forming business units accounted for approximately 7% of our net sales for the first three months of 2025. When evaluating future demand, we analyze data from non-residential construction spending. We anticipate overall demand in these business units to be slightly down for the remainder of 2025.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Allocation:</w:t>
      </w:r>
    </w:p>
    <w:p>
      <w:pPr>
        <w:spacing w:after="0" w:line="117"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We believe the strength of our cash flow generation and conservative capital structure provide us with sufficient resources to grow our business and also fund returns to our shareholders. We plan to continue to pursue a balanced and return-driven approach to capital allocation across dividends, share buybacks, capital investments and acquisitions. Specifically:</w:t>
      </w:r>
    </w:p>
    <w:p>
      <w:pPr>
        <w:spacing w:after="0" w:line="68" w:lineRule="exact"/>
        <w:rPr>
          <w:sz w:val="20"/>
          <w:szCs w:val="20"/>
          <w:color w:val="auto"/>
        </w:rPr>
      </w:pPr>
    </w:p>
    <w:p>
      <w:pPr>
        <w:ind w:left="720" w:right="199" w:hanging="319"/>
        <w:spacing w:after="0" w:line="261"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23, 2025, our board approved a quarterly cash dividend of $0.35 per share, which represents a 6% year over year increase. This dividend is payable on June 16, 2025, to shareholders of record on June 2, 2025. We continue to consider our payout ratio and yield when determining the appropriate dividend rate and have a long-term objective of increasing our dividend in line with our earnings growth.</w:t>
      </w:r>
    </w:p>
    <w:p>
      <w:pPr>
        <w:spacing w:after="0" w:line="71" w:lineRule="exact"/>
        <w:rPr>
          <w:rFonts w:ascii="Times New Roman" w:cs="Times New Roman" w:eastAsia="Times New Roman" w:hAnsi="Times New Roman"/>
          <w:sz w:val="18"/>
          <w:szCs w:val="18"/>
          <w:color w:val="auto"/>
        </w:rPr>
      </w:pPr>
    </w:p>
    <w:p>
      <w:pPr>
        <w:ind w:left="720" w:right="159" w:hanging="319"/>
        <w:spacing w:after="0" w:line="277" w:lineRule="auto"/>
        <w:tabs>
          <w:tab w:leader="none" w:pos="7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23, 2025, our board authorized the amendment of its share repurchase authorization, dated July 24, 2024, from up to $200 million of shares through July 31, 2025, to $300 million through the same period. Our objective is to repurchase our stock at sufficient amounts to offset issuances under our share-based compensation plans. In addition, we will opportunistically buy shares when the price trades at pre-determined levels. Through May 5, 2025, we have approximately $108 million of remaining availability under this authorization.</w:t>
      </w:r>
    </w:p>
    <w:p>
      <w:pPr>
        <w:spacing w:after="0" w:line="59" w:lineRule="exact"/>
        <w:rPr>
          <w:rFonts w:ascii="Times New Roman" w:cs="Times New Roman" w:eastAsia="Times New Roman" w:hAnsi="Times New Roman"/>
          <w:sz w:val="17"/>
          <w:szCs w:val="17"/>
          <w:color w:val="auto"/>
        </w:rPr>
      </w:pPr>
    </w:p>
    <w:p>
      <w:pPr>
        <w:ind w:left="720" w:right="79" w:hanging="319"/>
        <w:spacing w:after="0" w:line="25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targeted range for capital expenditures for 2025 is $300-$350 million, which will continue to be impacted by extended lead times required for most equipment and rolling stock as well as the time required for site selection in the case of investments in new locations. Priority continues to be given to projects that enhance the working environments of our plants and take advantage of automation opportunities and drive strategies that have strong long-term growth potential for new and value-added products. Approximately $167 million in capital projects have been approved so far in 2025 and another $87 million are pending approval.</w:t>
      </w:r>
    </w:p>
    <w:p>
      <w:pPr>
        <w:spacing w:after="0" w:line="79"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a healthy pipeline of acquisition opportunities of companies that are a strong strategic fit and enhance our capabilities while providing higher margin, return, and growth potential.</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currently enter into any material interest rate swaps, futures contracts or options on futures, or other types of derivative financial instruments to mitigate this risk.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are required to refinance it.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tariffs and trade policies,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have been immaterial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80" w:right="79" w:hanging="317"/>
        <w:spacing w:after="0" w:line="261"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March 29, 2025, have concluded that, as of such date, our disclosure controls and procedures were effective.</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March 29, 2025, there were no changes in our internal control over financial reporting that materially affected, or are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6"/>
                <w:szCs w:val="16"/>
                <w:color w:val="auto"/>
              </w:rPr>
            </w:pP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6"/>
                <w:szCs w:val="16"/>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6"/>
                <w:szCs w:val="16"/>
                <w:color w:val="auto"/>
              </w:rPr>
            </w:pP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210"/>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29, 2024 - February 1, 2025</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$ 111.27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62,900</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$ 191,959,011</w:t>
            </w:r>
          </w:p>
        </w:tc>
      </w:tr>
      <w:tr>
        <w:trPr>
          <w:trHeight w:val="21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2 - March 1, 2025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151,708</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175,263,084</w:t>
            </w:r>
          </w:p>
        </w:tc>
      </w:tr>
      <w:tr>
        <w:trPr>
          <w:trHeight w:val="21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2 - 29, 2025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434,452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434,452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128,857,306</w:t>
            </w:r>
          </w:p>
        </w:tc>
      </w:tr>
    </w:tbl>
    <w:p>
      <w:pPr>
        <w:spacing w:after="0" w:line="112" w:lineRule="exact"/>
        <w:rPr>
          <w:sz w:val="20"/>
          <w:szCs w:val="20"/>
          <w:color w:val="auto"/>
        </w:rPr>
      </w:pPr>
    </w:p>
    <w:p>
      <w:pPr>
        <w:ind w:left="60" w:right="599"/>
        <w:spacing w:after="0" w:line="261" w:lineRule="auto"/>
        <w:rPr>
          <w:sz w:val="20"/>
          <w:szCs w:val="20"/>
          <w:color w:val="auto"/>
        </w:rPr>
      </w:pPr>
      <w:r>
        <w:rPr>
          <w:rFonts w:ascii="Times New Roman" w:cs="Times New Roman" w:eastAsia="Times New Roman" w:hAnsi="Times New Roman"/>
          <w:sz w:val="14"/>
          <w:szCs w:val="14"/>
          <w:color w:val="auto"/>
        </w:rPr>
        <w:t>Note: February includes 86,899 shares tendered by certain employees of the Company (and repurchased by the Company) in order to satisfy their respective tax withholding obligations resulting from the vesting of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49530</wp:posOffset>
            </wp:positionV>
            <wp:extent cx="14141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47" w:lineRule="exact"/>
        <w:rPr>
          <w:sz w:val="20"/>
          <w:szCs w:val="20"/>
          <w:color w:val="auto"/>
        </w:rPr>
      </w:pPr>
    </w:p>
    <w:p>
      <w:pPr>
        <w:ind w:left="380" w:hanging="330"/>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 dollar value of shares that may yet be purchased under the plans or programs.</w:t>
      </w:r>
    </w:p>
    <w:p>
      <w:pPr>
        <w:spacing w:after="0" w:line="20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On and effective as of April 23, 2025, our board authorized the amendment of its share repurchase authorization, dated July 24, 2024, from up to $200 million of shares through July 31, 2025, to $300 million through the same period.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519"/>
        <w:spacing w:after="0" w:line="312" w:lineRule="auto"/>
        <w:rPr>
          <w:sz w:val="20"/>
          <w:szCs w:val="20"/>
          <w:color w:val="auto"/>
        </w:rPr>
      </w:pPr>
      <w:r>
        <w:rPr>
          <w:rFonts w:ascii="Times New Roman" w:cs="Times New Roman" w:eastAsia="Times New Roman" w:hAnsi="Times New Roman"/>
          <w:sz w:val="17"/>
          <w:szCs w:val="17"/>
          <w:color w:val="auto"/>
        </w:rPr>
        <w:t>During the quarter ended March 29, 2025, no director or officer adopted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40" w:hanging="490"/>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540" w:hanging="490"/>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Sarbanes-Oxley Act of 2002 (18 U.S.C. 1350).</w:t>
      </w:r>
    </w:p>
    <w:p>
      <w:pPr>
        <w:spacing w:after="0" w:line="162" w:lineRule="exact"/>
        <w:rPr>
          <w:sz w:val="20"/>
          <w:szCs w:val="20"/>
          <w:color w:val="auto"/>
        </w:rPr>
      </w:pPr>
    </w:p>
    <w:p>
      <w:pPr>
        <w:ind w:left="540" w:right="1859" w:hanging="490"/>
        <w:spacing w:after="0" w:line="50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formatted in iXBRL (Inline eXtensible Business Reporting Language). (INS) iXBRL Instance Document.</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iXBRL Schema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(CAL) iXBRL Taxonomy Extension Calculation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(LAB) iXBRL Taxonomy Extension Label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  iXBRL Taxonomy Extension Presentation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 iXBRL Taxonomy Extension Definition Linkbase Document.</w:t>
      </w:r>
    </w:p>
    <w:p>
      <w:pPr>
        <w:spacing w:after="0" w:line="225" w:lineRule="exact"/>
        <w:rPr>
          <w:sz w:val="20"/>
          <w:szCs w:val="20"/>
          <w:color w:val="auto"/>
        </w:rPr>
      </w:pPr>
    </w:p>
    <w:p>
      <w:pPr>
        <w:ind w:left="540" w:hanging="490"/>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12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UFP INDUSTRIES, INC.</w:t>
            </w:r>
          </w:p>
        </w:tc>
      </w:tr>
      <w:tr>
        <w:trPr>
          <w:trHeight w:val="405"/>
        </w:trPr>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21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D. Schwartz, Jr.</w:t>
            </w:r>
          </w:p>
        </w:tc>
      </w:tr>
      <w:tr>
        <w:trPr>
          <w:trHeight w:val="20"/>
        </w:trPr>
        <w:tc>
          <w:tcPr>
            <w:tcW w:w="4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78"/>
        </w:trPr>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120" w:type="dxa"/>
            <w:vAlign w:val="bottom"/>
            <w:gridSpan w:val="2"/>
          </w:tcPr>
          <w:p>
            <w:pPr>
              <w:ind w:left="1400"/>
              <w:spacing w:after="0" w:line="178"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16"/>
        </w:trPr>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1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1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05"/>
        </w:trPr>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21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0"/>
        </w:trPr>
        <w:tc>
          <w:tcPr>
            <w:tcW w:w="4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78"/>
        </w:trPr>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120" w:type="dxa"/>
            <w:vAlign w:val="bottom"/>
            <w:gridSpan w:val="2"/>
          </w:tcPr>
          <w:p>
            <w:pPr>
              <w:ind w:left="1400"/>
              <w:spacing w:after="0" w:line="178"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1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ind w:left="422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6" w:name="page37"/>
    <w:bookmarkEnd w:id="3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William D. Schwartz, Jr., certify that:</w:t>
      </w:r>
    </w:p>
    <w:p>
      <w:pPr>
        <w:spacing w:after="0" w:line="225" w:lineRule="exact"/>
        <w:rPr>
          <w:sz w:val="20"/>
          <w:szCs w:val="20"/>
          <w:color w:val="auto"/>
        </w:rPr>
      </w:pPr>
    </w:p>
    <w:p>
      <w:pPr>
        <w:ind w:left="540" w:hanging="490"/>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May 7, 2025</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William D. Schwartz, Jr.</w:t>
            </w:r>
          </w:p>
        </w:tc>
      </w:tr>
      <w:tr>
        <w:trPr>
          <w:trHeight w:val="21"/>
        </w:trPr>
        <w:tc>
          <w:tcPr>
            <w:tcW w:w="4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7" w:name="page38"/>
    <w:bookmarkEnd w:id="3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May 7, 2025</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1"/>
        </w:trPr>
        <w:tc>
          <w:tcPr>
            <w:tcW w:w="4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r>
        <w:trPr>
          <w:trHeight w:val="776"/>
        </w:trPr>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8" w:name="page39"/>
    <w:bookmarkEnd w:id="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 William D. Schwartz, Jr., Chief Executive Officer and Principal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29, 2025,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March 29, 2025,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William D. Schwartz, Jr.</w:t>
            </w:r>
          </w:p>
        </w:tc>
      </w:tr>
      <w:tr>
        <w:trPr>
          <w:trHeight w:val="20"/>
        </w:trPr>
        <w:tc>
          <w:tcPr>
            <w:tcW w:w="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9" w:name="page40"/>
    <w:bookmarkEnd w:id="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29, 2025,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March 29, 2025,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0"/>
        </w:trPr>
        <w:tc>
          <w:tcPr>
            <w:tcW w:w="4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upperLetter"/>
      <w:start w:val="1"/>
    </w:lvl>
  </w:abstractNum>
  <w:abstractNum w:abstractNumId="3">
    <w:nsid w:val="436C6125"/>
    <w:multiLevelType w:val="hybridMultilevel"/>
    <w:lvl w:ilvl="0">
      <w:lvlJc w:val="left"/>
      <w:lvlText w:val="(%1)"/>
      <w:numFmt w:val="lowerRoman"/>
      <w:start w:val="1"/>
    </w:lvl>
  </w:abstractNum>
  <w:abstractNum w:abstractNumId="4">
    <w:nsid w:val="628C895D"/>
    <w:multiLevelType w:val="hybridMultilevel"/>
    <w:lvl w:ilvl="0">
      <w:lvlJc w:val="left"/>
      <w:lvlText w:val="%1."/>
      <w:numFmt w:val="upperLetter"/>
      <w:start w:val="2"/>
    </w:lvl>
  </w:abstractNum>
  <w:abstractNum w:abstractNumId="5">
    <w:nsid w:val="333AB105"/>
    <w:multiLevelType w:val="hybridMultilevel"/>
    <w:lvl w:ilvl="0">
      <w:lvlJc w:val="left"/>
      <w:lvlText w:val="%1."/>
      <w:numFmt w:val="upperLetter"/>
      <w:start w:val="3"/>
    </w:lvl>
  </w:abstractNum>
  <w:abstractNum w:abstractNumId="6">
    <w:nsid w:val="721DA317"/>
    <w:multiLevelType w:val="hybridMultilevel"/>
    <w:lvl w:ilvl="0">
      <w:lvlJc w:val="left"/>
      <w:lvlText w:val="%1."/>
      <w:numFmt w:val="upperLetter"/>
      <w:start w:val="5"/>
    </w:lvl>
  </w:abstractNum>
  <w:abstractNum w:abstractNumId="7">
    <w:nsid w:val="2443A858"/>
    <w:multiLevelType w:val="hybridMultilevel"/>
    <w:lvl w:ilvl="0">
      <w:lvlJc w:val="left"/>
      <w:lvlText w:val="%1."/>
      <w:numFmt w:val="upperLetter"/>
      <w:start w:val="6"/>
    </w:lvl>
  </w:abstractNum>
  <w:abstractNum w:abstractNumId="8">
    <w:nsid w:val="2D1D5AE9"/>
    <w:multiLevelType w:val="hybridMultilevel"/>
    <w:lvl w:ilvl="0">
      <w:lvlJc w:val="left"/>
      <w:lvlText w:val="%1."/>
      <w:numFmt w:val="upperLetter"/>
      <w:start w:val="7"/>
    </w:lvl>
  </w:abstractNum>
  <w:abstractNum w:abstractNumId="9">
    <w:nsid w:val="6763845E"/>
    <w:multiLevelType w:val="hybridMultilevel"/>
    <w:lvl w:ilvl="0">
      <w:lvlJc w:val="left"/>
      <w:lvlText w:val="%1."/>
      <w:numFmt w:val="upperLetter"/>
      <w:start w:val="8"/>
    </w:lvl>
  </w:abstractNum>
  <w:abstractNum w:abstractNumId="10">
    <w:nsid w:val="75A2A8D4"/>
    <w:multiLevelType w:val="hybridMultilevel"/>
    <w:lvl w:ilvl="0">
      <w:lvlJc w:val="left"/>
      <w:lvlText w:val="%1."/>
      <w:numFmt w:val="upperLetter"/>
      <w:start w:val="9"/>
    </w:lvl>
  </w:abstractNum>
  <w:abstractNum w:abstractNumId="11">
    <w:nsid w:val="8EDBDAB"/>
    <w:multiLevelType w:val="hybridMultilevel"/>
    <w:lvl w:ilvl="0">
      <w:lvlJc w:val="left"/>
      <w:lvlText w:val="%1."/>
      <w:numFmt w:val="upperLetter"/>
      <w:start w:val="10"/>
    </w:lvl>
  </w:abstractNum>
  <w:abstractNum w:abstractNumId="12">
    <w:nsid w:val="79838CB2"/>
    <w:multiLevelType w:val="hybridMultilevel"/>
    <w:lvl w:ilvl="0">
      <w:lvlJc w:val="left"/>
      <w:lvlText w:val="%1."/>
      <w:numFmt w:val="upperLetter"/>
      <w:start w:val="1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lvl w:ilvl="1">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lvl w:ilvl="1">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31"/>
    </w:lvl>
    <w:lvl w:ilvl="1">
      <w:lvlJc w:val="left"/>
      <w:lvlText w:val="(%2)"/>
      <w:numFmt w:val="lowerLetter"/>
      <w:start w:val="1"/>
    </w:lvl>
  </w:abstractNum>
  <w:abstractNum w:abstractNumId="31">
    <w:nsid w:val="419AC241"/>
    <w:multiLevelType w:val="hybridMultilevel"/>
    <w:lvl w:ilvl="0">
      <w:lvlJc w:val="left"/>
      <w:lvlText w:val="%1"/>
      <w:numFmt w:val="decimal"/>
      <w:start w:val="101"/>
    </w:lvl>
  </w:abstractNum>
  <w:abstractNum w:abstractNumId="32">
    <w:nsid w:val="5577F8E1"/>
    <w:multiLevelType w:val="hybridMultilevel"/>
    <w:lvl w:ilvl="0">
      <w:lvlJc w:val="left"/>
      <w:lvlText w:val="%1"/>
      <w:numFmt w:val="decimal"/>
      <w:start w:val="104"/>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2025-05-07T11:21:13Z</dcterms:created>
  <dcterms:modified xsi:type="dcterms:W3CDTF">2025-05-07T11:21:13Z</dcterms:modified>
</cp:coreProperties>
</file>