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4)*</w:t>
      </w:r>
    </w:p>
    <w:p>
      <w:pPr>
        <w:spacing w:after="0" w:line="200" w:lineRule="exact"/>
        <w:rPr>
          <w:sz w:val="24"/>
          <w:szCs w:val="24"/>
          <w:color w:val="auto"/>
        </w:rPr>
      </w:pP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1742440</wp:posOffset>
            </wp:positionH>
            <wp:positionV relativeFrom="paragraph">
              <wp:posOffset>-13970</wp:posOffset>
            </wp:positionV>
            <wp:extent cx="37719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35" w:lineRule="exact"/>
        <w:rPr>
          <w:sz w:val="24"/>
          <w:szCs w:val="24"/>
          <w:color w:val="auto"/>
        </w:rPr>
      </w:pPr>
    </w:p>
    <w:p>
      <w:pPr>
        <w:jc w:val="right"/>
        <w:ind w:right="4580"/>
        <w:spacing w:after="0"/>
        <w:rPr>
          <w:sz w:val="20"/>
          <w:szCs w:val="20"/>
          <w:color w:val="auto"/>
        </w:rPr>
      </w:pPr>
      <w:r>
        <w:rPr>
          <w:rFonts w:ascii="Arial" w:cs="Arial" w:eastAsia="Arial" w:hAnsi="Arial"/>
          <w:sz w:val="18"/>
          <w:szCs w:val="18"/>
          <w:color w:val="auto"/>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1770380</wp:posOffset>
            </wp:positionH>
            <wp:positionV relativeFrom="paragraph">
              <wp:posOffset>-13970</wp:posOffset>
            </wp:positionV>
            <wp:extent cx="3716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16020" cy="8890"/>
                    </a:xfrm>
                    <a:prstGeom prst="rect">
                      <a:avLst/>
                    </a:prstGeom>
                    <a:noFill/>
                  </pic:spPr>
                </pic:pic>
              </a:graphicData>
            </a:graphic>
          </wp:anchor>
        </w:drawing>
      </w:r>
    </w:p>
    <w:p>
      <w:pPr>
        <w:jc w:val="right"/>
        <w:ind w:right="464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5"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-13970</wp:posOffset>
            </wp:positionV>
            <wp:extent cx="1440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94" w:lineRule="exact"/>
        <w:rPr>
          <w:sz w:val="24"/>
          <w:szCs w:val="24"/>
          <w:color w:val="auto"/>
        </w:rPr>
      </w:pPr>
    </w:p>
    <w:p>
      <w:pPr>
        <w:ind w:right="14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(Continues on the following page(s))</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678180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20" w:right="319" w:bottom="1440" w:gutter="0" w:footer="0" w:header="0"/>
        </w:sectPr>
      </w:pPr>
    </w:p>
    <w:bookmarkStart w:id="1" w:name="page2"/>
    <w:bookmarkEnd w:id="1"/>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869315</wp:posOffset>
            </wp:positionH>
            <wp:positionV relativeFrom="page">
              <wp:posOffset>213360</wp:posOffset>
            </wp:positionV>
            <wp:extent cx="5844540" cy="196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4540" cy="196850"/>
                    </a:xfrm>
                    <a:prstGeom prst="rect">
                      <a:avLst/>
                    </a:prstGeom>
                    <a:noFill/>
                  </pic:spPr>
                </pic:pic>
              </a:graphicData>
            </a:graphic>
          </wp:anchor>
        </w:drawing>
        <w:drawing>
          <wp:inline distT="0" distB="0" distL="0" distR="0">
            <wp:extent cx="42545" cy="196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196850"/>
                    </a:xfrm>
                    <a:prstGeom prst="rect">
                      <a:avLst/>
                    </a:prstGeom>
                    <a:noFill/>
                    <a:ln>
                      <a:noFill/>
                    </a:ln>
                  </pic:spPr>
                </pic:pic>
              </a:graphicData>
            </a:graphic>
          </wp:inline>
        </w:drawing>
      </w:r>
      <w:r>
        <w:rPr>
          <w:rFonts w:ascii="Arial" w:cs="Arial" w:eastAsia="Arial" w:hAnsi="Arial"/>
          <w:sz w:val="18"/>
          <w:szCs w:val="18"/>
          <w:color w:val="auto"/>
        </w:rPr>
        <w:t xml:space="preserve">CUSIP No. 913543-10-4                </w:t>
      </w:r>
      <w:r>
        <w:rPr>
          <w:sz w:val="1"/>
          <w:szCs w:val="1"/>
          <w:color w:val="auto"/>
        </w:rPr>
        <w:drawing>
          <wp:inline distT="0" distB="0" distL="0" distR="0">
            <wp:extent cx="42545" cy="1797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13G             </w:t>
      </w:r>
      <w:r>
        <w:rPr>
          <w:sz w:val="1"/>
          <w:szCs w:val="1"/>
          <w:color w:val="auto"/>
        </w:rPr>
        <w:drawing>
          <wp:inline distT="0" distB="0" distL="0" distR="0">
            <wp:extent cx="42545" cy="1797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Arial" w:cs="Arial" w:eastAsia="Arial" w:hAnsi="Arial"/>
          <w:sz w:val="18"/>
          <w:szCs w:val="18"/>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283210</wp:posOffset>
            </wp:positionV>
            <wp:extent cx="5857240" cy="4862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486219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320" w:hanging="1271"/>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Universal Forest Products, Inc. Profit Sharing and 401(k) Trust</w:t>
      </w:r>
    </w:p>
    <w:p>
      <w:pPr>
        <w:spacing w:after="0" w:line="36" w:lineRule="exact"/>
        <w:rPr>
          <w:sz w:val="20"/>
          <w:szCs w:val="20"/>
          <w:color w:val="auto"/>
        </w:rPr>
      </w:pPr>
    </w:p>
    <w:p>
      <w:pPr>
        <w:ind w:left="1320" w:hanging="1271"/>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2220" w:hanging="243"/>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[__]</w:t>
      </w:r>
    </w:p>
    <w:p>
      <w:pPr>
        <w:spacing w:after="0" w:line="9" w:lineRule="exact"/>
        <w:rPr>
          <w:rFonts w:ascii="Arial" w:cs="Arial" w:eastAsia="Arial" w:hAnsi="Arial"/>
          <w:sz w:val="18"/>
          <w:szCs w:val="18"/>
          <w:color w:val="auto"/>
        </w:rPr>
      </w:pPr>
    </w:p>
    <w:p>
      <w:pPr>
        <w:ind w:left="2220" w:hanging="243"/>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 ]</w:t>
      </w:r>
    </w:p>
    <w:p>
      <w:pPr>
        <w:spacing w:after="0" w:line="30"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SEC USE ONLY</w:t>
      </w:r>
    </w:p>
    <w:p>
      <w:pPr>
        <w:spacing w:after="0" w:line="252" w:lineRule="exact"/>
        <w:rPr>
          <w:sz w:val="20"/>
          <w:szCs w:val="20"/>
          <w:color w:val="auto"/>
        </w:rPr>
      </w:pPr>
    </w:p>
    <w:p>
      <w:pPr>
        <w:ind w:left="1320" w:hanging="1271"/>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United States of America</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2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5</w:t>
            </w:r>
          </w:p>
        </w:tc>
        <w:tc>
          <w:tcPr>
            <w:tcW w:w="7660" w:type="dxa"/>
            <w:vAlign w:val="bottom"/>
            <w:tcBorders>
              <w:top w:val="single" w:sz="8" w:color="2C2C2C"/>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2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24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12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SHARES</w:t>
            </w:r>
          </w:p>
        </w:tc>
        <w:tc>
          <w:tcPr>
            <w:tcW w:w="7900" w:type="dxa"/>
            <w:vAlign w:val="bottom"/>
            <w:gridSpan w:val="2"/>
            <w:vMerge w:val="restart"/>
          </w:tcPr>
          <w:p>
            <w:pPr>
              <w:ind w:left="20"/>
              <w:spacing w:after="0"/>
              <w:rPr>
                <w:sz w:val="20"/>
                <w:szCs w:val="20"/>
                <w:color w:val="auto"/>
              </w:rPr>
            </w:pPr>
            <w:r>
              <w:rPr>
                <w:rFonts w:ascii="Arial" w:cs="Arial" w:eastAsia="Arial" w:hAnsi="Arial"/>
                <w:sz w:val="18"/>
                <w:szCs w:val="18"/>
                <w:color w:val="auto"/>
              </w:rPr>
              <w:t>6   SHARED VOTING POWER</w:t>
            </w:r>
          </w:p>
        </w:tc>
        <w:tc>
          <w:tcPr>
            <w:tcW w:w="0" w:type="dxa"/>
            <w:vAlign w:val="bottom"/>
          </w:tcPr>
          <w:p>
            <w:pPr>
              <w:spacing w:after="0"/>
              <w:rPr>
                <w:sz w:val="1"/>
                <w:szCs w:val="1"/>
                <w:color w:val="auto"/>
              </w:rPr>
            </w:pPr>
          </w:p>
        </w:tc>
      </w:tr>
      <w:tr>
        <w:trPr>
          <w:trHeight w:val="170"/>
        </w:trPr>
        <w:tc>
          <w:tcPr>
            <w:tcW w:w="1260" w:type="dxa"/>
            <w:vAlign w:val="bottom"/>
          </w:tcPr>
          <w:p>
            <w:pPr>
              <w:spacing w:after="0" w:line="170" w:lineRule="exact"/>
              <w:rPr>
                <w:sz w:val="20"/>
                <w:szCs w:val="20"/>
                <w:color w:val="auto"/>
              </w:rPr>
            </w:pPr>
            <w:r>
              <w:rPr>
                <w:rFonts w:ascii="Arial" w:cs="Arial" w:eastAsia="Arial" w:hAnsi="Arial"/>
                <w:sz w:val="18"/>
                <w:szCs w:val="18"/>
                <w:color w:val="auto"/>
                <w:w w:val="97"/>
              </w:rPr>
              <w:t>BENEFICIALLY</w:t>
            </w:r>
          </w:p>
        </w:tc>
        <w:tc>
          <w:tcPr>
            <w:tcW w:w="7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6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24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6"/>
        </w:trPr>
        <w:tc>
          <w:tcPr>
            <w:tcW w:w="12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7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7</w:t>
            </w:r>
          </w:p>
        </w:tc>
        <w:tc>
          <w:tcPr>
            <w:tcW w:w="766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240" w:type="dxa"/>
            <w:vAlign w:val="bottom"/>
            <w:vMerge w:val="continue"/>
          </w:tcPr>
          <w:p>
            <w:pPr>
              <w:spacing w:after="0"/>
              <w:rPr>
                <w:sz w:val="9"/>
                <w:szCs w:val="9"/>
                <w:color w:val="auto"/>
              </w:rPr>
            </w:pPr>
          </w:p>
        </w:tc>
        <w:tc>
          <w:tcPr>
            <w:tcW w:w="7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6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4"/>
        </w:trPr>
        <w:tc>
          <w:tcPr>
            <w:tcW w:w="1260" w:type="dxa"/>
            <w:vAlign w:val="bottom"/>
            <w:vMerge w:val="restart"/>
          </w:tcPr>
          <w:p>
            <w:pPr>
              <w:spacing w:after="0"/>
              <w:rPr>
                <w:sz w:val="20"/>
                <w:szCs w:val="20"/>
                <w:color w:val="auto"/>
              </w:rPr>
            </w:pPr>
            <w:r>
              <w:rPr>
                <w:rFonts w:ascii="Arial" w:cs="Arial" w:eastAsia="Arial" w:hAnsi="Arial"/>
                <w:sz w:val="18"/>
                <w:szCs w:val="18"/>
                <w:color w:val="auto"/>
              </w:rPr>
              <w:t>PERSON</w:t>
            </w:r>
          </w:p>
        </w:tc>
        <w:tc>
          <w:tcPr>
            <w:tcW w:w="240" w:type="dxa"/>
            <w:vAlign w:val="bottom"/>
          </w:tcPr>
          <w:p>
            <w:pPr>
              <w:spacing w:after="0"/>
              <w:rPr>
                <w:sz w:val="9"/>
                <w:szCs w:val="9"/>
                <w:color w:val="auto"/>
              </w:rPr>
            </w:pPr>
          </w:p>
        </w:tc>
        <w:tc>
          <w:tcPr>
            <w:tcW w:w="7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WITH</w:t>
            </w: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8</w:t>
            </w:r>
          </w:p>
        </w:tc>
        <w:tc>
          <w:tcPr>
            <w:tcW w:w="766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2"/>
        </w:trPr>
        <w:tc>
          <w:tcPr>
            <w:tcW w:w="12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7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1,074,876</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320" w:hanging="1271"/>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1,074,876</w:t>
      </w:r>
    </w:p>
    <w:p>
      <w:pPr>
        <w:spacing w:after="0" w:line="36"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252" w:lineRule="exact"/>
        <w:rPr>
          <w:sz w:val="20"/>
          <w:szCs w:val="20"/>
          <w:color w:val="auto"/>
        </w:rPr>
      </w:pPr>
    </w:p>
    <w:p>
      <w:pPr>
        <w:ind w:left="1320" w:right="3060" w:hanging="1271"/>
        <w:spacing w:after="0" w:line="391"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5.63%</w:t>
      </w:r>
    </w:p>
    <w:p>
      <w:pPr>
        <w:ind w:left="1320" w:right="5360" w:hanging="1271"/>
        <w:spacing w:after="0" w:line="516"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EP</w:t>
      </w:r>
    </w:p>
    <w:p>
      <w:pPr>
        <w:spacing w:after="0" w:line="1" w:lineRule="exact"/>
        <w:rPr>
          <w:rFonts w:ascii="Arial" w:cs="Arial" w:eastAsia="Arial" w:hAnsi="Arial"/>
          <w:sz w:val="18"/>
          <w:szCs w:val="18"/>
          <w:color w:val="auto"/>
        </w:rPr>
      </w:pPr>
    </w:p>
    <w:p>
      <w:pPr>
        <w:ind w:left="2860"/>
        <w:spacing w:after="0"/>
        <w:rPr>
          <w:rFonts w:ascii="Arial" w:cs="Arial" w:eastAsia="Arial" w:hAnsi="Arial"/>
          <w:sz w:val="18"/>
          <w:szCs w:val="18"/>
          <w:color w:val="auto"/>
        </w:rPr>
      </w:pPr>
      <w:r>
        <w:rPr>
          <w:rFonts w:ascii="Arial" w:cs="Arial" w:eastAsia="Arial" w:hAnsi="Arial"/>
          <w:sz w:val="18"/>
          <w:szCs w:val="18"/>
          <w:color w:val="auto"/>
        </w:rPr>
        <w:t>*SEE INSTRUCTION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678180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00"/>
          </w:cols>
          <w:pgMar w:left="1340" w:top="297" w:right="1359" w:bottom="1440" w:gutter="0" w:footer="0" w:header="0"/>
        </w:sectPr>
      </w:pPr>
    </w:p>
    <w:bookmarkStart w:id="2" w:name="page3"/>
    <w:bookmarkEnd w:id="2"/>
    <w:p>
      <w:pPr>
        <w:ind w:left="1120"/>
        <w:spacing w:after="0"/>
        <w:tabs>
          <w:tab w:leader="none" w:pos="5540" w:val="left"/>
          <w:tab w:leader="none" w:pos="708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3 of 4 Pages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1(a)</w:t>
            </w: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Name of Issuer:</w:t>
            </w:r>
          </w:p>
        </w:tc>
        <w:tc>
          <w:tcPr>
            <w:tcW w:w="8180" w:type="dxa"/>
            <w:vAlign w:val="bottom"/>
            <w:gridSpan w:val="6"/>
          </w:tcPr>
          <w:p>
            <w:pPr>
              <w:spacing w:after="0"/>
              <w:rPr>
                <w:sz w:val="17"/>
                <w:szCs w:val="17"/>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Universal Forest Products, Inc.</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1(b)</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44"/>
        </w:trPr>
        <w:tc>
          <w:tcPr>
            <w:tcW w:w="2040" w:type="dxa"/>
            <w:vAlign w:val="bottom"/>
          </w:tcPr>
          <w:p>
            <w:pPr>
              <w:spacing w:after="0"/>
              <w:rPr>
                <w:sz w:val="24"/>
                <w:szCs w:val="24"/>
                <w:color w:val="auto"/>
              </w:rPr>
            </w:pPr>
          </w:p>
        </w:tc>
        <w:tc>
          <w:tcPr>
            <w:tcW w:w="35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2801 East Beltline NE</w:t>
            </w:r>
          </w:p>
        </w:tc>
        <w:tc>
          <w:tcPr>
            <w:tcW w:w="5820" w:type="dxa"/>
            <w:vAlign w:val="bottom"/>
            <w:gridSpan w:val="2"/>
          </w:tcPr>
          <w:p>
            <w:pPr>
              <w:spacing w:after="0"/>
              <w:rPr>
                <w:sz w:val="24"/>
                <w:szCs w:val="24"/>
                <w:color w:val="auto"/>
              </w:rPr>
            </w:pPr>
          </w:p>
        </w:tc>
      </w:tr>
      <w:tr>
        <w:trPr>
          <w:trHeight w:val="222"/>
        </w:trPr>
        <w:tc>
          <w:tcPr>
            <w:tcW w:w="20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Grand Rapids, Michigan 49525</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2(a)</w:t>
            </w:r>
          </w:p>
        </w:tc>
        <w:tc>
          <w:tcPr>
            <w:tcW w:w="17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7"/>
              </w:rPr>
              <w:t>Name of Person Filing:</w:t>
            </w:r>
          </w:p>
        </w:tc>
        <w:tc>
          <w:tcPr>
            <w:tcW w:w="7640" w:type="dxa"/>
            <w:vAlign w:val="bottom"/>
            <w:gridSpan w:val="3"/>
          </w:tcPr>
          <w:p>
            <w:pPr>
              <w:spacing w:after="0"/>
              <w:rPr>
                <w:sz w:val="24"/>
                <w:szCs w:val="24"/>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Universal Forest Products, Inc. Profit Sharing and 401(k) Trust</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2(b)</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44"/>
        </w:trPr>
        <w:tc>
          <w:tcPr>
            <w:tcW w:w="2040" w:type="dxa"/>
            <w:vAlign w:val="bottom"/>
          </w:tcPr>
          <w:p>
            <w:pPr>
              <w:spacing w:after="0"/>
              <w:rPr>
                <w:sz w:val="24"/>
                <w:szCs w:val="24"/>
                <w:color w:val="auto"/>
              </w:rPr>
            </w:pPr>
          </w:p>
        </w:tc>
        <w:tc>
          <w:tcPr>
            <w:tcW w:w="44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2801 East Beltline NE</w:t>
            </w:r>
          </w:p>
        </w:tc>
        <w:tc>
          <w:tcPr>
            <w:tcW w:w="4940" w:type="dxa"/>
            <w:vAlign w:val="bottom"/>
          </w:tcPr>
          <w:p>
            <w:pPr>
              <w:spacing w:after="0"/>
              <w:rPr>
                <w:sz w:val="24"/>
                <w:szCs w:val="24"/>
                <w:color w:val="auto"/>
              </w:rPr>
            </w:pPr>
          </w:p>
        </w:tc>
      </w:tr>
      <w:tr>
        <w:trPr>
          <w:trHeight w:val="222"/>
        </w:trPr>
        <w:tc>
          <w:tcPr>
            <w:tcW w:w="20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Grand Rapids, Michigan 49525</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2(c)</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Citizenship:</w:t>
            </w:r>
          </w:p>
        </w:tc>
      </w:tr>
      <w:tr>
        <w:trPr>
          <w:trHeight w:val="20"/>
        </w:trPr>
        <w:tc>
          <w:tcPr>
            <w:tcW w:w="2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0" w:type="dxa"/>
            <w:vAlign w:val="bottom"/>
            <w:gridSpan w:val="4"/>
          </w:tcPr>
          <w:p>
            <w:pPr>
              <w:spacing w:after="0" w:line="20" w:lineRule="exact"/>
              <w:rPr>
                <w:sz w:val="1"/>
                <w:szCs w:val="1"/>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United States of America</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2(d)</w:t>
            </w: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7"/>
              </w:rPr>
              <w:t>Title of Securities:</w:t>
            </w:r>
          </w:p>
        </w:tc>
        <w:tc>
          <w:tcPr>
            <w:tcW w:w="8000" w:type="dxa"/>
            <w:vAlign w:val="bottom"/>
            <w:gridSpan w:val="4"/>
          </w:tcPr>
          <w:p>
            <w:pPr>
              <w:spacing w:after="0"/>
              <w:rPr>
                <w:sz w:val="24"/>
                <w:szCs w:val="24"/>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Common Stock, No Par Value</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2(e)</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CUSIP Number:</w:t>
            </w:r>
          </w:p>
        </w:tc>
      </w:tr>
      <w:tr>
        <w:trPr>
          <w:trHeight w:val="451"/>
        </w:trPr>
        <w:tc>
          <w:tcPr>
            <w:tcW w:w="2040" w:type="dxa"/>
            <w:vAlign w:val="bottom"/>
          </w:tcPr>
          <w:p>
            <w:pPr>
              <w:spacing w:after="0"/>
              <w:rPr>
                <w:sz w:val="24"/>
                <w:szCs w:val="24"/>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2"/>
              </w:rPr>
              <w:t>913543-10-4</w:t>
            </w: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32"/>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3</w:t>
            </w:r>
          </w:p>
        </w:tc>
        <w:tc>
          <w:tcPr>
            <w:tcW w:w="9380" w:type="dxa"/>
            <w:vAlign w:val="bottom"/>
            <w:gridSpan w:val="8"/>
          </w:tcPr>
          <w:p>
            <w:pPr>
              <w:spacing w:after="0"/>
              <w:rPr>
                <w:sz w:val="20"/>
                <w:szCs w:val="20"/>
                <w:color w:val="auto"/>
              </w:rPr>
            </w:pPr>
            <w:r>
              <w:rPr>
                <w:rFonts w:ascii="Arial" w:cs="Arial" w:eastAsia="Arial" w:hAnsi="Arial"/>
                <w:sz w:val="18"/>
                <w:szCs w:val="18"/>
                <w:color w:val="auto"/>
              </w:rPr>
              <w:t>Not applicable.</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4</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Ownership:</w:t>
            </w:r>
          </w:p>
        </w:tc>
      </w:tr>
      <w:tr>
        <w:trPr>
          <w:trHeight w:val="20"/>
        </w:trPr>
        <w:tc>
          <w:tcPr>
            <w:tcW w:w="2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500" w:type="dxa"/>
            <w:vAlign w:val="bottom"/>
            <w:gridSpan w:val="7"/>
          </w:tcPr>
          <w:p>
            <w:pPr>
              <w:spacing w:after="0" w:line="20" w:lineRule="exact"/>
              <w:rPr>
                <w:sz w:val="1"/>
                <w:szCs w:val="1"/>
                <w:color w:val="auto"/>
              </w:rPr>
            </w:pPr>
          </w:p>
        </w:tc>
      </w:tr>
      <w:tr>
        <w:trPr>
          <w:trHeight w:val="444"/>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Ownership details are disclosed in Items 5 through 11 on the cover sheet preceding this portion of Schedule 13G.</w:t>
            </w:r>
          </w:p>
        </w:tc>
      </w:tr>
      <w:tr>
        <w:trPr>
          <w:trHeight w:val="216"/>
        </w:trPr>
        <w:tc>
          <w:tcPr>
            <w:tcW w:w="2040" w:type="dxa"/>
            <w:vAlign w:val="bottom"/>
          </w:tcPr>
          <w:p>
            <w:pPr>
              <w:spacing w:after="0"/>
              <w:rPr>
                <w:sz w:val="18"/>
                <w:szCs w:val="18"/>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Under the provisions of the Plan, the Trustee has no voting power but currently retains shared dispositive power over</w:t>
            </w:r>
          </w:p>
        </w:tc>
      </w:tr>
      <w:tr>
        <w:trPr>
          <w:trHeight w:val="222"/>
        </w:trPr>
        <w:tc>
          <w:tcPr>
            <w:tcW w:w="20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the shares reported.</w:t>
            </w:r>
          </w:p>
        </w:tc>
      </w:tr>
      <w:tr>
        <w:trPr>
          <w:trHeight w:val="958"/>
        </w:trPr>
        <w:tc>
          <w:tcPr>
            <w:tcW w:w="20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ind w:left="1120"/>
        <w:spacing w:after="0"/>
        <w:tabs>
          <w:tab w:leader="none" w:pos="5540" w:val="left"/>
          <w:tab w:leader="none" w:pos="708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4 Pages</w:t>
      </w:r>
    </w:p>
    <w:p>
      <w:pPr>
        <w:spacing w:after="0" w:line="200" w:lineRule="exact"/>
        <w:rPr>
          <w:sz w:val="20"/>
          <w:szCs w:val="20"/>
          <w:color w:val="auto"/>
        </w:rPr>
      </w:pPr>
    </w:p>
    <w:p>
      <w:pPr>
        <w:spacing w:after="0" w:line="295"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u w:val="single" w:color="auto"/>
          <w:color w:val="auto"/>
        </w:rPr>
        <w:t>Ownership of 5% or Less of a Class:</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5% on Behalf of Another Person:</w:t>
      </w:r>
    </w:p>
    <w:p>
      <w:pPr>
        <w:spacing w:after="0" w:line="231" w:lineRule="exact"/>
        <w:rPr>
          <w:sz w:val="20"/>
          <w:szCs w:val="20"/>
          <w:color w:val="auto"/>
        </w:rPr>
      </w:pPr>
    </w:p>
    <w:p>
      <w:pPr>
        <w:ind w:left="2040" w:right="520"/>
        <w:spacing w:after="0" w:line="268" w:lineRule="auto"/>
        <w:rPr>
          <w:sz w:val="20"/>
          <w:szCs w:val="20"/>
          <w:color w:val="auto"/>
        </w:rPr>
      </w:pPr>
      <w:r>
        <w:rPr>
          <w:rFonts w:ascii="Arial" w:cs="Arial" w:eastAsia="Arial" w:hAnsi="Arial"/>
          <w:sz w:val="18"/>
          <w:szCs w:val="18"/>
          <w:color w:val="auto"/>
        </w:rPr>
        <w:t>While the Trustee of the Plan currently has shared dispositive power over the reported shares, participants in the Plan retain the right to the proceeds of such shares under disposition.</w:t>
      </w:r>
    </w:p>
    <w:p>
      <w:pPr>
        <w:spacing w:after="0" w:line="180" w:lineRule="exact"/>
        <w:rPr>
          <w:sz w:val="20"/>
          <w:szCs w:val="20"/>
          <w:color w:val="auto"/>
        </w:rPr>
      </w:pPr>
    </w:p>
    <w:p>
      <w:pPr>
        <w:ind w:left="2040" w:right="640" w:hanging="917"/>
        <w:spacing w:after="0" w:line="275" w:lineRule="auto"/>
        <w:tabs>
          <w:tab w:leader="none" w:pos="2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Parent Holding Company:</w:t>
      </w:r>
    </w:p>
    <w:p>
      <w:pPr>
        <w:spacing w:after="0" w:line="18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u w:val="single" w:color="auto"/>
          <w:color w:val="auto"/>
        </w:rPr>
        <w:t>Notice of Dissolution of a Group:</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SIGNATURE:</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780"/>
          </w:cols>
          <w:pgMar w:left="240" w:top="341"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Dated: January 19,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UNIVERSAL FOREST PRODUCTS,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PROFIT SHARING AND 401(k) TRUST</w:t>
      </w:r>
    </w:p>
    <w:p>
      <w:pPr>
        <w:spacing w:after="0" w:line="200" w:lineRule="exact"/>
        <w:rPr>
          <w:sz w:val="20"/>
          <w:szCs w:val="20"/>
          <w:color w:val="auto"/>
        </w:rPr>
      </w:pPr>
    </w:p>
    <w:p>
      <w:pPr>
        <w:sectPr>
          <w:pgSz w:w="11900" w:h="16838" w:orient="portrait"/>
          <w:cols w:equalWidth="0" w:num="2">
            <w:col w:w="5000" w:space="720"/>
            <w:col w:w="5060"/>
          </w:cols>
          <w:pgMar w:left="240" w:top="341" w:right="879" w:bottom="1440" w:gutter="0" w:footer="0" w:header="0"/>
          <w:type w:val="continuous"/>
        </w:sect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Matthew J. Missad</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Matthew J. Missad, Executive Vice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President of Universal Forest Products, Inc.,</w:t>
      </w:r>
    </w:p>
    <w:p>
      <w:pPr>
        <w:spacing w:after="0" w:line="4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the Plan Sponsor</w:t>
      </w:r>
    </w:p>
    <w:sectPr>
      <w:pgSz w:w="11900" w:h="16838" w:orient="portrait"/>
      <w:cols w:equalWidth="0" w:num="1">
        <w:col w:w="10780"/>
      </w:cols>
      <w:pgMar w:left="240" w:top="341" w:right="8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2"/>
      <w:numFmt w:val="bullet"/>
      <w:start w:val="1"/>
    </w:lvl>
    <w:lvl w:ilvl="1">
      <w:lvlJc w:val="left"/>
      <w:lvlText w:val="(%2)"/>
      <w:numFmt w:val="lowerLetter"/>
      <w:start w:val="1"/>
    </w:lvl>
  </w:abstractNum>
  <w:abstractNum w:abstractNumId="2">
    <w:nsid w:val="625558EC"/>
    <w:multiLevelType w:val="hybridMultilevel"/>
    <w:lvl w:ilvl="0">
      <w:lvlJc w:val="left"/>
      <w:lvlText w:val="4"/>
      <w:numFmt w:val="bullet"/>
      <w:start w:val="1"/>
    </w:lvl>
  </w:abstractNum>
  <w:abstractNum w:abstractNumId="3">
    <w:nsid w:val="238E1F29"/>
    <w:multiLevelType w:val="hybridMultilevel"/>
    <w:lvl w:ilvl="0">
      <w:lvlJc w:val="left"/>
      <w:lvlText w:val="9"/>
      <w:numFmt w:val="bullet"/>
      <w:start w:val="1"/>
    </w:lvl>
  </w:abstractNum>
  <w:abstractNum w:abstractNumId="4">
    <w:nsid w:val="46E87CC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2019-12-10T11:22:12Z</dcterms:created>
  <dcterms:modified xsi:type="dcterms:W3CDTF">2019-12-10T11:22:12Z</dcterms:modified>
</cp:coreProperties>
</file>