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374650</wp:posOffset>
            </wp:positionV>
            <wp:extent cx="649795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96" w:lineRule="exact"/>
        <w:rPr>
          <w:sz w:val="24"/>
          <w:szCs w:val="24"/>
          <w:color w:val="auto"/>
        </w:rPr>
      </w:pPr>
    </w:p>
    <w:p>
      <w:pPr>
        <w:ind w:left="280" w:hanging="270"/>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28, 2020</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39" w:lineRule="exact"/>
        <w:rPr>
          <w:sz w:val="24"/>
          <w:szCs w:val="24"/>
          <w:color w:val="auto"/>
        </w:rPr>
      </w:pPr>
    </w:p>
    <w:p>
      <w:pPr>
        <w:ind w:left="3860" w:right="1280" w:hanging="3850"/>
        <w:spacing w:after="0" w:line="397" w:lineRule="auto"/>
        <w:tabs>
          <w:tab w:leader="none" w:pos="273"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u w:val="single" w:color="auto"/>
          <w:color w:val="auto"/>
        </w:rPr>
        <w:t>0-22684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UFP INDUSTRIES,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520" w:type="dxa"/>
        <w:tblCellMar>
          <w:top w:w="0" w:type="dxa"/>
          <w:left w:w="0" w:type="dxa"/>
          <w:bottom w:w="0" w:type="dxa"/>
          <w:right w:w="0" w:type="dxa"/>
        </w:tblCellMar>
      </w:tblPr>
      <w:tr>
        <w:trPr>
          <w:trHeight w:val="237"/>
        </w:trPr>
        <w:tc>
          <w:tcPr>
            <w:tcW w:w="5320" w:type="dxa"/>
            <w:vAlign w:val="bottom"/>
            <w:gridSpan w:val="4"/>
          </w:tcPr>
          <w:p>
            <w:pPr>
              <w:jc w:val="center"/>
              <w:ind w:right="1260"/>
              <w:spacing w:after="0"/>
              <w:rPr>
                <w:sz w:val="20"/>
                <w:szCs w:val="20"/>
                <w:color w:val="auto"/>
              </w:rPr>
            </w:pPr>
            <w:r>
              <w:rPr>
                <w:rFonts w:ascii="Arial" w:cs="Arial" w:eastAsia="Arial" w:hAnsi="Arial"/>
                <w:sz w:val="18"/>
                <w:szCs w:val="18"/>
                <w:color w:val="auto"/>
                <w:w w:val="97"/>
              </w:rPr>
              <w:t>Michigan</w:t>
            </w:r>
          </w:p>
        </w:tc>
        <w:tc>
          <w:tcPr>
            <w:tcW w:w="3920" w:type="dxa"/>
            <w:vAlign w:val="bottom"/>
          </w:tcPr>
          <w:p>
            <w:pPr>
              <w:jc w:val="right"/>
              <w:ind w:right="1570"/>
              <w:spacing w:after="0"/>
              <w:rPr>
                <w:sz w:val="20"/>
                <w:szCs w:val="20"/>
                <w:color w:val="auto"/>
              </w:rPr>
            </w:pPr>
            <w:r>
              <w:rPr>
                <w:rFonts w:ascii="Arial" w:cs="Arial" w:eastAsia="Arial" w:hAnsi="Arial"/>
                <w:sz w:val="18"/>
                <w:szCs w:val="18"/>
                <w:color w:val="auto"/>
              </w:rPr>
              <w:t>38-1465835</w:t>
            </w:r>
          </w:p>
        </w:tc>
      </w:tr>
      <w:tr>
        <w:trPr>
          <w:trHeight w:val="202"/>
        </w:trPr>
        <w:tc>
          <w:tcPr>
            <w:tcW w:w="41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jc w:val="center"/>
              <w:ind w:right="210"/>
              <w:spacing w:after="0" w:line="201" w:lineRule="exact"/>
              <w:rPr>
                <w:sz w:val="20"/>
                <w:szCs w:val="20"/>
                <w:color w:val="auto"/>
              </w:rPr>
            </w:pPr>
            <w:r>
              <w:rPr>
                <w:rFonts w:ascii="Arial" w:cs="Arial" w:eastAsia="Arial" w:hAnsi="Arial"/>
                <w:sz w:val="18"/>
                <w:szCs w:val="18"/>
                <w:color w:val="auto"/>
                <w:w w:val="93"/>
              </w:rPr>
              <w:t>(I.R.S. Employer Identification Number)</w:t>
            </w:r>
          </w:p>
        </w:tc>
      </w:tr>
      <w:tr>
        <w:trPr>
          <w:trHeight w:val="230"/>
        </w:trPr>
        <w:tc>
          <w:tcPr>
            <w:tcW w:w="5320" w:type="dxa"/>
            <w:vAlign w:val="bottom"/>
            <w:gridSpan w:val="4"/>
          </w:tcPr>
          <w:p>
            <w:pPr>
              <w:jc w:val="center"/>
              <w:ind w:right="1280"/>
              <w:spacing w:after="0"/>
              <w:rPr>
                <w:sz w:val="20"/>
                <w:szCs w:val="20"/>
                <w:color w:val="auto"/>
              </w:rPr>
            </w:pPr>
            <w:r>
              <w:rPr>
                <w:rFonts w:ascii="Arial" w:cs="Arial" w:eastAsia="Arial" w:hAnsi="Arial"/>
                <w:sz w:val="18"/>
                <w:szCs w:val="18"/>
                <w:color w:val="auto"/>
                <w:w w:val="92"/>
              </w:rPr>
              <w:t>organization)</w:t>
            </w:r>
          </w:p>
        </w:tc>
        <w:tc>
          <w:tcPr>
            <w:tcW w:w="3920" w:type="dxa"/>
            <w:vAlign w:val="bottom"/>
          </w:tcPr>
          <w:p>
            <w:pPr>
              <w:spacing w:after="0"/>
              <w:rPr>
                <w:sz w:val="20"/>
                <w:szCs w:val="20"/>
                <w:color w:val="auto"/>
              </w:rPr>
            </w:pPr>
          </w:p>
        </w:tc>
      </w:tr>
      <w:tr>
        <w:trPr>
          <w:trHeight w:val="439"/>
        </w:trPr>
        <w:tc>
          <w:tcPr>
            <w:tcW w:w="5320" w:type="dxa"/>
            <w:vAlign w:val="bottom"/>
            <w:gridSpan w:val="4"/>
          </w:tcPr>
          <w:p>
            <w:pPr>
              <w:jc w:val="center"/>
              <w:ind w:right="1280"/>
              <w:spacing w:after="0"/>
              <w:rPr>
                <w:sz w:val="20"/>
                <w:szCs w:val="20"/>
                <w:color w:val="auto"/>
              </w:rPr>
            </w:pPr>
            <w:r>
              <w:rPr>
                <w:rFonts w:ascii="Arial" w:cs="Arial" w:eastAsia="Arial" w:hAnsi="Arial"/>
                <w:sz w:val="18"/>
                <w:szCs w:val="18"/>
                <w:color w:val="auto"/>
                <w:w w:val="92"/>
              </w:rPr>
              <w:t>2801 East Beltline NE, Grand Rapids, Michigan</w:t>
            </w:r>
          </w:p>
        </w:tc>
        <w:tc>
          <w:tcPr>
            <w:tcW w:w="3920" w:type="dxa"/>
            <w:vAlign w:val="bottom"/>
          </w:tcPr>
          <w:p>
            <w:pPr>
              <w:jc w:val="right"/>
              <w:ind w:right="1790"/>
              <w:spacing w:after="0"/>
              <w:rPr>
                <w:sz w:val="20"/>
                <w:szCs w:val="20"/>
                <w:color w:val="auto"/>
              </w:rPr>
            </w:pPr>
            <w:r>
              <w:rPr>
                <w:rFonts w:ascii="Arial" w:cs="Arial" w:eastAsia="Arial" w:hAnsi="Arial"/>
                <w:sz w:val="18"/>
                <w:szCs w:val="18"/>
                <w:color w:val="auto"/>
              </w:rPr>
              <w:t>49525</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color w:val="auto"/>
                <w:w w:val="94"/>
              </w:rPr>
              <w:t>(Zip Code)</w:t>
            </w:r>
          </w:p>
        </w:tc>
      </w:tr>
      <w:tr>
        <w:trPr>
          <w:trHeight w:val="350"/>
        </w:trPr>
        <w:tc>
          <w:tcPr>
            <w:tcW w:w="5320" w:type="dxa"/>
            <w:vAlign w:val="bottom"/>
            <w:gridSpan w:val="4"/>
          </w:tcPr>
          <w:p>
            <w:pPr>
              <w:ind w:left="460"/>
              <w:spacing w:after="0"/>
              <w:rPr>
                <w:sz w:val="20"/>
                <w:szCs w:val="20"/>
                <w:color w:val="auto"/>
              </w:rPr>
            </w:pPr>
            <w:r>
              <w:rPr>
                <w:rFonts w:ascii="Arial" w:cs="Arial" w:eastAsia="Arial" w:hAnsi="Arial"/>
                <w:sz w:val="18"/>
                <w:szCs w:val="18"/>
                <w:color w:val="auto"/>
                <w:w w:val="89"/>
              </w:rPr>
              <w:t xml:space="preserve">Registrant’s telephone number, including area code </w:t>
            </w:r>
            <w:r>
              <w:rPr>
                <w:rFonts w:ascii="Arial" w:cs="Arial" w:eastAsia="Arial" w:hAnsi="Arial"/>
                <w:sz w:val="18"/>
                <w:szCs w:val="18"/>
                <w:u w:val="single" w:color="auto"/>
                <w:color w:val="auto"/>
                <w:w w:val="89"/>
              </w:rPr>
              <w:t>(616)</w:t>
            </w:r>
            <w:r>
              <w:rPr>
                <w:rFonts w:ascii="Arial" w:cs="Arial" w:eastAsia="Arial" w:hAnsi="Arial"/>
                <w:sz w:val="18"/>
                <w:szCs w:val="18"/>
                <w:color w:val="auto"/>
                <w:w w:val="89"/>
              </w:rPr>
              <w:t xml:space="preserve"> 364-6161</w:t>
            </w:r>
          </w:p>
        </w:tc>
        <w:tc>
          <w:tcPr>
            <w:tcW w:w="392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229"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Universal Forest Products,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29914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left="20" w:right="40"/>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6" w:lineRule="exact"/>
        <w:rPr>
          <w:sz w:val="24"/>
          <w:szCs w:val="24"/>
          <w:color w:val="auto"/>
        </w:rPr>
      </w:pPr>
    </w:p>
    <w:p>
      <w:pPr>
        <w:jc w:val="both"/>
        <w:ind w:left="20"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6" w:lineRule="exact"/>
        <w:rPr>
          <w:sz w:val="24"/>
          <w:szCs w:val="24"/>
          <w:color w:val="auto"/>
        </w:rPr>
      </w:pPr>
    </w:p>
    <w:p>
      <w:pPr>
        <w:jc w:val="both"/>
        <w:ind w:left="20" w:right="20"/>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692" w:right="819" w:bottom="1440" w:gutter="0" w:footer="0" w:header="0"/>
        </w:sectPr>
      </w:pPr>
    </w:p>
    <w:p>
      <w:pPr>
        <w:spacing w:after="0" w:line="56" w:lineRule="exact"/>
        <w:rPr>
          <w:sz w:val="24"/>
          <w:szCs w:val="24"/>
          <w:color w:val="auto"/>
        </w:rPr>
      </w:pPr>
    </w:p>
    <w:p>
      <w:pPr>
        <w:ind w:left="540"/>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15" w:lineRule="exact"/>
        <w:rPr>
          <w:sz w:val="20"/>
          <w:szCs w:val="20"/>
          <w:color w:val="auto"/>
        </w:rPr>
      </w:pPr>
      <w:r>
        <w:rPr>
          <w:rFonts w:ascii="Arial" w:cs="Arial" w:eastAsia="Arial" w:hAnsi="Arial"/>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Non-Accelerated Filer </w:t>
      </w:r>
      <w:r>
        <w:rPr>
          <w:rFonts w:ascii="Arial Unicode MS" w:cs="Arial Unicode MS" w:eastAsia="Arial Unicode MS" w:hAnsi="Arial Unicode MS"/>
          <w:sz w:val="17"/>
          <w:szCs w:val="17"/>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both"/>
        <w:ind w:right="800"/>
        <w:spacing w:after="0" w:line="250" w:lineRule="exact"/>
        <w:rPr>
          <w:sz w:val="20"/>
          <w:szCs w:val="20"/>
          <w:color w:val="auto"/>
        </w:rPr>
      </w:pP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Emerging Growth Company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sectPr>
          <w:pgSz w:w="11900" w:h="16838" w:orient="portrait"/>
          <w:cols w:equalWidth="0" w:num="4">
            <w:col w:w="2500" w:space="660"/>
            <w:col w:w="1440" w:space="280"/>
            <w:col w:w="1820" w:space="480"/>
            <w:col w:w="3080"/>
          </w:cols>
          <w:pgMar w:left="820" w:top="692" w:right="819" w:bottom="1440" w:gutter="0" w:footer="0" w:header="0"/>
          <w:type w:val="continuous"/>
        </w:sectPr>
      </w:pPr>
    </w:p>
    <w:p>
      <w:pPr>
        <w:ind w:left="20" w:right="2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2" w:lineRule="exact"/>
        <w:rPr>
          <w:sz w:val="24"/>
          <w:szCs w:val="24"/>
          <w:color w:val="auto"/>
        </w:rPr>
      </w:pPr>
    </w:p>
    <w:p>
      <w:pPr>
        <w:ind w:left="20"/>
        <w:spacing w:after="0" w:line="242" w:lineRule="exact"/>
        <w:rPr>
          <w:sz w:val="20"/>
          <w:szCs w:val="20"/>
          <w:color w:val="auto"/>
        </w:rPr>
      </w:pPr>
      <w:r>
        <w:rPr>
          <w:rFonts w:ascii="Arial" w:cs="Arial" w:eastAsia="Arial" w:hAnsi="Arial"/>
          <w:sz w:val="18"/>
          <w:szCs w:val="18"/>
          <w:color w:val="auto"/>
        </w:rPr>
        <w:t xml:space="preserve">Indicate by checkmark whether the registrant is a shell company (as defined by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1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37"/>
        </w:trPr>
        <w:tc>
          <w:tcPr>
            <w:tcW w:w="5100" w:type="dxa"/>
            <w:vAlign w:val="bottom"/>
            <w:gridSpan w:val="2"/>
          </w:tcPr>
          <w:p>
            <w:pPr>
              <w:jc w:val="center"/>
              <w:ind w:right="1040"/>
              <w:spacing w:after="0"/>
              <w:rPr>
                <w:sz w:val="20"/>
                <w:szCs w:val="20"/>
                <w:color w:val="auto"/>
              </w:rPr>
            </w:pPr>
            <w:r>
              <w:rPr>
                <w:rFonts w:ascii="Arial" w:cs="Arial" w:eastAsia="Arial" w:hAnsi="Arial"/>
                <w:sz w:val="18"/>
                <w:szCs w:val="18"/>
                <w:color w:val="auto"/>
                <w:w w:val="84"/>
              </w:rPr>
              <w:t>Class</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Outstanding as of March 28, 2020</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$1 par value</w:t>
            </w:r>
          </w:p>
        </w:tc>
        <w:tc>
          <w:tcPr>
            <w:tcW w:w="980" w:type="dxa"/>
            <w:vAlign w:val="bottom"/>
          </w:tcPr>
          <w:p>
            <w:pPr>
              <w:spacing w:after="0"/>
              <w:rPr>
                <w:sz w:val="20"/>
                <w:szCs w:val="20"/>
                <w:color w:val="auto"/>
              </w:rPr>
            </w:pPr>
          </w:p>
        </w:tc>
        <w:tc>
          <w:tcPr>
            <w:tcW w:w="4140" w:type="dxa"/>
            <w:vAlign w:val="bottom"/>
            <w:tcBorders>
              <w:top w:val="single" w:sz="8" w:color="auto"/>
            </w:tcBorders>
          </w:tcPr>
          <w:p>
            <w:pPr>
              <w:jc w:val="right"/>
              <w:ind w:right="1610"/>
              <w:spacing w:after="0"/>
              <w:rPr>
                <w:sz w:val="20"/>
                <w:szCs w:val="20"/>
                <w:color w:val="auto"/>
              </w:rPr>
            </w:pPr>
            <w:r>
              <w:rPr>
                <w:rFonts w:ascii="Arial" w:cs="Arial" w:eastAsia="Arial" w:hAnsi="Arial"/>
                <w:sz w:val="18"/>
                <w:szCs w:val="18"/>
                <w:color w:val="auto"/>
              </w:rPr>
              <w:t>61,102,481</w:t>
            </w:r>
          </w:p>
        </w:tc>
      </w:tr>
    </w:tbl>
    <w:p>
      <w:pPr>
        <w:spacing w:after="0" w:line="10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5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16"/>
        </w:trPr>
        <w:tc>
          <w:tcPr>
            <w:tcW w:w="20" w:type="dxa"/>
            <w:vAlign w:val="bottom"/>
            <w:tcBorders>
              <w:bottom w:val="single" w:sz="8" w:color="auto"/>
            </w:tcBorders>
            <w:shd w:val="clear" w:color="auto" w:fill="000000"/>
          </w:tcPr>
          <w:p>
            <w:pPr>
              <w:spacing w:after="0"/>
              <w:rPr>
                <w:sz w:val="18"/>
                <w:szCs w:val="18"/>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no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UFPI</w:t>
            </w:r>
          </w:p>
        </w:tc>
        <w:tc>
          <w:tcPr>
            <w:tcW w:w="5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135"/>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5260" w:type="dxa"/>
            <w:vAlign w:val="bottom"/>
            <w:tcBorders>
              <w:bottom w:val="single" w:sz="8" w:color="auto"/>
            </w:tcBorders>
          </w:tcPr>
          <w:p>
            <w:pPr>
              <w:spacing w:after="0"/>
              <w:rPr>
                <w:sz w:val="11"/>
                <w:szCs w:val="11"/>
                <w:color w:val="auto"/>
              </w:rPr>
            </w:pPr>
          </w:p>
        </w:tc>
      </w:tr>
      <w:tr>
        <w:trPr>
          <w:trHeight w:val="95"/>
        </w:trPr>
        <w:tc>
          <w:tcPr>
            <w:tcW w:w="20" w:type="dxa"/>
            <w:vAlign w:val="bottom"/>
          </w:tcPr>
          <w:p>
            <w:pPr>
              <w:spacing w:after="0"/>
              <w:rPr>
                <w:sz w:val="8"/>
                <w:szCs w:val="8"/>
                <w:color w:val="auto"/>
              </w:rPr>
            </w:pPr>
          </w:p>
        </w:tc>
        <w:tc>
          <w:tcPr>
            <w:tcW w:w="2860" w:type="dxa"/>
            <w:vAlign w:val="bottom"/>
            <w:tcBorders>
              <w:left w:val="single" w:sz="8" w:color="auto"/>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5260" w:type="dxa"/>
            <w:vAlign w:val="bottom"/>
            <w:tcBorders>
              <w:bottom w:val="single" w:sz="8" w:color="auto"/>
              <w:right w:val="single" w:sz="8" w:color="auto"/>
            </w:tcBorders>
          </w:tcPr>
          <w:p>
            <w:pPr>
              <w:spacing w:after="0"/>
              <w:rPr>
                <w:sz w:val="8"/>
                <w:szCs w:val="8"/>
                <w:color w:val="auto"/>
              </w:rPr>
            </w:pPr>
          </w:p>
        </w:tc>
      </w:tr>
      <w:tr>
        <w:trPr>
          <w:trHeight w:val="574"/>
        </w:trPr>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692" w:right="819" w:bottom="144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580" w:type="dxa"/>
            <w:vAlign w:val="bottom"/>
          </w:tcPr>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69"/>
        </w:trPr>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0" w:type="dxa"/>
            <w:vAlign w:val="bottom"/>
            <w:gridSpan w:val="7"/>
          </w:tcPr>
          <w:p>
            <w:pPr>
              <w:jc w:val="center"/>
              <w:ind w:right="1960"/>
              <w:spacing w:after="0"/>
              <w:rPr>
                <w:sz w:val="20"/>
                <w:szCs w:val="20"/>
                <w:color w:val="auto"/>
              </w:rPr>
            </w:pPr>
            <w:r>
              <w:rPr>
                <w:rFonts w:ascii="Arial" w:cs="Arial" w:eastAsia="Arial" w:hAnsi="Arial"/>
                <w:sz w:val="18"/>
                <w:szCs w:val="18"/>
                <w:b w:val="1"/>
                <w:bCs w:val="1"/>
                <w:color w:val="auto"/>
                <w:w w:val="99"/>
              </w:rPr>
              <w:t>UFP INDUSTRIES, INC.</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0" w:type="dxa"/>
            <w:vAlign w:val="bottom"/>
            <w:gridSpan w:val="7"/>
          </w:tcPr>
          <w:p>
            <w:pPr>
              <w:jc w:val="center"/>
              <w:ind w:right="196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2"/>
        </w:trPr>
        <w:tc>
          <w:tcPr>
            <w:tcW w:w="158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6560" w:type="dxa"/>
            <w:vAlign w:val="bottom"/>
            <w:gridSpan w:val="8"/>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Page No.</w:t>
            </w:r>
          </w:p>
        </w:tc>
      </w:tr>
      <w:tr>
        <w:trPr>
          <w:trHeight w:val="432"/>
        </w:trPr>
        <w:tc>
          <w:tcPr>
            <w:tcW w:w="1580" w:type="dxa"/>
            <w:vAlign w:val="bottom"/>
          </w:tcPr>
          <w:p>
            <w:pPr>
              <w:ind w:left="840"/>
              <w:spacing w:after="0"/>
              <w:rPr>
                <w:sz w:val="20"/>
                <w:szCs w:val="20"/>
                <w:color w:val="auto"/>
              </w:rPr>
            </w:pPr>
            <w:r>
              <w:rPr>
                <w:rFonts w:ascii="Arial" w:cs="Arial" w:eastAsia="Arial" w:hAnsi="Arial"/>
                <w:sz w:val="18"/>
                <w:szCs w:val="18"/>
                <w:color w:val="auto"/>
              </w:rPr>
              <w:t>Item 1.</w:t>
            </w:r>
          </w:p>
        </w:tc>
        <w:tc>
          <w:tcPr>
            <w:tcW w:w="6560" w:type="dxa"/>
            <w:vAlign w:val="bottom"/>
            <w:gridSpan w:val="8"/>
          </w:tcPr>
          <w:p>
            <w:pPr>
              <w:ind w:left="20"/>
              <w:spacing w:after="0"/>
              <w:rPr>
                <w:sz w:val="20"/>
                <w:szCs w:val="20"/>
                <w:color w:val="auto"/>
              </w:rPr>
            </w:pPr>
            <w:r>
              <w:rPr>
                <w:rFonts w:ascii="Arial" w:cs="Arial" w:eastAsia="Arial" w:hAnsi="Arial"/>
                <w:sz w:val="18"/>
                <w:szCs w:val="18"/>
                <w:color w:val="auto"/>
              </w:rPr>
              <w:t>Financial Statements</w:t>
            </w: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58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6"/>
            <w:shd w:val="clear" w:color="auto" w:fill="CCEEFF"/>
          </w:tcPr>
          <w:p>
            <w:pPr>
              <w:ind w:left="20"/>
              <w:spacing w:after="0" w:line="17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Condensed Consolidated Balance Sheets at March 28, 2020, December 28, 2019 and</w:t>
              </w:r>
            </w:hyperlink>
          </w:p>
        </w:tc>
        <w:tc>
          <w:tcPr>
            <w:tcW w:w="40" w:type="dxa"/>
            <w:vAlign w:val="bottom"/>
            <w:tcBorders>
              <w:bottom w:val="single" w:sz="8" w:color="CCEEFF"/>
            </w:tcBorders>
            <w:gridSpan w:val="2"/>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7"/>
        </w:trPr>
        <w:tc>
          <w:tcPr>
            <w:tcW w:w="1580" w:type="dxa"/>
            <w:vAlign w:val="bottom"/>
            <w:shd w:val="clear" w:color="auto" w:fill="CCEEFF"/>
          </w:tcPr>
          <w:p>
            <w:pPr>
              <w:spacing w:after="0"/>
              <w:rPr>
                <w:sz w:val="18"/>
                <w:szCs w:val="18"/>
                <w:color w:val="auto"/>
              </w:rPr>
            </w:pPr>
          </w:p>
        </w:tc>
        <w:tc>
          <w:tcPr>
            <w:tcW w:w="6560" w:type="dxa"/>
            <w:vAlign w:val="bottom"/>
            <w:gridSpan w:val="8"/>
            <w:shd w:val="clear" w:color="auto" w:fill="CCEEFF"/>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March 30, 2019</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1580" w:type="dxa"/>
            <w:vAlign w:val="bottom"/>
            <w:tcBorders>
              <w:top w:val="single" w:sz="8" w:color="CCEEFF"/>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580" w:type="dxa"/>
            <w:vAlign w:val="bottom"/>
            <w:shd w:val="clear" w:color="auto" w:fill="CCEEFF"/>
          </w:tcPr>
          <w:p>
            <w:pPr>
              <w:spacing w:after="0"/>
              <w:rPr>
                <w:sz w:val="15"/>
                <w:szCs w:val="15"/>
                <w:color w:val="auto"/>
              </w:rPr>
            </w:pPr>
          </w:p>
        </w:tc>
        <w:tc>
          <w:tcPr>
            <w:tcW w:w="6560" w:type="dxa"/>
            <w:vAlign w:val="bottom"/>
            <w:gridSpan w:val="8"/>
            <w:shd w:val="clear" w:color="auto" w:fill="CCEEFF"/>
          </w:tcPr>
          <w:p>
            <w:pPr>
              <w:ind w:left="20"/>
              <w:spacing w:after="0" w:line="17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Consolidated Statements of Earnings and Comprehensive Income for the</w:t>
              </w:r>
            </w:hyperlink>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7"/>
        </w:trPr>
        <w:tc>
          <w:tcPr>
            <w:tcW w:w="158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5"/>
            <w:shd w:val="clear" w:color="auto" w:fill="CCEEFF"/>
          </w:tcPr>
          <w:p>
            <w:pPr>
              <w:ind w:lef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Three Months Ended March 28, 2020 and March 30, 2019</w:t>
              </w:r>
            </w:hyperlink>
          </w:p>
        </w:tc>
        <w:tc>
          <w:tcPr>
            <w:tcW w:w="60" w:type="dxa"/>
            <w:vAlign w:val="bottom"/>
            <w:tcBorders>
              <w:top w:val="single" w:sz="8" w:color="CCEEFF"/>
            </w:tcBorders>
            <w:gridSpan w:val="3"/>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1580" w:type="dxa"/>
            <w:vAlign w:val="bottom"/>
            <w:tcBorders>
              <w:top w:val="single" w:sz="8" w:color="CCEEFF"/>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580" w:type="dxa"/>
            <w:vAlign w:val="bottom"/>
            <w:tcBorders>
              <w:bottom w:val="single" w:sz="8" w:color="CCEEFF"/>
            </w:tcBorders>
            <w:shd w:val="clear" w:color="auto" w:fill="CCEEFF"/>
          </w:tcPr>
          <w:p>
            <w:pPr>
              <w:spacing w:after="0"/>
              <w:rPr>
                <w:sz w:val="15"/>
                <w:szCs w:val="15"/>
                <w:color w:val="auto"/>
              </w:rPr>
            </w:pPr>
          </w:p>
        </w:tc>
        <w:tc>
          <w:tcPr>
            <w:tcW w:w="6540" w:type="dxa"/>
            <w:vAlign w:val="bottom"/>
            <w:tcBorders>
              <w:bottom w:val="single" w:sz="8" w:color="0000EE"/>
            </w:tcBorders>
            <w:gridSpan w:val="7"/>
            <w:shd w:val="clear" w:color="auto" w:fill="CCEEFF"/>
          </w:tcPr>
          <w:p>
            <w:pPr>
              <w:ind w:left="20"/>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Shareholders’ Equity for the Three Months Ended</w:t>
              </w:r>
            </w:hyperlink>
          </w:p>
        </w:tc>
        <w:tc>
          <w:tcPr>
            <w:tcW w:w="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1580" w:type="dxa"/>
            <w:vAlign w:val="bottom"/>
            <w:shd w:val="clear" w:color="auto" w:fill="CCEEFF"/>
          </w:tcPr>
          <w:p>
            <w:pPr>
              <w:spacing w:after="0"/>
              <w:rPr>
                <w:sz w:val="18"/>
                <w:szCs w:val="18"/>
                <w:color w:val="auto"/>
              </w:rPr>
            </w:pPr>
          </w:p>
        </w:tc>
        <w:tc>
          <w:tcPr>
            <w:tcW w:w="6560" w:type="dxa"/>
            <w:vAlign w:val="bottom"/>
            <w:gridSpan w:val="8"/>
            <w:shd w:val="clear" w:color="auto" w:fill="CCEEFF"/>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March 28, 2020 and March 30, 2019</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1580" w:type="dxa"/>
            <w:vAlign w:val="bottom"/>
            <w:tcBorders>
              <w:top w:val="single" w:sz="8" w:color="CCEEFF"/>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58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6"/>
            <w:shd w:val="clear" w:color="auto" w:fill="CCEEFF"/>
          </w:tcPr>
          <w:p>
            <w:pPr>
              <w:ind w:left="20"/>
              <w:spacing w:after="0" w:line="17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Cash Flows for the Three Months Ended March</w:t>
              </w:r>
            </w:hyperlink>
          </w:p>
        </w:tc>
        <w:tc>
          <w:tcPr>
            <w:tcW w:w="40" w:type="dxa"/>
            <w:vAlign w:val="bottom"/>
            <w:tcBorders>
              <w:bottom w:val="single" w:sz="8" w:color="CCEEFF"/>
            </w:tcBorders>
            <w:gridSpan w:val="2"/>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7"/>
        </w:trPr>
        <w:tc>
          <w:tcPr>
            <w:tcW w:w="1580" w:type="dxa"/>
            <w:vAlign w:val="bottom"/>
            <w:shd w:val="clear" w:color="auto" w:fill="CCEEFF"/>
          </w:tcPr>
          <w:p>
            <w:pPr>
              <w:spacing w:after="0"/>
              <w:rPr>
                <w:sz w:val="18"/>
                <w:szCs w:val="18"/>
                <w:color w:val="auto"/>
              </w:rPr>
            </w:pPr>
          </w:p>
        </w:tc>
        <w:tc>
          <w:tcPr>
            <w:tcW w:w="6560" w:type="dxa"/>
            <w:vAlign w:val="bottom"/>
            <w:gridSpan w:val="8"/>
            <w:shd w:val="clear" w:color="auto" w:fill="CCEEFF"/>
          </w:tcPr>
          <w:p>
            <w:pPr>
              <w:ind w:left="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28, 2020 and March 30, 2019</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16"/>
        </w:trPr>
        <w:tc>
          <w:tcPr>
            <w:tcW w:w="1580" w:type="dxa"/>
            <w:vAlign w:val="bottom"/>
            <w:tcBorders>
              <w:top w:val="single" w:sz="8" w:color="CCEEFF"/>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6560" w:type="dxa"/>
            <w:vAlign w:val="bottom"/>
            <w:gridSpan w:val="8"/>
            <w:shd w:val="clear" w:color="auto" w:fill="CCEEFF"/>
          </w:tcPr>
          <w:p>
            <w:pPr>
              <w:ind w:left="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Condensed Consolidated Financial Statements</w:t>
              </w:r>
            </w:hyperlink>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27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140" w:type="dxa"/>
            <w:vAlign w:val="bottom"/>
            <w:gridSpan w:val="9"/>
            <w:shd w:val="clear" w:color="auto" w:fill="CCEEFF"/>
          </w:tcPr>
          <w:p>
            <w:pPr>
              <w:ind w:left="840"/>
              <w:spacing w:after="0"/>
              <w:rPr>
                <w:rFonts w:ascii="Arial" w:cs="Arial" w:eastAsia="Arial" w:hAnsi="Arial"/>
                <w:sz w:val="18"/>
                <w:szCs w:val="18"/>
                <w:u w:val="single" w:color="auto"/>
                <w:color w:val="0000EE"/>
                <w:w w:val="93"/>
              </w:rPr>
            </w:pPr>
            <w:hyperlink w:anchor="page15">
              <w:r>
                <w:rPr>
                  <w:rFonts w:ascii="Arial" w:cs="Arial" w:eastAsia="Arial" w:hAnsi="Arial"/>
                  <w:sz w:val="18"/>
                  <w:szCs w:val="18"/>
                  <w:u w:val="single" w:color="auto"/>
                  <w:color w:val="0000EE"/>
                  <w:w w:val="93"/>
                </w:rPr>
                <w:t>Item 2.   Management’s Discussion and Analysis of Financial Condition and Results of Operations</w:t>
              </w:r>
            </w:hyperlink>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16"/>
        </w:trPr>
        <w:tc>
          <w:tcPr>
            <w:tcW w:w="27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140" w:type="dxa"/>
            <w:vAlign w:val="bottom"/>
            <w:gridSpan w:val="9"/>
            <w:shd w:val="clear" w:color="auto" w:fill="CCEEFF"/>
          </w:tcPr>
          <w:p>
            <w:pPr>
              <w:ind w:left="8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3.   Quantitative and Qualitative Disclosures about Market Risk</w:t>
              </w:r>
            </w:hyperlink>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16"/>
        </w:trPr>
        <w:tc>
          <w:tcPr>
            <w:tcW w:w="27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140" w:type="dxa"/>
            <w:vAlign w:val="bottom"/>
            <w:gridSpan w:val="9"/>
            <w:shd w:val="clear" w:color="auto" w:fill="CCEEFF"/>
          </w:tcPr>
          <w:p>
            <w:pPr>
              <w:ind w:left="8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4.   Controls and Procedures</w:t>
              </w:r>
            </w:hyperlink>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6560" w:type="dxa"/>
            <w:vAlign w:val="bottom"/>
            <w:gridSpan w:val="8"/>
            <w:shd w:val="clear" w:color="auto" w:fill="CCEEFF"/>
          </w:tcPr>
          <w:p>
            <w:pPr>
              <w:ind w:left="20"/>
              <w:spacing w:after="0"/>
              <w:rPr>
                <w:sz w:val="20"/>
                <w:szCs w:val="20"/>
                <w:color w:val="auto"/>
              </w:rPr>
            </w:pPr>
            <w:r>
              <w:rPr>
                <w:rFonts w:ascii="Arial" w:cs="Arial" w:eastAsia="Arial" w:hAnsi="Arial"/>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Item 1.</w:t>
            </w:r>
          </w:p>
        </w:tc>
        <w:tc>
          <w:tcPr>
            <w:tcW w:w="656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Legal Proceedings – NONE</w:t>
            </w: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7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140" w:type="dxa"/>
            <w:vAlign w:val="bottom"/>
            <w:gridSpan w:val="9"/>
            <w:shd w:val="clear" w:color="auto" w:fill="CCEEFF"/>
          </w:tcPr>
          <w:p>
            <w:pPr>
              <w:ind w:left="840"/>
              <w:spacing w:after="0"/>
              <w:rPr>
                <w:rFonts w:ascii="Arial" w:cs="Arial" w:eastAsia="Arial" w:hAnsi="Arial"/>
                <w:sz w:val="18"/>
                <w:szCs w:val="18"/>
                <w:color w:val="0000EE"/>
              </w:rPr>
            </w:pPr>
            <w:hyperlink w:anchor="page28">
              <w:r>
                <w:rPr>
                  <w:rFonts w:ascii="Arial" w:cs="Arial" w:eastAsia="Arial" w:hAnsi="Arial"/>
                  <w:sz w:val="18"/>
                  <w:szCs w:val="18"/>
                  <w:u w:val="single" w:color="auto"/>
                  <w:color w:val="0000EE"/>
                </w:rPr>
                <w:t>Item 1A</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Risk Factors</w:t>
              </w:r>
            </w:hyperlink>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27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140" w:type="dxa"/>
            <w:vAlign w:val="bottom"/>
            <w:gridSpan w:val="9"/>
            <w:shd w:val="clear" w:color="auto" w:fill="CCEEFF"/>
          </w:tcPr>
          <w:p>
            <w:pPr>
              <w:ind w:left="8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2.   Unregistered Sales of Equity Securities and Use of Proceeds</w:t>
              </w:r>
            </w:hyperlink>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Item 3.</w:t>
            </w:r>
          </w:p>
        </w:tc>
        <w:tc>
          <w:tcPr>
            <w:tcW w:w="656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Item 4.</w:t>
            </w:r>
          </w:p>
        </w:tc>
        <w:tc>
          <w:tcPr>
            <w:tcW w:w="656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Mine Safety Disclosures – NONE</w:t>
            </w: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7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140" w:type="dxa"/>
            <w:vAlign w:val="bottom"/>
            <w:gridSpan w:val="9"/>
            <w:shd w:val="clear" w:color="auto" w:fill="CCEEFF"/>
          </w:tcPr>
          <w:p>
            <w:pPr>
              <w:ind w:left="8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5.   Other Information – NONE</w:t>
              </w:r>
            </w:hyperlink>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shd w:val="clear" w:color="auto" w:fill="CCEEFF"/>
          </w:tcPr>
          <w:p>
            <w:pPr>
              <w:ind w:left="8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6.</w:t>
              </w:r>
            </w:hyperlink>
          </w:p>
        </w:tc>
        <w:tc>
          <w:tcPr>
            <w:tcW w:w="6560" w:type="dxa"/>
            <w:vAlign w:val="bottom"/>
            <w:gridSpan w:val="8"/>
            <w:shd w:val="clear" w:color="auto" w:fill="CCEEFF"/>
          </w:tcPr>
          <w:p>
            <w:pPr>
              <w:ind w:left="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Exhibits</w:t>
              </w:r>
            </w:hyperlink>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878"/>
        </w:trPr>
        <w:tc>
          <w:tcPr>
            <w:tcW w:w="1580" w:type="dxa"/>
            <w:vAlign w:val="bottom"/>
          </w:tcPr>
          <w:p>
            <w:pPr>
              <w:spacing w:after="0"/>
              <w:rPr>
                <w:sz w:val="24"/>
                <w:szCs w:val="24"/>
                <w:color w:val="auto"/>
              </w:rPr>
            </w:pPr>
          </w:p>
        </w:tc>
        <w:tc>
          <w:tcPr>
            <w:tcW w:w="4220" w:type="dxa"/>
            <w:vAlign w:val="bottom"/>
            <w:gridSpan w:val="4"/>
          </w:tcPr>
          <w:p>
            <w:pPr>
              <w:jc w:val="center"/>
              <w:ind w:left="1450"/>
              <w:spacing w:after="0"/>
              <w:rPr>
                <w:sz w:val="20"/>
                <w:szCs w:val="20"/>
                <w:color w:val="auto"/>
              </w:rPr>
            </w:pPr>
            <w:r>
              <w:rPr>
                <w:rFonts w:ascii="Arial" w:cs="Arial" w:eastAsia="Arial" w:hAnsi="Arial"/>
                <w:sz w:val="18"/>
                <w:szCs w:val="18"/>
                <w:color w:val="auto"/>
                <w:w w:val="79"/>
              </w:rPr>
              <w:t>2</w:t>
            </w: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1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940" w:type="dxa"/>
            <w:vAlign w:val="bottom"/>
          </w:tcPr>
          <w:p>
            <w:pPr>
              <w:spacing w:after="0"/>
              <w:rPr>
                <w:sz w:val="20"/>
                <w:szCs w:val="20"/>
                <w:color w:val="auto"/>
              </w:rPr>
            </w:pPr>
            <w:r>
              <w:rPr>
                <w:rFonts w:ascii="Arial" w:cs="Arial" w:eastAsia="Arial" w:hAnsi="Arial"/>
                <w:sz w:val="14"/>
                <w:szCs w:val="14"/>
                <w:b w:val="1"/>
                <w:bCs w:val="1"/>
                <w:color w:val="auto"/>
              </w:rPr>
              <w:t>(in thousands, except share data)</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March 28,</w:t>
            </w:r>
          </w:p>
        </w:tc>
        <w:tc>
          <w:tcPr>
            <w:tcW w:w="220" w:type="dxa"/>
            <w:vAlign w:val="bottom"/>
          </w:tcPr>
          <w:p>
            <w:pPr>
              <w:spacing w:after="0"/>
              <w:rPr>
                <w:sz w:val="16"/>
                <w:szCs w:val="16"/>
                <w:color w:val="auto"/>
              </w:rPr>
            </w:pPr>
          </w:p>
        </w:tc>
        <w:tc>
          <w:tcPr>
            <w:tcW w:w="96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w w:val="94"/>
              </w:rPr>
              <w:t>December 28,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11"/>
        </w:trPr>
        <w:tc>
          <w:tcPr>
            <w:tcW w:w="4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49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and cash equivalents</w:t>
            </w:r>
          </w:p>
        </w:tc>
        <w:tc>
          <w:tcPr>
            <w:tcW w:w="6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32,129</w:t>
            </w:r>
          </w:p>
        </w:tc>
        <w:tc>
          <w:tcPr>
            <w:tcW w:w="42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168,336</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Restricted cash</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724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Investments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17,778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18,527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Accounts receivable, net</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460,821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364,027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444,111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Inventories: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320"/>
              <w:spacing w:after="0" w:line="149" w:lineRule="exact"/>
              <w:rPr>
                <w:sz w:val="20"/>
                <w:szCs w:val="20"/>
                <w:color w:val="auto"/>
              </w:rPr>
            </w:pPr>
            <w:r>
              <w:rPr>
                <w:rFonts w:ascii="Arial" w:cs="Arial" w:eastAsia="Arial" w:hAnsi="Arial"/>
                <w:sz w:val="14"/>
                <w:szCs w:val="14"/>
                <w:color w:val="auto"/>
              </w:rPr>
              <w:t>Raw materials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263,857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236,283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279,265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Finished goods</w:t>
            </w: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246,824</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250,591</w:t>
            </w: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300,898</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940" w:type="dxa"/>
            <w:vAlign w:val="bottom"/>
          </w:tcPr>
          <w:p>
            <w:pPr>
              <w:ind w:left="420"/>
              <w:spacing w:after="0" w:line="135" w:lineRule="exact"/>
              <w:rPr>
                <w:sz w:val="20"/>
                <w:szCs w:val="20"/>
                <w:color w:val="auto"/>
              </w:rPr>
            </w:pPr>
            <w:r>
              <w:rPr>
                <w:rFonts w:ascii="Arial" w:cs="Arial" w:eastAsia="Arial" w:hAnsi="Arial"/>
                <w:sz w:val="14"/>
                <w:szCs w:val="14"/>
                <w:color w:val="auto"/>
              </w:rPr>
              <w:t>Total inventories</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4"/>
                <w:szCs w:val="14"/>
                <w:color w:val="auto"/>
              </w:rPr>
              <w:t>510,681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486,874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4"/>
                <w:szCs w:val="14"/>
                <w:color w:val="auto"/>
              </w:rPr>
              <w:t>580,163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Refundable income taxes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13,272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Other current assets</w:t>
            </w:r>
          </w:p>
        </w:tc>
        <w:tc>
          <w:tcPr>
            <w:tcW w:w="5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36,152</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41,706</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40,237</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1,060,909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1,093,072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1,103,472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2,145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2,763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INVESTMENTS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16,111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RIGHT OF USE ASSETS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81,065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80,167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66,100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25,198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24,884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246,459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229,536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224,247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46,232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48,313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39,686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Property, plant and equipment</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906,171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884,963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828,837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(508,596)</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(497,789)</w:t>
            </w: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(472,671)</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940" w:type="dxa"/>
            <w:vAlign w:val="bottom"/>
            <w:tcBorders>
              <w:bottom w:val="single" w:sz="8" w:color="CCEEFF"/>
            </w:tcBorders>
          </w:tcPr>
          <w:p>
            <w:pPr>
              <w:ind w:left="400"/>
              <w:spacing w:after="0" w:line="135" w:lineRule="exact"/>
              <w:rPr>
                <w:sz w:val="20"/>
                <w:szCs w:val="20"/>
                <w:color w:val="auto"/>
              </w:rPr>
            </w:pPr>
            <w:r>
              <w:rPr>
                <w:rFonts w:ascii="Arial" w:cs="Arial" w:eastAsia="Arial" w:hAnsi="Arial"/>
                <w:sz w:val="14"/>
                <w:szCs w:val="14"/>
                <w:color w:val="auto"/>
              </w:rPr>
              <w:t>PROPERTY, PLANT AND EQUIPMENT, NET</w:t>
            </w:r>
          </w:p>
        </w:tc>
        <w:tc>
          <w:tcPr>
            <w:tcW w:w="5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397,575</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387,174</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356,166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5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1,882,982</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1,889,477</w:t>
            </w:r>
          </w:p>
        </w:tc>
        <w:tc>
          <w:tcPr>
            <w:tcW w:w="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1,821,398</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4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Cash overdraft</w:t>
            </w:r>
          </w:p>
        </w:tc>
        <w:tc>
          <w:tcPr>
            <w:tcW w:w="6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18,732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payable</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162,039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142,479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170,667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Accrued liabilities: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Compensation and benefits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141,892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320"/>
              <w:spacing w:after="0" w:line="149" w:lineRule="exact"/>
              <w:rPr>
                <w:sz w:val="20"/>
                <w:szCs w:val="20"/>
                <w:color w:val="auto"/>
              </w:rPr>
            </w:pPr>
            <w:r>
              <w:rPr>
                <w:rFonts w:ascii="Arial" w:cs="Arial" w:eastAsia="Arial" w:hAnsi="Arial"/>
                <w:sz w:val="14"/>
                <w:szCs w:val="14"/>
                <w:color w:val="auto"/>
              </w:rPr>
              <w:t>Other</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55,760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51,572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45,618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Current portion of lease liability</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16,180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15,283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4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Current portion of long-term debt</w:t>
            </w:r>
          </w:p>
        </w:tc>
        <w:tc>
          <w:tcPr>
            <w:tcW w:w="5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2,772</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2,816</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LIABILITIES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329,255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354,042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320,569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160,550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160,867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266,428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LEASE LIABILITY</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64,937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64,884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51,600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22,799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22,880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14,622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33,159</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29,071</w:t>
            </w: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29,813</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940" w:type="dxa"/>
            <w:vAlign w:val="bottom"/>
          </w:tcPr>
          <w:p>
            <w:pPr>
              <w:ind w:left="420"/>
              <w:spacing w:after="0" w:line="135" w:lineRule="exact"/>
              <w:rPr>
                <w:sz w:val="20"/>
                <w:szCs w:val="20"/>
                <w:color w:val="auto"/>
              </w:rPr>
            </w:pPr>
            <w:r>
              <w:rPr>
                <w:rFonts w:ascii="Arial" w:cs="Arial" w:eastAsia="Arial" w:hAnsi="Arial"/>
                <w:sz w:val="14"/>
                <w:szCs w:val="14"/>
                <w:color w:val="auto"/>
              </w:rPr>
              <w:t>TOTAL LIABILITIES</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4"/>
                <w:szCs w:val="14"/>
                <w:color w:val="auto"/>
              </w:rPr>
              <w:t>610,700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631,744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4"/>
                <w:szCs w:val="14"/>
                <w:color w:val="auto"/>
              </w:rPr>
              <w:t>683,032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Controlling interest shareholders’ equity:</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94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Preferred stock, no par value; shares authorized 1,000,000; issued and</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outstanding, none</w:t>
            </w:r>
          </w:p>
        </w:tc>
        <w:tc>
          <w:tcPr>
            <w:tcW w:w="6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940" w:type="dxa"/>
            <w:vAlign w:val="bottom"/>
          </w:tcPr>
          <w:p>
            <w:pPr>
              <w:ind w:left="320"/>
              <w:spacing w:after="0" w:line="130" w:lineRule="exact"/>
              <w:rPr>
                <w:sz w:val="20"/>
                <w:szCs w:val="20"/>
                <w:color w:val="auto"/>
              </w:rPr>
            </w:pPr>
            <w:r>
              <w:rPr>
                <w:rFonts w:ascii="Arial" w:cs="Arial" w:eastAsia="Arial" w:hAnsi="Arial"/>
                <w:sz w:val="14"/>
                <w:szCs w:val="14"/>
                <w:color w:val="auto"/>
              </w:rPr>
              <w:t>Common stock, $1 par value; shares authorized 80,000,000; issued and</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40" w:type="dxa"/>
            <w:vAlign w:val="bottom"/>
          </w:tcPr>
          <w:p>
            <w:pPr>
              <w:ind w:left="320"/>
              <w:spacing w:after="0"/>
              <w:rPr>
                <w:sz w:val="20"/>
                <w:szCs w:val="20"/>
                <w:color w:val="auto"/>
              </w:rPr>
            </w:pPr>
            <w:r>
              <w:rPr>
                <w:rFonts w:ascii="Arial" w:cs="Arial" w:eastAsia="Arial" w:hAnsi="Arial"/>
                <w:sz w:val="14"/>
                <w:szCs w:val="14"/>
                <w:color w:val="auto"/>
              </w:rPr>
              <w:t>outstanding, 61,102,481, 61,408,589 and 61,352,372</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61,102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61,409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61,352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211,724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192,173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190,879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320"/>
              <w:spacing w:after="0" w:line="149" w:lineRule="exact"/>
              <w:rPr>
                <w:sz w:val="20"/>
                <w:szCs w:val="20"/>
                <w:color w:val="auto"/>
              </w:rPr>
            </w:pPr>
            <w:r>
              <w:rPr>
                <w:rFonts w:ascii="Arial" w:cs="Arial" w:eastAsia="Arial" w:hAnsi="Arial"/>
                <w:sz w:val="14"/>
                <w:szCs w:val="14"/>
                <w:color w:val="auto"/>
              </w:rPr>
              <w:t>Retained earnings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998,996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995,022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875,457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Accumulated other comprehensive income</w:t>
            </w: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(11,110)</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(4,889)</w:t>
            </w: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(4,789)</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40" w:type="dxa"/>
            <w:vAlign w:val="bottom"/>
          </w:tcPr>
          <w:p>
            <w:pPr>
              <w:ind w:left="420"/>
              <w:spacing w:after="0" w:line="135" w:lineRule="exact"/>
              <w:rPr>
                <w:sz w:val="20"/>
                <w:szCs w:val="20"/>
                <w:color w:val="auto"/>
              </w:rPr>
            </w:pPr>
            <w:r>
              <w:rPr>
                <w:rFonts w:ascii="Arial" w:cs="Arial" w:eastAsia="Arial" w:hAnsi="Arial"/>
                <w:sz w:val="14"/>
                <w:szCs w:val="14"/>
                <w:color w:val="auto"/>
              </w:rPr>
              <w:t>Total controlling interest shareholders’ equity</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4"/>
                <w:szCs w:val="14"/>
                <w:color w:val="auto"/>
              </w:rPr>
              <w:t>1,260,712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1,243,715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4"/>
                <w:szCs w:val="14"/>
                <w:color w:val="auto"/>
              </w:rPr>
              <w:t>1,122,899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94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Noncontrolling interest</w:t>
            </w: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11,570</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14,018</w:t>
            </w: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15,467</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tcBorders>
              <w:bottom w:val="single" w:sz="8" w:color="CCEEFF"/>
            </w:tcBorders>
          </w:tcPr>
          <w:p>
            <w:pPr>
              <w:ind w:left="420"/>
              <w:spacing w:after="0" w:line="135" w:lineRule="exact"/>
              <w:rPr>
                <w:sz w:val="20"/>
                <w:szCs w:val="20"/>
                <w:color w:val="auto"/>
              </w:rPr>
            </w:pPr>
            <w:r>
              <w:rPr>
                <w:rFonts w:ascii="Arial" w:cs="Arial" w:eastAsia="Arial" w:hAnsi="Arial"/>
                <w:sz w:val="14"/>
                <w:szCs w:val="14"/>
                <w:color w:val="auto"/>
              </w:rPr>
              <w:t>TOTAL SHAREHOLDERS’ EQUITY</w:t>
            </w:r>
          </w:p>
        </w:tc>
        <w:tc>
          <w:tcPr>
            <w:tcW w:w="5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1,272,282</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1,257,733</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1,138,366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SHAREHOLDERS’ EQUITY</w:t>
            </w:r>
          </w:p>
        </w:tc>
        <w:tc>
          <w:tcPr>
            <w:tcW w:w="5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1,882,982</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1,889,477</w:t>
            </w:r>
          </w:p>
        </w:tc>
        <w:tc>
          <w:tcPr>
            <w:tcW w:w="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1,821,398</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left="60" w:right="79"/>
        <w:spacing w:after="0" w:line="275" w:lineRule="auto"/>
        <w:rPr>
          <w:sz w:val="20"/>
          <w:szCs w:val="20"/>
          <w:color w:val="auto"/>
        </w:rPr>
      </w:pPr>
      <w:r>
        <w:rPr>
          <w:rFonts w:ascii="Arial" w:cs="Arial" w:eastAsia="Arial" w:hAnsi="Arial"/>
          <w:sz w:val="18"/>
          <w:szCs w:val="18"/>
          <w:b w:val="1"/>
          <w:bCs w:val="1"/>
          <w:color w:val="auto"/>
        </w:rPr>
        <w:t>CONDENSED CONSOLIDATED STATEMENTS OF EARNINGS AND COMPREHENSIVE INCOME (Unaudited)</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thousands, except per share data)</w:t>
      </w:r>
    </w:p>
    <w:tbl>
      <w:tblPr>
        <w:tblLayout w:type="fixed"/>
        <w:tblInd w:w="60" w:type="dxa"/>
        <w:tblCellMar>
          <w:top w:w="0" w:type="dxa"/>
          <w:left w:w="0" w:type="dxa"/>
          <w:bottom w:w="0" w:type="dxa"/>
          <w:right w:w="0" w:type="dxa"/>
        </w:tblCellMar>
      </w:tblPr>
      <w:tr>
        <w:trPr>
          <w:trHeight w:val="166"/>
        </w:trPr>
        <w:tc>
          <w:tcPr>
            <w:tcW w:w="6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ind w:left="340"/>
              <w:spacing w:after="0" w:line="159" w:lineRule="exact"/>
              <w:rPr>
                <w:sz w:val="20"/>
                <w:szCs w:val="20"/>
                <w:color w:val="auto"/>
              </w:rPr>
            </w:pPr>
            <w:r>
              <w:rPr>
                <w:rFonts w:ascii="Arial" w:cs="Arial" w:eastAsia="Arial" w:hAnsi="Arial"/>
                <w:sz w:val="14"/>
                <w:szCs w:val="14"/>
                <w:b w:val="1"/>
                <w:bCs w:val="1"/>
                <w:color w:val="auto"/>
              </w:rPr>
              <w:t>Three Months Ended</w:t>
            </w:r>
          </w:p>
        </w:tc>
      </w:tr>
      <w:tr>
        <w:trPr>
          <w:trHeight w:val="126"/>
        </w:trPr>
        <w:tc>
          <w:tcPr>
            <w:tcW w:w="6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32"/>
              <w:spacing w:after="0" w:line="126" w:lineRule="exact"/>
              <w:rPr>
                <w:sz w:val="20"/>
                <w:szCs w:val="20"/>
                <w:color w:val="auto"/>
              </w:rPr>
            </w:pPr>
            <w:r>
              <w:rPr>
                <w:rFonts w:ascii="Arial" w:cs="Arial" w:eastAsia="Arial" w:hAnsi="Arial"/>
                <w:sz w:val="14"/>
                <w:szCs w:val="14"/>
                <w:b w:val="1"/>
                <w:bCs w:val="1"/>
                <w:color w:val="auto"/>
              </w:rPr>
              <w:t>March 28,</w:t>
            </w: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32"/>
              <w:spacing w:after="0" w:line="126"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0"/>
                <w:szCs w:val="10"/>
                <w:color w:val="auto"/>
              </w:rPr>
            </w:pPr>
          </w:p>
        </w:tc>
      </w:tr>
      <w:tr>
        <w:trPr>
          <w:trHeight w:val="178"/>
        </w:trPr>
        <w:tc>
          <w:tcPr>
            <w:tcW w:w="6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1,032,062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1,015,125</w:t>
            </w:r>
          </w:p>
        </w:tc>
        <w:tc>
          <w:tcPr>
            <w:tcW w:w="200" w:type="dxa"/>
            <w:vAlign w:val="bottom"/>
            <w:shd w:val="clear" w:color="auto" w:fill="CCEEFF"/>
          </w:tcPr>
          <w:p>
            <w:pPr>
              <w:spacing w:after="0"/>
              <w:rPr>
                <w:sz w:val="18"/>
                <w:szCs w:val="18"/>
                <w:color w:val="auto"/>
              </w:rPr>
            </w:pPr>
          </w:p>
        </w:tc>
      </w:tr>
      <w:tr>
        <w:trPr>
          <w:trHeight w:val="223"/>
        </w:trPr>
        <w:tc>
          <w:tcPr>
            <w:tcW w:w="6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GOODS SOLD</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864,826</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860,858</w:t>
            </w:r>
          </w:p>
        </w:tc>
        <w:tc>
          <w:tcPr>
            <w:tcW w:w="200" w:type="dxa"/>
            <w:vAlign w:val="bottom"/>
            <w:tcBorders>
              <w:bottom w:val="single" w:sz="8" w:color="CCEEFF"/>
            </w:tcBorders>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154,267</w:t>
            </w:r>
          </w:p>
        </w:tc>
        <w:tc>
          <w:tcPr>
            <w:tcW w:w="2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109,339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105,317</w:t>
            </w:r>
          </w:p>
        </w:tc>
        <w:tc>
          <w:tcPr>
            <w:tcW w:w="200" w:type="dxa"/>
            <w:vAlign w:val="bottom"/>
          </w:tcPr>
          <w:p>
            <w:pPr>
              <w:spacing w:after="0"/>
              <w:rPr>
                <w:sz w:val="18"/>
                <w:szCs w:val="18"/>
                <w:color w:val="auto"/>
              </w:rPr>
            </w:pPr>
          </w:p>
        </w:tc>
      </w:tr>
      <w:tr>
        <w:trPr>
          <w:trHeight w:val="236"/>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03"/>
        </w:trPr>
        <w:tc>
          <w:tcPr>
            <w:tcW w:w="6340" w:type="dxa"/>
            <w:vAlign w:val="bottom"/>
          </w:tcPr>
          <w:p>
            <w:pPr>
              <w:spacing w:after="0"/>
              <w:rPr>
                <w:sz w:val="20"/>
                <w:szCs w:val="20"/>
                <w:color w:val="auto"/>
              </w:rPr>
            </w:pPr>
            <w:r>
              <w:rPr>
                <w:rFonts w:ascii="Arial" w:cs="Arial" w:eastAsia="Arial" w:hAnsi="Arial"/>
                <w:sz w:val="16"/>
                <w:szCs w:val="16"/>
                <w:color w:val="auto"/>
              </w:rPr>
              <w:t>EARNINGS FROM OPERATIONS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58,632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48,446</w:t>
            </w:r>
          </w:p>
        </w:tc>
        <w:tc>
          <w:tcPr>
            <w:tcW w:w="200" w:type="dxa"/>
            <w:vAlign w:val="bottom"/>
          </w:tcPr>
          <w:p>
            <w:pPr>
              <w:spacing w:after="0"/>
              <w:rPr>
                <w:sz w:val="17"/>
                <w:szCs w:val="17"/>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2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6"/>
                <w:szCs w:val="16"/>
                <w:color w:val="auto"/>
              </w:rPr>
              <w:t>INTEREST 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r>
      <w:tr>
        <w:trPr>
          <w:trHeight w:val="223"/>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UNREALIZED LOSS (GAIN) ON INVESTMENTS AND OTHER</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223"/>
        </w:trPr>
        <w:tc>
          <w:tcPr>
            <w:tcW w:w="6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4,740</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200" w:type="dxa"/>
            <w:vAlign w:val="bottom"/>
            <w:tcBorders>
              <w:bottom w:val="single" w:sz="8" w:color="CCEEFF"/>
            </w:tcBorders>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EARNINGS BEFORE INCOME TAXES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47,579</w:t>
            </w:r>
          </w:p>
        </w:tc>
        <w:tc>
          <w:tcPr>
            <w:tcW w:w="200" w:type="dxa"/>
            <w:vAlign w:val="bottom"/>
            <w:shd w:val="clear" w:color="auto" w:fill="CCEEFF"/>
          </w:tcPr>
          <w:p>
            <w:pPr>
              <w:spacing w:after="0"/>
              <w:rPr>
                <w:sz w:val="18"/>
                <w:szCs w:val="18"/>
                <w:color w:val="auto"/>
              </w:rPr>
            </w:pPr>
          </w:p>
        </w:tc>
      </w:tr>
      <w:tr>
        <w:trPr>
          <w:trHeight w:val="223"/>
        </w:trPr>
        <w:tc>
          <w:tcPr>
            <w:tcW w:w="6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TAXES</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13,322</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11,577</w:t>
            </w:r>
          </w:p>
        </w:tc>
        <w:tc>
          <w:tcPr>
            <w:tcW w:w="200" w:type="dxa"/>
            <w:vAlign w:val="bottom"/>
            <w:tcBorders>
              <w:bottom w:val="single" w:sz="8" w:color="CCEEFF"/>
            </w:tcBorders>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36,002</w:t>
            </w:r>
          </w:p>
        </w:tc>
        <w:tc>
          <w:tcPr>
            <w:tcW w:w="200" w:type="dxa"/>
            <w:vAlign w:val="bottom"/>
            <w:shd w:val="clear" w:color="auto" w:fill="CCEEFF"/>
          </w:tcPr>
          <w:p>
            <w:pPr>
              <w:spacing w:after="0"/>
              <w:rPr>
                <w:sz w:val="18"/>
                <w:szCs w:val="18"/>
                <w:color w:val="auto"/>
              </w:rPr>
            </w:pPr>
          </w:p>
        </w:tc>
      </w:tr>
      <w:tr>
        <w:trPr>
          <w:trHeight w:val="223"/>
        </w:trPr>
        <w:tc>
          <w:tcPr>
            <w:tcW w:w="6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NET EARNINGS ATTRIBUTABLE TO NONCONTROLLING INTEREST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00" w:type="dxa"/>
            <w:vAlign w:val="bottom"/>
            <w:tcBorders>
              <w:bottom w:val="single" w:sz="8" w:color="CCEEFF"/>
            </w:tcBorders>
          </w:tcPr>
          <w:p>
            <w:pPr>
              <w:spacing w:after="0"/>
              <w:rPr>
                <w:sz w:val="19"/>
                <w:szCs w:val="19"/>
                <w:color w:val="auto"/>
              </w:rPr>
            </w:pPr>
          </w:p>
        </w:tc>
      </w:tr>
      <w:tr>
        <w:trPr>
          <w:trHeight w:val="216"/>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EARNINGS ATTRIBUTABLE TO CONTROLLING INTEREST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35,540</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6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 BASIC</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6"/>
                <w:szCs w:val="16"/>
                <w:color w:val="auto"/>
              </w:rPr>
              <w:t>EARNINGS PER SHARE - DILUTED</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0.58</w:t>
            </w:r>
          </w:p>
        </w:tc>
        <w:tc>
          <w:tcPr>
            <w:tcW w:w="2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36,002</w:t>
            </w:r>
          </w:p>
        </w:tc>
        <w:tc>
          <w:tcPr>
            <w:tcW w:w="200" w:type="dxa"/>
            <w:vAlign w:val="bottom"/>
            <w:shd w:val="clear" w:color="auto" w:fill="CCEEFF"/>
          </w:tcPr>
          <w:p>
            <w:pPr>
              <w:spacing w:after="0"/>
              <w:rPr>
                <w:sz w:val="19"/>
                <w:szCs w:val="19"/>
                <w:color w:val="auto"/>
              </w:rPr>
            </w:pPr>
          </w:p>
        </w:tc>
      </w:tr>
      <w:tr>
        <w:trPr>
          <w:trHeight w:val="223"/>
        </w:trPr>
        <w:tc>
          <w:tcPr>
            <w:tcW w:w="6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COMPREHENSIVE GAIN (LOSS)</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(8,556)</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200" w:type="dxa"/>
            <w:vAlign w:val="bottom"/>
            <w:tcBorders>
              <w:bottom w:val="single" w:sz="8" w:color="CCEEFF"/>
            </w:tcBorders>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37,375</w:t>
            </w:r>
          </w:p>
        </w:tc>
        <w:tc>
          <w:tcPr>
            <w:tcW w:w="200" w:type="dxa"/>
            <w:vAlign w:val="bottom"/>
            <w:shd w:val="clear" w:color="auto" w:fill="CCEEFF"/>
          </w:tcPr>
          <w:p>
            <w:pPr>
              <w:spacing w:after="0"/>
              <w:rPr>
                <w:sz w:val="18"/>
                <w:szCs w:val="18"/>
                <w:color w:val="auto"/>
              </w:rPr>
            </w:pPr>
          </w:p>
        </w:tc>
      </w:tr>
      <w:tr>
        <w:trPr>
          <w:trHeight w:val="223"/>
        </w:trPr>
        <w:tc>
          <w:tcPr>
            <w:tcW w:w="6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w w:val="98"/>
              </w:rPr>
              <w:t>LESS COMPREHENSIVE INCOME ATTRIBUTABLE TO NONCONTROLLING INTEREST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200" w:type="dxa"/>
            <w:vAlign w:val="bottom"/>
            <w:tcBorders>
              <w:bottom w:val="single" w:sz="8" w:color="CCEEFF"/>
            </w:tcBorders>
          </w:tcPr>
          <w:p>
            <w:pPr>
              <w:spacing w:after="0"/>
              <w:rPr>
                <w:sz w:val="19"/>
                <w:szCs w:val="19"/>
                <w:color w:val="auto"/>
              </w:rPr>
            </w:pPr>
          </w:p>
        </w:tc>
      </w:tr>
      <w:tr>
        <w:trPr>
          <w:trHeight w:val="216"/>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INCOME ATTRIBUTABLE TO CONTROLLING INTEREST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36,689</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(in thousands, except share and per share data)</w:t>
      </w:r>
    </w:p>
    <w:p>
      <w:pPr>
        <w:spacing w:after="0" w:line="4" w:lineRule="exact"/>
        <w:rPr>
          <w:sz w:val="20"/>
          <w:szCs w:val="20"/>
          <w:color w:val="auto"/>
        </w:rPr>
      </w:pPr>
    </w:p>
    <w:tbl>
      <w:tblPr>
        <w:tblLayout w:type="fixed"/>
        <w:tblInd w:w="60" w:type="dxa"/>
        <w:tblCellMar>
          <w:top w:w="0" w:type="dxa"/>
          <w:left w:w="0" w:type="dxa"/>
          <w:bottom w:w="0" w:type="dxa"/>
          <w:right w:w="0" w:type="dxa"/>
        </w:tblCellMar>
      </w:tblPr>
      <w:tr>
        <w:trPr>
          <w:trHeight w:val="133"/>
        </w:trPr>
        <w:tc>
          <w:tcPr>
            <w:tcW w:w="3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8"/>
          </w:tcPr>
          <w:p>
            <w:pPr>
              <w:ind w:left="120"/>
              <w:spacing w:after="0"/>
              <w:rPr>
                <w:sz w:val="20"/>
                <w:szCs w:val="20"/>
                <w:color w:val="auto"/>
              </w:rPr>
            </w:pPr>
            <w:r>
              <w:rPr>
                <w:rFonts w:ascii="Arial" w:cs="Arial" w:eastAsia="Arial" w:hAnsi="Arial"/>
                <w:sz w:val="11"/>
                <w:szCs w:val="11"/>
                <w:b w:val="1"/>
                <w:bCs w:val="1"/>
                <w:color w:val="auto"/>
                <w:w w:val="89"/>
              </w:rPr>
              <w:t>Controlling Interest Shareholders’ Equity</w:t>
            </w: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08"/>
        </w:trPr>
        <w:tc>
          <w:tcPr>
            <w:tcW w:w="3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Accumulated</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21"/>
        </w:trPr>
        <w:tc>
          <w:tcPr>
            <w:tcW w:w="3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79"/>
              <w:spacing w:after="0" w:line="122" w:lineRule="exact"/>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Other</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3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118"/>
              <w:spacing w:after="0" w:line="122" w:lineRule="exact"/>
              <w:rPr>
                <w:sz w:val="20"/>
                <w:szCs w:val="20"/>
                <w:color w:val="auto"/>
              </w:rPr>
            </w:pPr>
            <w:r>
              <w:rPr>
                <w:rFonts w:ascii="Arial" w:cs="Arial" w:eastAsia="Arial" w:hAnsi="Arial"/>
                <w:sz w:val="11"/>
                <w:szCs w:val="11"/>
                <w:b w:val="1"/>
                <w:bCs w:val="1"/>
                <w:color w:val="auto"/>
                <w:w w:val="92"/>
              </w:rPr>
              <w:t>Common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159"/>
              <w:spacing w:after="0" w:line="122"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99"/>
              <w:spacing w:after="0" w:line="122" w:lineRule="exact"/>
              <w:rPr>
                <w:sz w:val="20"/>
                <w:szCs w:val="20"/>
                <w:color w:val="auto"/>
              </w:rPr>
            </w:pPr>
            <w:r>
              <w:rPr>
                <w:rFonts w:ascii="Arial" w:cs="Arial" w:eastAsia="Arial" w:hAnsi="Arial"/>
                <w:sz w:val="11"/>
                <w:szCs w:val="11"/>
                <w:b w:val="1"/>
                <w:bCs w:val="1"/>
                <w:color w:val="auto"/>
                <w:w w:val="94"/>
              </w:rPr>
              <w:t>Retained</w:t>
            </w:r>
          </w:p>
        </w:tc>
        <w:tc>
          <w:tcPr>
            <w:tcW w:w="14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4"/>
              </w:rPr>
              <w:t>Comprehensive</w:t>
            </w:r>
          </w:p>
        </w:tc>
        <w:tc>
          <w:tcPr>
            <w:tcW w:w="140" w:type="dxa"/>
            <w:vAlign w:val="bottom"/>
          </w:tcPr>
          <w:p>
            <w:pPr>
              <w:spacing w:after="0"/>
              <w:rPr>
                <w:sz w:val="10"/>
                <w:szCs w:val="10"/>
                <w:color w:val="auto"/>
              </w:rPr>
            </w:pP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w w:val="89"/>
              </w:rPr>
              <w:t>Noncontrolling</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2"/>
        </w:trPr>
        <w:tc>
          <w:tcPr>
            <w:tcW w:w="33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b w:val="1"/>
                <w:bCs w:val="1"/>
                <w:color w:val="auto"/>
              </w:rPr>
              <w:t>Stock</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Capital</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w w:val="93"/>
              </w:rPr>
              <w:t>Earnings</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Earnings</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8"/>
              <w:spacing w:after="0"/>
              <w:rPr>
                <w:sz w:val="20"/>
                <w:szCs w:val="20"/>
                <w:color w:val="auto"/>
              </w:rPr>
            </w:pPr>
            <w:r>
              <w:rPr>
                <w:rFonts w:ascii="Arial" w:cs="Arial" w:eastAsia="Arial" w:hAnsi="Arial"/>
                <w:sz w:val="11"/>
                <w:szCs w:val="11"/>
                <w:b w:val="1"/>
                <w:bCs w:val="1"/>
                <w:color w:val="auto"/>
                <w:w w:val="90"/>
              </w:rPr>
              <w:t>Interest</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Total</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December 29, 2018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b w:val="1"/>
                <w:bCs w:val="1"/>
                <w:color w:val="auto"/>
                <w:w w:val="70"/>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60,884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178,540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839,917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(5,938)</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7"/>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15,281</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54"/>
              <w:spacing w:after="0"/>
              <w:rPr>
                <w:sz w:val="20"/>
                <w:szCs w:val="20"/>
                <w:color w:val="auto"/>
              </w:rPr>
            </w:pPr>
            <w:r>
              <w:rPr>
                <w:rFonts w:ascii="Arial" w:cs="Arial" w:eastAsia="Arial" w:hAnsi="Arial"/>
                <w:sz w:val="5"/>
                <w:szCs w:val="5"/>
                <w:b w:val="1"/>
                <w:bCs w:val="1"/>
                <w:color w:val="auto"/>
                <w:w w:val="70"/>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1,088,684</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Net earnings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35,540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462</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36,002</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982</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224</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1,206</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Unrealized gain (loss) on investment &amp; foreign currency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167</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167</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Issuance of 10,259 shares under employee stock plans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251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261</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320,069 shares under stock grant programs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6,101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6,421</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w w:val="91"/>
              </w:rPr>
              <w:t>Issuance of 138,295 shares under deferred compensation plans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(138)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Expense associated with share-based compensation arrangements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1,226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1,226</w:t>
            </w:r>
          </w:p>
        </w:tc>
      </w:tr>
      <w:tr>
        <w:trPr>
          <w:trHeight w:val="142"/>
        </w:trPr>
        <w:tc>
          <w:tcPr>
            <w:tcW w:w="338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Accrued expense under deferred compensation plans</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4,899</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4,899</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March 30, 2019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b w:val="1"/>
                <w:bCs w:val="1"/>
                <w:color w:val="auto"/>
                <w:w w:val="70"/>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61,352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190,879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875,457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(4,789)</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7"/>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15,467</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54"/>
              <w:spacing w:after="0"/>
              <w:rPr>
                <w:sz w:val="20"/>
                <w:szCs w:val="20"/>
                <w:color w:val="auto"/>
              </w:rPr>
            </w:pPr>
            <w:r>
              <w:rPr>
                <w:rFonts w:ascii="Arial" w:cs="Arial" w:eastAsia="Arial" w:hAnsi="Arial"/>
                <w:sz w:val="5"/>
                <w:szCs w:val="5"/>
                <w:b w:val="1"/>
                <w:bCs w:val="1"/>
                <w:color w:val="auto"/>
                <w:w w:val="70"/>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1,138,366</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b w:val="1"/>
                <w:bCs w:val="1"/>
                <w:color w:val="auto"/>
              </w:rPr>
              <w:t>Balance at December 28, 2019</w:t>
            </w:r>
          </w:p>
        </w:tc>
        <w:tc>
          <w:tcPr>
            <w:tcW w:w="200" w:type="dxa"/>
            <w:vAlign w:val="bottom"/>
            <w:gridSpan w:val="2"/>
          </w:tcPr>
          <w:p>
            <w:pPr>
              <w:jc w:val="right"/>
              <w:ind w:right="34"/>
              <w:spacing w:after="0" w:line="135" w:lineRule="exact"/>
              <w:rPr>
                <w:sz w:val="20"/>
                <w:szCs w:val="20"/>
                <w:color w:val="auto"/>
              </w:rPr>
            </w:pPr>
            <w:r>
              <w:rPr>
                <w:rFonts w:ascii="Arial" w:cs="Arial" w:eastAsia="Arial" w:hAnsi="Arial"/>
                <w:sz w:val="13"/>
                <w:szCs w:val="13"/>
                <w:b w:val="1"/>
                <w:bCs w:val="1"/>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61,409</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192,173</w:t>
            </w:r>
          </w:p>
        </w:tc>
        <w:tc>
          <w:tcPr>
            <w:tcW w:w="24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995,022</w:t>
            </w:r>
          </w:p>
        </w:tc>
        <w:tc>
          <w:tcPr>
            <w:tcW w:w="200" w:type="dxa"/>
            <w:vAlign w:val="bottom"/>
            <w:gridSpan w:val="2"/>
          </w:tcPr>
          <w:p>
            <w:pPr>
              <w:ind w:left="140"/>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(4,889)</w:t>
            </w:r>
          </w:p>
        </w:tc>
        <w:tc>
          <w:tcPr>
            <w:tcW w:w="320" w:type="dxa"/>
            <w:vAlign w:val="bottom"/>
            <w:gridSpan w:val="2"/>
          </w:tcPr>
          <w:p>
            <w:pPr>
              <w:jc w:val="right"/>
              <w:ind w:right="6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14,018</w:t>
            </w:r>
          </w:p>
        </w:tc>
        <w:tc>
          <w:tcPr>
            <w:tcW w:w="360" w:type="dxa"/>
            <w:vAlign w:val="bottom"/>
            <w:gridSpan w:val="2"/>
          </w:tcPr>
          <w:p>
            <w:pPr>
              <w:jc w:val="right"/>
              <w:ind w:right="154"/>
              <w:spacing w:after="0" w:line="135" w:lineRule="exact"/>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1,257,733</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earnings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40,159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411</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40,570</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(5,951)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(2,335)</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(8,286)</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Unrealized loss on debt securities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(270)</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(270)</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(299)</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(299)</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Additional purchase of noncontrolling interest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(225)</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Cash dividends - $0.125 per share - quarterly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(7,730)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(7,730)</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10,549 shares under employee stock plans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319</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Issuance of 350,124 shares under stock grant programs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12,454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12,805</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3"/>
              </w:rPr>
              <w:t>Issuance of 89,616 shares under deferred compensation plans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Repurchase of 756,397 shares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(756)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(28,456)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(29,212)</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Expense associated with share-based compensation arrangements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1,404</w:t>
            </w:r>
          </w:p>
        </w:tc>
      </w:tr>
      <w:tr>
        <w:trPr>
          <w:trHeight w:val="142"/>
        </w:trPr>
        <w:tc>
          <w:tcPr>
            <w:tcW w:w="338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Accrued expense under deferred compensation plans</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5,343</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5,343</w:t>
            </w:r>
          </w:p>
        </w:tc>
      </w:tr>
      <w:tr>
        <w:trPr>
          <w:trHeight w:val="135"/>
        </w:trPr>
        <w:tc>
          <w:tcPr>
            <w:tcW w:w="338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March 28, 2020</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61,102</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211,724</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998,996</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(11,110)</w:t>
            </w: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11,570</w:t>
            </w: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5"/>
                <w:szCs w:val="5"/>
                <w:b w:val="1"/>
                <w:bCs w:val="1"/>
                <w:color w:val="auto"/>
                <w:w w:val="70"/>
              </w:rPr>
              <w:t>$</w:t>
            </w: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1,272,282</w:t>
            </w:r>
          </w:p>
        </w:tc>
      </w:tr>
      <w:tr>
        <w:trPr>
          <w:trHeight w:val="20"/>
        </w:trPr>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68"/>
              <w:spacing w:after="0" w:line="126" w:lineRule="exact"/>
              <w:rPr>
                <w:sz w:val="20"/>
                <w:szCs w:val="20"/>
                <w:color w:val="auto"/>
              </w:rPr>
            </w:pPr>
            <w:r>
              <w:rPr>
                <w:rFonts w:ascii="Arial" w:cs="Arial" w:eastAsia="Arial" w:hAnsi="Arial"/>
                <w:sz w:val="14"/>
                <w:szCs w:val="14"/>
                <w:b w:val="1"/>
                <w:bCs w:val="1"/>
                <w:color w:val="auto"/>
                <w:w w:val="99"/>
              </w:rPr>
              <w:t>March 28,</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68"/>
              <w:spacing w:after="0" w:line="126" w:lineRule="exact"/>
              <w:rPr>
                <w:sz w:val="20"/>
                <w:szCs w:val="20"/>
                <w:color w:val="auto"/>
              </w:rPr>
            </w:pPr>
            <w:r>
              <w:rPr>
                <w:rFonts w:ascii="Arial" w:cs="Arial" w:eastAsia="Arial" w:hAnsi="Arial"/>
                <w:sz w:val="14"/>
                <w:szCs w:val="14"/>
                <w:b w:val="1"/>
                <w:bCs w:val="1"/>
                <w:color w:val="auto"/>
                <w:w w:val="99"/>
              </w:rPr>
              <w:t>March 30,</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40,570</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36,002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earnings to net cash from operating activities:</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Depreciation</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15,717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14,475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Amortization of intangibles</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Expense associated with share-based and grant compensation arrangements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1,444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1,287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Deferred income taxes (credit)</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Unrealized (gain) loss on investments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3,173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(1,348)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gain on disposition of assets and impairment of assets</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Changes in:</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Accounts receivable</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(94,253)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(100,716)</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300"/>
              <w:spacing w:after="0" w:line="149" w:lineRule="exact"/>
              <w:rPr>
                <w:sz w:val="20"/>
                <w:szCs w:val="20"/>
                <w:color w:val="auto"/>
              </w:rPr>
            </w:pPr>
            <w:r>
              <w:rPr>
                <w:rFonts w:ascii="Arial" w:cs="Arial" w:eastAsia="Arial" w:hAnsi="Arial"/>
                <w:sz w:val="14"/>
                <w:szCs w:val="14"/>
                <w:color w:val="auto"/>
              </w:rPr>
              <w:t>Inventories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(25,783)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(23,649)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Accounts payable and cash overdraft</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25,056</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00" w:type="dxa"/>
            <w:vAlign w:val="bottom"/>
            <w:tcBorders>
              <w:bottom w:val="single" w:sz="8" w:color="CCEEFF"/>
            </w:tcBorders>
          </w:tcPr>
          <w:p>
            <w:pPr>
              <w:ind w:left="300"/>
              <w:spacing w:after="0" w:line="149" w:lineRule="exact"/>
              <w:rPr>
                <w:sz w:val="20"/>
                <w:szCs w:val="20"/>
                <w:color w:val="auto"/>
              </w:rPr>
            </w:pPr>
            <w:r>
              <w:rPr>
                <w:rFonts w:ascii="Arial" w:cs="Arial" w:eastAsia="Arial" w:hAnsi="Arial"/>
                <w:sz w:val="14"/>
                <w:szCs w:val="14"/>
                <w:color w:val="auto"/>
              </w:rPr>
              <w:t>Accrued liabilities and other</w:t>
            </w:r>
          </w:p>
        </w:tc>
        <w:tc>
          <w:tcPr>
            <w:tcW w:w="5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(8,648)</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(7,924)</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CASH USED IN OPERATING ACTIVITIES</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(46,161)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(55,829)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(27,286)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(15,883)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and purchases of non-controlling interest, net of cash received</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(18,487)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Investment in life insurance contracts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investments</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(14,052)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Proceeds from sale of investments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11,260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340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10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00" w:type="dxa"/>
            <w:vAlign w:val="bottom"/>
          </w:tcPr>
          <w:p>
            <w:pPr>
              <w:ind w:left="80"/>
              <w:spacing w:after="0" w:line="135" w:lineRule="exact"/>
              <w:rPr>
                <w:sz w:val="20"/>
                <w:szCs w:val="20"/>
                <w:color w:val="auto"/>
              </w:rPr>
            </w:pPr>
            <w:r>
              <w:rPr>
                <w:rFonts w:ascii="Arial" w:cs="Arial" w:eastAsia="Arial" w:hAnsi="Arial"/>
                <w:sz w:val="14"/>
                <w:szCs w:val="14"/>
                <w:color w:val="auto"/>
              </w:rPr>
              <w:t>NET CASH USED IN INVESTING ACTIVITIES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(48,210)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(15,551)</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6,759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237,560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(173,232)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Repayment of debt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(3,074)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(3,029)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Dividends paid to shareholders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(7,730)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(29,212)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10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00" w:type="dxa"/>
            <w:vAlign w:val="bottom"/>
          </w:tcPr>
          <w:p>
            <w:pPr>
              <w:ind w:left="80"/>
              <w:spacing w:after="0" w:line="135" w:lineRule="exact"/>
              <w:rPr>
                <w:sz w:val="20"/>
                <w:szCs w:val="20"/>
                <w:color w:val="auto"/>
              </w:rPr>
            </w:pPr>
            <w:r>
              <w:rPr>
                <w:rFonts w:ascii="Arial" w:cs="Arial" w:eastAsia="Arial" w:hAnsi="Arial"/>
                <w:sz w:val="14"/>
                <w:szCs w:val="14"/>
                <w:color w:val="auto"/>
              </w:rPr>
              <w:t>NET CASH (USED IN) PROVIDED BY FINANCING ACTIVITIES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(39,723)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61,069</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10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(1,719)</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4"/>
                <w:szCs w:val="14"/>
                <w:color w:val="auto"/>
              </w:rPr>
              <w:t>NET CHANGE IN CASH AND CASH EQUIVALENTS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(135,813)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(10,063)</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10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BEGINNING OF YEAR</w:t>
            </w: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168,666</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28,198</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20" w:type="dxa"/>
            <w:vAlign w:val="bottom"/>
            <w:gridSpan w:val="2"/>
          </w:tcPr>
          <w:p>
            <w:pPr>
              <w:spacing w:after="0" w:line="135" w:lineRule="exact"/>
              <w:rPr>
                <w:sz w:val="20"/>
                <w:szCs w:val="20"/>
                <w:color w:val="auto"/>
              </w:rPr>
            </w:pPr>
            <w:r>
              <w:rPr>
                <w:rFonts w:ascii="Arial" w:cs="Arial" w:eastAsia="Arial" w:hAnsi="Arial"/>
                <w:sz w:val="14"/>
                <w:szCs w:val="14"/>
                <w:color w:val="auto"/>
              </w:rPr>
              <w:t>CASH, CASH EQUIVALENTS, AND RESTRICTED CASH, END OF PERIOD</w:t>
            </w:r>
          </w:p>
        </w:tc>
        <w:tc>
          <w:tcPr>
            <w:tcW w:w="5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32,853</w:t>
            </w:r>
          </w:p>
        </w:tc>
        <w:tc>
          <w:tcPr>
            <w:tcW w:w="1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18,135</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1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168,336</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27,316</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Restricted cash, beginning of period</w:t>
            </w: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330</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882</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beginning of period</w:t>
            </w: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168,666</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28,198</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6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32,129</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17,111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Restricted cash, end of period</w:t>
            </w: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724</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1,024</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32,853</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18,135</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6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INFORMATION:</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Interest paid</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374</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570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Income taxes paid</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NON-CASH FINANCING ACTIVITIES: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issued under deferred compensation plans</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207" w:lineRule="exact"/>
        <w:rPr>
          <w:sz w:val="20"/>
          <w:szCs w:val="20"/>
          <w:color w:val="auto"/>
        </w:rPr>
      </w:pPr>
    </w:p>
    <w:p>
      <w:pPr>
        <w:ind w:left="540" w:hanging="490"/>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92"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28, 2019.</w:t>
      </w:r>
    </w:p>
    <w:p>
      <w:pPr>
        <w:spacing w:after="0" w:line="188"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On April 22, 2020, the shareholders approved changing the name of the Company from Universal Forest Products, Inc., to UFP Industries, Inc.</w:t>
      </w:r>
    </w:p>
    <w:p>
      <w:pPr>
        <w:spacing w:after="0" w:line="170"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March 30, 2019 balances in the accompanying unaudited condensed consolidated balance sheets.</w:t>
      </w:r>
    </w:p>
    <w:p>
      <w:pPr>
        <w:spacing w:after="0" w:line="188"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 xml:space="preserve">On March 11, 2020, the World Health Organization declared the novel strain of coronavirus (COVID-19) a global pandemic and recommended containment and mitigation </w:t>
      </w:r>
      <w:r>
        <w:rPr>
          <w:rFonts w:ascii="Arial" w:cs="Arial" w:eastAsia="Arial" w:hAnsi="Arial"/>
          <w:sz w:val="16"/>
          <w:szCs w:val="16"/>
          <w:color w:val="212529"/>
        </w:rPr>
        <w:t>measures worldwide, which subsequently resulted in a variety of</w:t>
      </w:r>
      <w:r>
        <w:rPr>
          <w:rFonts w:ascii="Arial" w:cs="Arial" w:eastAsia="Arial" w:hAnsi="Arial"/>
          <w:sz w:val="16"/>
          <w:szCs w:val="16"/>
          <w:color w:val="auto"/>
        </w:rPr>
        <w:t xml:space="preserve"> </w:t>
      </w:r>
      <w:r>
        <w:rPr>
          <w:rFonts w:ascii="Arial" w:cs="Arial" w:eastAsia="Arial" w:hAnsi="Arial"/>
          <w:sz w:val="16"/>
          <w:szCs w:val="16"/>
          <w:color w:val="212529"/>
        </w:rPr>
        <w:t xml:space="preserve">“stay at home” orders issued by states in which we operate. As of the date of this filing, </w:t>
      </w:r>
      <w:r>
        <w:rPr>
          <w:rFonts w:ascii="Arial" w:cs="Arial" w:eastAsia="Arial" w:hAnsi="Arial"/>
          <w:sz w:val="16"/>
          <w:szCs w:val="16"/>
          <w:color w:val="000000"/>
        </w:rPr>
        <w:t>the majority of our customers and</w:t>
      </w:r>
      <w:r>
        <w:rPr>
          <w:rFonts w:ascii="Arial" w:cs="Arial" w:eastAsia="Arial" w:hAnsi="Arial"/>
          <w:sz w:val="16"/>
          <w:szCs w:val="16"/>
          <w:color w:val="212529"/>
        </w:rPr>
        <w:t xml:space="preserve"> </w:t>
      </w:r>
      <w:r>
        <w:rPr>
          <w:rFonts w:ascii="Arial" w:cs="Arial" w:eastAsia="Arial" w:hAnsi="Arial"/>
          <w:sz w:val="16"/>
          <w:szCs w:val="16"/>
          <w:color w:val="000000"/>
        </w:rPr>
        <w:t xml:space="preserve">operations have been deemed to be essential businesses under these state orders. </w:t>
      </w:r>
      <w:r>
        <w:rPr>
          <w:rFonts w:ascii="Arial" w:cs="Arial" w:eastAsia="Arial" w:hAnsi="Arial"/>
          <w:sz w:val="16"/>
          <w:szCs w:val="16"/>
          <w:color w:val="212529"/>
        </w:rPr>
        <w:t>Consequently, all but 3 of our 150 plant</w:t>
      </w:r>
      <w:r>
        <w:rPr>
          <w:rFonts w:ascii="Arial" w:cs="Arial" w:eastAsia="Arial" w:hAnsi="Arial"/>
          <w:sz w:val="16"/>
          <w:szCs w:val="16"/>
          <w:color w:val="000000"/>
        </w:rPr>
        <w:t xml:space="preserve"> </w:t>
      </w:r>
      <w:r>
        <w:rPr>
          <w:rFonts w:ascii="Arial" w:cs="Arial" w:eastAsia="Arial" w:hAnsi="Arial"/>
          <w:sz w:val="16"/>
          <w:szCs w:val="16"/>
          <w:color w:val="212529"/>
        </w:rPr>
        <w:t>locations remain operating. We cannot reasonably estimate the length or severity of this pandemic and government restrictions on business activity, or the extent to which these restrictions may materially impact our consolidated financial position, consolidated results of operations, and consolidated cash flows in fiscal 2020.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assets and liabilities measured at fair value. Assets measured at fair value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4"/>
              </w:rPr>
              <w:t>March 28, 2020</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4"/>
              </w:rPr>
              <w:t>March 30, 2019</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60" w:type="dxa"/>
            <w:vAlign w:val="bottom"/>
          </w:tcPr>
          <w:p>
            <w:pPr>
              <w:spacing w:after="0"/>
              <w:rPr>
                <w:sz w:val="10"/>
                <w:szCs w:val="10"/>
                <w:color w:val="auto"/>
              </w:rPr>
            </w:pPr>
          </w:p>
        </w:tc>
        <w:tc>
          <w:tcPr>
            <w:tcW w:w="840" w:type="dxa"/>
            <w:vAlign w:val="bottom"/>
            <w:gridSpan w:val="2"/>
          </w:tcPr>
          <w:p>
            <w:pPr>
              <w:jc w:val="center"/>
              <w:ind w:right="180"/>
              <w:spacing w:after="0" w:line="126" w:lineRule="exact"/>
              <w:rPr>
                <w:sz w:val="20"/>
                <w:szCs w:val="20"/>
                <w:color w:val="auto"/>
              </w:rPr>
            </w:pPr>
            <w:r>
              <w:rPr>
                <w:rFonts w:ascii="Arial" w:cs="Arial" w:eastAsia="Arial" w:hAnsi="Arial"/>
                <w:sz w:val="14"/>
                <w:szCs w:val="14"/>
                <w:b w:val="1"/>
                <w:bCs w:val="1"/>
                <w:color w:val="auto"/>
                <w:w w:val="93"/>
              </w:rPr>
              <w:t>Quoted</w:t>
            </w:r>
          </w:p>
        </w:tc>
        <w:tc>
          <w:tcPr>
            <w:tcW w:w="900" w:type="dxa"/>
            <w:vAlign w:val="bottom"/>
            <w:gridSpan w:val="3"/>
          </w:tcPr>
          <w:p>
            <w:pPr>
              <w:jc w:val="center"/>
              <w:ind w:right="14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Prices with</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3"/>
              </w:rPr>
              <w:t>Quoted</w:t>
            </w:r>
          </w:p>
        </w:tc>
        <w:tc>
          <w:tcPr>
            <w:tcW w:w="900" w:type="dxa"/>
            <w:vAlign w:val="bottom"/>
            <w:gridSpan w:val="3"/>
          </w:tcPr>
          <w:p>
            <w:pPr>
              <w:jc w:val="center"/>
              <w:ind w:right="14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Prices with</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Active</w:t>
            </w: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w:t>
            </w: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3)</w:t>
            </w: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3)</w:t>
            </w:r>
          </w:p>
        </w:tc>
        <w:tc>
          <w:tcPr>
            <w:tcW w:w="120" w:type="dxa"/>
            <w:vAlign w:val="bottom"/>
          </w:tcPr>
          <w:p>
            <w:pPr>
              <w:spacing w:after="0"/>
              <w:rPr>
                <w:sz w:val="15"/>
                <w:szCs w:val="15"/>
                <w:color w:val="auto"/>
              </w:rPr>
            </w:pPr>
          </w:p>
        </w:tc>
        <w:tc>
          <w:tcPr>
            <w:tcW w:w="540" w:type="dxa"/>
            <w:vAlign w:val="bottom"/>
          </w:tcPr>
          <w:p>
            <w:pPr>
              <w:jc w:val="right"/>
              <w:ind w:right="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$ 29,561</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837</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$ 30,398</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7"/>
                <w:szCs w:val="17"/>
                <w:color w:val="auto"/>
              </w:rPr>
              <w:t>Fixed income funds</w:t>
            </w:r>
          </w:p>
        </w:tc>
        <w:tc>
          <w:tcPr>
            <w:tcW w:w="660" w:type="dxa"/>
            <w:vAlign w:val="bottom"/>
          </w:tcPr>
          <w:p>
            <w:pPr>
              <w:jc w:val="right"/>
              <w:spacing w:after="0"/>
              <w:rPr>
                <w:sz w:val="20"/>
                <w:szCs w:val="20"/>
                <w:color w:val="auto"/>
              </w:rPr>
            </w:pPr>
            <w:r>
              <w:rPr>
                <w:rFonts w:ascii="Arial" w:cs="Arial" w:eastAsia="Arial" w:hAnsi="Arial"/>
                <w:sz w:val="17"/>
                <w:szCs w:val="17"/>
                <w:color w:val="auto"/>
              </w:rPr>
              <w:t>237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15,124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15,361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3,860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9,763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13,623</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securities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8,258</w:t>
            </w:r>
          </w:p>
        </w:tc>
        <w:tc>
          <w:tcPr>
            <w:tcW w:w="0" w:type="dxa"/>
            <w:vAlign w:val="bottom"/>
          </w:tcPr>
          <w:p>
            <w:pPr>
              <w:spacing w:after="0"/>
              <w:rPr>
                <w:sz w:val="1"/>
                <w:szCs w:val="1"/>
                <w:color w:val="auto"/>
              </w:rPr>
            </w:pPr>
          </w:p>
        </w:tc>
      </w:tr>
      <w:tr>
        <w:trPr>
          <w:trHeight w:val="185"/>
        </w:trPr>
        <w:tc>
          <w:tcPr>
            <w:tcW w:w="1760" w:type="dxa"/>
            <w:vAlign w:val="bottom"/>
          </w:tcPr>
          <w:p>
            <w:pPr>
              <w:ind w:left="20"/>
              <w:spacing w:after="0" w:line="185" w:lineRule="exact"/>
              <w:rPr>
                <w:sz w:val="20"/>
                <w:szCs w:val="20"/>
                <w:color w:val="auto"/>
              </w:rPr>
            </w:pPr>
            <w:r>
              <w:rPr>
                <w:rFonts w:ascii="Arial" w:cs="Arial" w:eastAsia="Arial" w:hAnsi="Arial"/>
                <w:sz w:val="17"/>
                <w:szCs w:val="17"/>
                <w:color w:val="auto"/>
              </w:rPr>
              <w:t>Alternative</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60" w:type="dxa"/>
            <w:vAlign w:val="bottom"/>
          </w:tcPr>
          <w:p>
            <w:pPr>
              <w:ind w:left="20"/>
              <w:spacing w:after="0"/>
              <w:rPr>
                <w:sz w:val="20"/>
                <w:szCs w:val="20"/>
                <w:color w:val="auto"/>
              </w:rPr>
            </w:pPr>
            <w:r>
              <w:rPr>
                <w:rFonts w:ascii="Arial" w:cs="Arial" w:eastAsia="Arial" w:hAnsi="Arial"/>
                <w:sz w:val="17"/>
                <w:szCs w:val="17"/>
                <w:color w:val="auto"/>
              </w:rPr>
              <w:t>investments</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1,960</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1,782</w:t>
            </w:r>
          </w:p>
        </w:tc>
        <w:tc>
          <w:tcPr>
            <w:tcW w:w="0" w:type="dxa"/>
            <w:vAlign w:val="bottom"/>
          </w:tcPr>
          <w:p>
            <w:pPr>
              <w:spacing w:after="0"/>
              <w:rPr>
                <w:sz w:val="1"/>
                <w:szCs w:val="1"/>
                <w:color w:val="auto"/>
              </w:rPr>
            </w:pPr>
          </w:p>
        </w:tc>
      </w:tr>
      <w:tr>
        <w:trPr>
          <w:trHeight w:val="204"/>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Mutual funds:</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ind w:left="120"/>
              <w:spacing w:after="0"/>
              <w:rPr>
                <w:sz w:val="20"/>
                <w:szCs w:val="20"/>
                <w:color w:val="auto"/>
              </w:rPr>
            </w:pPr>
            <w:r>
              <w:rPr>
                <w:rFonts w:ascii="Arial" w:cs="Arial" w:eastAsia="Arial" w:hAnsi="Arial"/>
                <w:sz w:val="17"/>
                <w:szCs w:val="17"/>
                <w:color w:val="auto"/>
              </w:rPr>
              <w:t>Domestic stock funds</w:t>
            </w:r>
          </w:p>
        </w:tc>
        <w:tc>
          <w:tcPr>
            <w:tcW w:w="660" w:type="dxa"/>
            <w:vAlign w:val="bottom"/>
          </w:tcPr>
          <w:p>
            <w:pPr>
              <w:jc w:val="right"/>
              <w:spacing w:after="0"/>
              <w:rPr>
                <w:sz w:val="20"/>
                <w:szCs w:val="20"/>
                <w:color w:val="auto"/>
              </w:rPr>
            </w:pPr>
            <w:r>
              <w:rPr>
                <w:rFonts w:ascii="Arial" w:cs="Arial" w:eastAsia="Arial" w:hAnsi="Arial"/>
                <w:sz w:val="17"/>
                <w:szCs w:val="17"/>
                <w:color w:val="auto"/>
              </w:rPr>
              <w:t>5,204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5,204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2,151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2,151</w:t>
            </w:r>
          </w:p>
        </w:tc>
        <w:tc>
          <w:tcPr>
            <w:tcW w:w="0" w:type="dxa"/>
            <w:vAlign w:val="bottom"/>
          </w:tcPr>
          <w:p>
            <w:pPr>
              <w:spacing w:after="0"/>
              <w:rPr>
                <w:sz w:val="1"/>
                <w:szCs w:val="1"/>
                <w:color w:val="auto"/>
              </w:rPr>
            </w:pPr>
          </w:p>
        </w:tc>
      </w:tr>
      <w:tr>
        <w:trPr>
          <w:trHeight w:val="185"/>
        </w:trPr>
        <w:tc>
          <w:tcPr>
            <w:tcW w:w="1760" w:type="dxa"/>
            <w:vAlign w:val="bottom"/>
            <w:shd w:val="clear" w:color="auto" w:fill="CCEEFF"/>
          </w:tcPr>
          <w:p>
            <w:pPr>
              <w:ind w:left="120"/>
              <w:spacing w:after="0" w:line="185" w:lineRule="exact"/>
              <w:rPr>
                <w:sz w:val="20"/>
                <w:szCs w:val="20"/>
                <w:color w:val="auto"/>
              </w:rPr>
            </w:pPr>
            <w:r>
              <w:rPr>
                <w:rFonts w:ascii="Arial" w:cs="Arial" w:eastAsia="Arial" w:hAnsi="Arial"/>
                <w:sz w:val="17"/>
                <w:szCs w:val="17"/>
                <w:color w:val="auto"/>
              </w:rPr>
              <w:t>International stock</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funds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2,085</w:t>
            </w:r>
          </w:p>
        </w:tc>
        <w:tc>
          <w:tcPr>
            <w:tcW w:w="0" w:type="dxa"/>
            <w:vAlign w:val="bottom"/>
          </w:tcPr>
          <w:p>
            <w:pPr>
              <w:spacing w:after="0"/>
              <w:rPr>
                <w:sz w:val="1"/>
                <w:szCs w:val="1"/>
                <w:color w:val="auto"/>
              </w:rPr>
            </w:pPr>
          </w:p>
        </w:tc>
      </w:tr>
      <w:tr>
        <w:trPr>
          <w:trHeight w:val="203"/>
        </w:trPr>
        <w:tc>
          <w:tcPr>
            <w:tcW w:w="1760" w:type="dxa"/>
            <w:vAlign w:val="bottom"/>
          </w:tcPr>
          <w:p>
            <w:pPr>
              <w:ind w:left="120"/>
              <w:spacing w:after="0"/>
              <w:rPr>
                <w:sz w:val="20"/>
                <w:szCs w:val="20"/>
                <w:color w:val="auto"/>
              </w:rPr>
            </w:pPr>
            <w:r>
              <w:rPr>
                <w:rFonts w:ascii="Arial" w:cs="Arial" w:eastAsia="Arial" w:hAnsi="Arial"/>
                <w:sz w:val="17"/>
                <w:szCs w:val="17"/>
                <w:color w:val="auto"/>
              </w:rPr>
              <w:t>Target funds</w:t>
            </w:r>
          </w:p>
        </w:tc>
        <w:tc>
          <w:tcPr>
            <w:tcW w:w="660" w:type="dxa"/>
            <w:vAlign w:val="bottom"/>
          </w:tcPr>
          <w:p>
            <w:pPr>
              <w:jc w:val="right"/>
              <w:spacing w:after="0"/>
              <w:rPr>
                <w:sz w:val="20"/>
                <w:szCs w:val="20"/>
                <w:color w:val="auto"/>
              </w:rPr>
            </w:pPr>
            <w:r>
              <w:rPr>
                <w:rFonts w:ascii="Arial" w:cs="Arial" w:eastAsia="Arial" w:hAnsi="Arial"/>
                <w:sz w:val="17"/>
                <w:szCs w:val="17"/>
                <w:color w:val="auto"/>
              </w:rPr>
              <w:t>242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242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257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Bond funds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w:t>
            </w:r>
          </w:p>
        </w:tc>
        <w:tc>
          <w:tcPr>
            <w:tcW w:w="0" w:type="dxa"/>
            <w:vAlign w:val="bottom"/>
          </w:tcPr>
          <w:p>
            <w:pPr>
              <w:spacing w:after="0"/>
              <w:rPr>
                <w:sz w:val="1"/>
                <w:szCs w:val="1"/>
                <w:color w:val="auto"/>
              </w:rPr>
            </w:pPr>
          </w:p>
        </w:tc>
      </w:tr>
      <w:tr>
        <w:trPr>
          <w:trHeight w:val="210"/>
        </w:trPr>
        <w:tc>
          <w:tcPr>
            <w:tcW w:w="1760" w:type="dxa"/>
            <w:vAlign w:val="bottom"/>
          </w:tcPr>
          <w:p>
            <w:pPr>
              <w:ind w:left="120"/>
              <w:spacing w:after="0"/>
              <w:rPr>
                <w:sz w:val="20"/>
                <w:szCs w:val="20"/>
                <w:color w:val="auto"/>
              </w:rPr>
            </w:pPr>
            <w:r>
              <w:rPr>
                <w:rFonts w:ascii="Arial" w:cs="Arial" w:eastAsia="Arial" w:hAnsi="Arial"/>
                <w:sz w:val="17"/>
                <w:szCs w:val="17"/>
                <w:color w:val="auto"/>
              </w:rPr>
              <w:t>Alternative funds</w:t>
            </w:r>
          </w:p>
        </w:tc>
        <w:tc>
          <w:tcPr>
            <w:tcW w:w="660" w:type="dxa"/>
            <w:vAlign w:val="bottom"/>
          </w:tcPr>
          <w:p>
            <w:pPr>
              <w:jc w:val="right"/>
              <w:spacing w:after="0"/>
              <w:rPr>
                <w:sz w:val="20"/>
                <w:szCs w:val="20"/>
                <w:color w:val="auto"/>
              </w:rPr>
            </w:pPr>
            <w:r>
              <w:rPr>
                <w:rFonts w:ascii="Arial" w:cs="Arial" w:eastAsia="Arial" w:hAnsi="Arial"/>
                <w:sz w:val="17"/>
                <w:szCs w:val="17"/>
                <w:color w:val="auto"/>
              </w:rPr>
              <w:t>921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921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1,344</w:t>
            </w:r>
          </w:p>
        </w:tc>
        <w:tc>
          <w:tcPr>
            <w:tcW w:w="0" w:type="dxa"/>
            <w:vAlign w:val="bottom"/>
          </w:tcPr>
          <w:p>
            <w:pPr>
              <w:spacing w:after="0"/>
              <w:rPr>
                <w:sz w:val="1"/>
                <w:szCs w:val="1"/>
                <w:color w:val="auto"/>
              </w:rPr>
            </w:pPr>
          </w:p>
        </w:tc>
      </w:tr>
      <w:tr>
        <w:trPr>
          <w:trHeight w:val="223"/>
        </w:trPr>
        <w:tc>
          <w:tcPr>
            <w:tcW w:w="1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mutual funds</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6,636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6,636</w:t>
            </w:r>
          </w:p>
        </w:tc>
        <w:tc>
          <w:tcPr>
            <w:tcW w:w="0" w:type="dxa"/>
            <w:vAlign w:val="bottom"/>
          </w:tcPr>
          <w:p>
            <w:pPr>
              <w:spacing w:after="0"/>
              <w:rPr>
                <w:sz w:val="1"/>
                <w:szCs w:val="1"/>
                <w:color w:val="auto"/>
              </w:rPr>
            </w:pPr>
          </w:p>
        </w:tc>
      </w:tr>
      <w:tr>
        <w:trPr>
          <w:trHeight w:val="189"/>
        </w:trPr>
        <w:tc>
          <w:tcPr>
            <w:tcW w:w="1760" w:type="dxa"/>
            <w:vAlign w:val="bottom"/>
          </w:tcPr>
          <w:p>
            <w:pPr>
              <w:ind w:left="20"/>
              <w:spacing w:after="0" w:line="189" w:lineRule="exact"/>
              <w:rPr>
                <w:sz w:val="20"/>
                <w:szCs w:val="20"/>
                <w:color w:val="auto"/>
              </w:rPr>
            </w:pPr>
            <w:r>
              <w:rPr>
                <w:rFonts w:ascii="Arial" w:cs="Arial" w:eastAsia="Arial" w:hAnsi="Arial"/>
                <w:sz w:val="17"/>
                <w:szCs w:val="17"/>
                <w:color w:val="auto"/>
              </w:rPr>
              <w:t>Total</w:t>
            </w: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w w:val="90"/>
              </w:rPr>
              <w:t>$ 46,423</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15,961</w:t>
            </w:r>
          </w:p>
        </w:tc>
        <w:tc>
          <w:tcPr>
            <w:tcW w:w="160" w:type="dxa"/>
            <w:vAlign w:val="bottom"/>
          </w:tcPr>
          <w:p>
            <w:pPr>
              <w:spacing w:after="0"/>
              <w:rPr>
                <w:sz w:val="16"/>
                <w:szCs w:val="16"/>
                <w:color w:val="auto"/>
              </w:rPr>
            </w:pPr>
          </w:p>
        </w:tc>
        <w:tc>
          <w:tcPr>
            <w:tcW w:w="80" w:type="dxa"/>
            <w:vAlign w:val="bottom"/>
          </w:tcPr>
          <w:p>
            <w:pPr>
              <w:jc w:val="center"/>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1,960</w:t>
            </w: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w w:val="90"/>
              </w:rPr>
              <w:t>$ 64,344</w:t>
            </w:r>
          </w:p>
        </w:tc>
        <w:tc>
          <w:tcPr>
            <w:tcW w:w="180" w:type="dxa"/>
            <w:vAlign w:val="bottom"/>
          </w:tcPr>
          <w:p>
            <w:pPr>
              <w:spacing w:after="0"/>
              <w:rPr>
                <w:sz w:val="16"/>
                <w:szCs w:val="16"/>
                <w:color w:val="auto"/>
              </w:rPr>
            </w:pP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w w:val="96"/>
              </w:rPr>
              <w:t>18,810</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10,312</w:t>
            </w:r>
          </w:p>
        </w:tc>
        <w:tc>
          <w:tcPr>
            <w:tcW w:w="160" w:type="dxa"/>
            <w:vAlign w:val="bottom"/>
          </w:tcPr>
          <w:p>
            <w:pPr>
              <w:spacing w:after="0"/>
              <w:rPr>
                <w:sz w:val="16"/>
                <w:szCs w:val="16"/>
                <w:color w:val="auto"/>
              </w:rPr>
            </w:pPr>
          </w:p>
        </w:tc>
        <w:tc>
          <w:tcPr>
            <w:tcW w:w="80" w:type="dxa"/>
            <w:vAlign w:val="bottom"/>
          </w:tcPr>
          <w:p>
            <w:pPr>
              <w:jc w:val="center"/>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1,782</w:t>
            </w:r>
          </w:p>
        </w:tc>
        <w:tc>
          <w:tcPr>
            <w:tcW w:w="18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w w:val="92"/>
              </w:rPr>
              <w:t>30,904</w:t>
            </w:r>
          </w:p>
        </w:tc>
        <w:tc>
          <w:tcPr>
            <w:tcW w:w="0" w:type="dxa"/>
            <w:vAlign w:val="bottom"/>
          </w:tcPr>
          <w:p>
            <w:pPr>
              <w:spacing w:after="0"/>
              <w:rPr>
                <w:sz w:val="1"/>
                <w:szCs w:val="1"/>
                <w:color w:val="auto"/>
              </w:rPr>
            </w:pPr>
          </w:p>
        </w:tc>
      </w:tr>
      <w:tr>
        <w:trPr>
          <w:trHeight w:val="203"/>
        </w:trPr>
        <w:tc>
          <w:tcPr>
            <w:tcW w:w="1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Assets at fair value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$ 46,423</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15,961</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1,960</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$ 64,344</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18,810</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10,312</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1,782</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30,904</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From the assets measured at fair value as of March 28, 2020, listed in the table above, $29.5 million of money market funds are held in Cash and Cash Equivalents, $17.7 million of mutual funds, equity securities, and alternative investments are held in Investments, $0.9 million of money market and mutual funds are held in Other Assets for our deferred compensation plan, and $15.4 million of fixed income funds and $0.8 million of money markets funds are held in Restricted Investments.</w:t>
      </w:r>
    </w:p>
    <w:p>
      <w:pPr>
        <w:spacing w:after="0" w:line="188"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 xml:space="preserve">We maintain money market, mutual funds, bonds, and/or stocks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to any of our financial instruments except for those expressly required by U.S. GAAP.</w:t>
      </w:r>
    </w:p>
    <w:p>
      <w:pPr>
        <w:spacing w:after="0" w:line="17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In accordance with our investment policy, our wholly-owned captive, Ardellis Insurance Ltd. (“Ardellis”), maintains an investment portfolio, totaling $33.1 million as of March 28, 2020, consisting of domestic and international stocks, alternative investments, and fixed income bonds.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Ardellis’ available for sale investment portfolio, including funds held with the State of Michigan, consists of the following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March 28, 2020</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0"/>
                <w:szCs w:val="10"/>
                <w:color w:val="auto"/>
              </w:rPr>
            </w:pPr>
          </w:p>
        </w:tc>
        <w:tc>
          <w:tcPr>
            <w:tcW w:w="900" w:type="dxa"/>
            <w:vAlign w:val="bottom"/>
            <w:gridSpan w:val="3"/>
          </w:tcPr>
          <w:p>
            <w:pPr>
              <w:jc w:val="center"/>
              <w:ind w:right="100"/>
              <w:spacing w:after="0" w:line="126"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Gain/(Loss)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Alternative Investments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7,298</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alternative investments consist of the private real estate income trust which is valued as a Level 3 asset. The net unrealized loss was $0.9 million. Carrying amounts above are recorded in the investments and restricted investments line items within the balance sheet as of March 28, 2020.</w:t>
      </w:r>
    </w:p>
    <w:p>
      <w:pPr>
        <w:spacing w:after="0" w:line="172" w:lineRule="exact"/>
        <w:rPr>
          <w:sz w:val="20"/>
          <w:szCs w:val="20"/>
          <w:color w:val="auto"/>
        </w:rPr>
      </w:pPr>
    </w:p>
    <w:p>
      <w:pPr>
        <w:ind w:left="540" w:hanging="490"/>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Within the three primary segments (Retail, Industrial, and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67" w:lineRule="exact"/>
        <w:rPr>
          <w:sz w:val="20"/>
          <w:szCs w:val="20"/>
          <w:color w:val="auto"/>
        </w:rPr>
      </w:pPr>
    </w:p>
    <w:p>
      <w:pPr>
        <w:jc w:val="both"/>
        <w:ind w:left="60" w:right="79" w:firstLine="492"/>
        <w:spacing w:after="0" w:line="226" w:lineRule="auto"/>
        <w:rPr>
          <w:sz w:val="20"/>
          <w:szCs w:val="20"/>
          <w:color w:val="auto"/>
        </w:rPr>
      </w:pPr>
      <w:r>
        <w:rPr>
          <w:rFonts w:ascii="Arial" w:cs="Arial" w:eastAsia="Arial" w:hAnsi="Arial"/>
          <w:sz w:val="16"/>
          <w:szCs w:val="16"/>
          <w:color w:val="auto"/>
        </w:rPr>
        <w:t>Certain customer products that we provide require installation by the Company or a 3</w:t>
      </w:r>
      <w:r>
        <w:rPr>
          <w:rFonts w:ascii="Arial" w:cs="Arial" w:eastAsia="Arial" w:hAnsi="Arial"/>
          <w:sz w:val="23"/>
          <w:szCs w:val="23"/>
          <w:color w:val="auto"/>
          <w:vertAlign w:val="superscript"/>
        </w:rPr>
        <w:t>rd</w:t>
      </w:r>
      <w:r>
        <w:rPr>
          <w:rFonts w:ascii="Arial" w:cs="Arial" w:eastAsia="Arial" w:hAnsi="Arial"/>
          <w:sz w:val="16"/>
          <w:szCs w:val="16"/>
          <w:color w:val="auto"/>
        </w:rPr>
        <w:t xml:space="preserve"> party. Installation revenue is recognized upon completion. If the Company uses a 3</w:t>
      </w:r>
      <w:r>
        <w:rPr>
          <w:rFonts w:ascii="Arial" w:cs="Arial" w:eastAsia="Arial" w:hAnsi="Arial"/>
          <w:sz w:val="23"/>
          <w:szCs w:val="23"/>
          <w:color w:val="auto"/>
          <w:vertAlign w:val="superscript"/>
        </w:rPr>
        <w:t>rd</w:t>
      </w:r>
      <w:r>
        <w:rPr>
          <w:rFonts w:ascii="Arial" w:cs="Arial" w:eastAsia="Arial" w:hAnsi="Arial"/>
          <w:sz w:val="16"/>
          <w:szCs w:val="16"/>
          <w:color w:val="auto"/>
        </w:rPr>
        <w:t xml:space="preserve"> party for installation, the party will act as an agent to the Company until completion of the installation. Installation revenue represents an immaterial share of the Company’s total sales.</w:t>
      </w:r>
    </w:p>
    <w:p>
      <w:pPr>
        <w:spacing w:after="0" w:line="203"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Company utilizes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192"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81" w:lineRule="exact"/>
        <w:rPr>
          <w:sz w:val="20"/>
          <w:szCs w:val="20"/>
          <w:color w:val="auto"/>
        </w:rPr>
      </w:pPr>
    </w:p>
    <w:p>
      <w:pPr>
        <w:jc w:val="both"/>
        <w:ind w:left="60" w:right="79" w:firstLine="492"/>
        <w:spacing w:after="0" w:line="342" w:lineRule="auto"/>
        <w:rPr>
          <w:sz w:val="20"/>
          <w:szCs w:val="20"/>
          <w:color w:val="auto"/>
        </w:rPr>
      </w:pPr>
      <w:r>
        <w:rPr>
          <w:rFonts w:ascii="Arial" w:cs="Arial" w:eastAsia="Arial" w:hAnsi="Arial"/>
          <w:sz w:val="16"/>
          <w:szCs w:val="16"/>
          <w:color w:val="auto"/>
        </w:rPr>
        <w:t>Our construction contracts are generally entered into with a fixed price and completion of the projects can range from 6 to 18 months in duration. Therefore, our operating results are impacted by, among many other things, labor rates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and commodity costs. During the year, we update our estimated costs to complete our projects using current labor and commodity costs and recognize losses to the extent that they exist.</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presents our gross revenues disaggregated by revenue source: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52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28,</w:t>
            </w:r>
          </w:p>
        </w:tc>
        <w:tc>
          <w:tcPr>
            <w:tcW w:w="32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30,</w:t>
            </w:r>
          </w:p>
        </w:tc>
        <w:tc>
          <w:tcPr>
            <w:tcW w:w="1040" w:type="dxa"/>
            <w:vAlign w:val="bottom"/>
          </w:tcPr>
          <w:p>
            <w:pPr>
              <w:spacing w:after="0"/>
              <w:rPr>
                <w:sz w:val="14"/>
                <w:szCs w:val="14"/>
                <w:color w:val="auto"/>
              </w:rPr>
            </w:pPr>
          </w:p>
        </w:tc>
      </w:tr>
      <w:tr>
        <w:trPr>
          <w:trHeight w:val="171"/>
        </w:trPr>
        <w:tc>
          <w:tcPr>
            <w:tcW w:w="42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Market Classification</w:t>
            </w:r>
          </w:p>
        </w:tc>
        <w:tc>
          <w:tcPr>
            <w:tcW w:w="300" w:type="dxa"/>
            <w:vAlign w:val="bottom"/>
          </w:tcPr>
          <w:p>
            <w:pPr>
              <w:spacing w:after="0"/>
              <w:rPr>
                <w:sz w:val="14"/>
                <w:szCs w:val="14"/>
                <w:color w:val="auto"/>
              </w:rPr>
            </w:pPr>
          </w:p>
        </w:tc>
        <w:tc>
          <w:tcPr>
            <w:tcW w:w="1360" w:type="dxa"/>
            <w:vAlign w:val="bottom"/>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040" w:type="dxa"/>
            <w:vAlign w:val="bottom"/>
          </w:tcPr>
          <w:p>
            <w:pPr>
              <w:jc w:val="right"/>
              <w:ind w:right="113"/>
              <w:spacing w:after="0"/>
              <w:rPr>
                <w:sz w:val="20"/>
                <w:szCs w:val="20"/>
                <w:color w:val="auto"/>
              </w:rPr>
            </w:pPr>
            <w:r>
              <w:rPr>
                <w:rFonts w:ascii="Arial" w:cs="Arial" w:eastAsia="Arial" w:hAnsi="Arial"/>
                <w:sz w:val="14"/>
                <w:szCs w:val="14"/>
                <w:b w:val="1"/>
                <w:bCs w:val="1"/>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shd w:val="clear" w:color="auto" w:fill="000000"/>
          </w:tcPr>
          <w:p>
            <w:pPr>
              <w:spacing w:after="0" w:line="20" w:lineRule="exact"/>
              <w:rPr>
                <w:sz w:val="1"/>
                <w:szCs w:val="1"/>
                <w:color w:val="auto"/>
              </w:rPr>
            </w:pPr>
          </w:p>
        </w:tc>
        <w:tc>
          <w:tcPr>
            <w:tcW w:w="136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134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shd w:val="clear" w:color="auto" w:fill="000000"/>
          </w:tcPr>
          <w:p>
            <w:pPr>
              <w:spacing w:after="0" w:line="20" w:lineRule="exact"/>
              <w:rPr>
                <w:sz w:val="1"/>
                <w:szCs w:val="1"/>
                <w:color w:val="auto"/>
              </w:rPr>
            </w:pPr>
          </w:p>
        </w:tc>
      </w:tr>
      <w:tr>
        <w:trPr>
          <w:trHeight w:val="203"/>
        </w:trPr>
        <w:tc>
          <w:tcPr>
            <w:tcW w:w="420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FOB Shipping Point Revenue</w:t>
            </w:r>
          </w:p>
        </w:tc>
        <w:tc>
          <w:tcPr>
            <w:tcW w:w="30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1,017,906</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996,823</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r>
      <w:tr>
        <w:trPr>
          <w:trHeight w:val="223"/>
        </w:trPr>
        <w:tc>
          <w:tcPr>
            <w:tcW w:w="42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Construction Contract Revenue</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34,782</w:t>
            </w: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Gross Sales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1,050,706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1,031,605</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Sales Allowances</w:t>
            </w:r>
          </w:p>
        </w:tc>
        <w:tc>
          <w:tcPr>
            <w:tcW w:w="3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(18,644)</w:t>
            </w:r>
          </w:p>
        </w:tc>
        <w:tc>
          <w:tcPr>
            <w:tcW w:w="3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(16,480)</w:t>
            </w:r>
          </w:p>
        </w:tc>
        <w:tc>
          <w:tcPr>
            <w:tcW w:w="10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42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1,032,062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1,015,125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The Construction segment comprises the construction contract revenue shown above. Construction contract revenue is primarily made up of site-built and framing customers.</w:t>
      </w:r>
    </w:p>
    <w:p>
      <w:pPr>
        <w:spacing w:after="0" w:line="170"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following table presents the balances of over time accounting accounts which are included in “Other current assets” and “Accrued liabilities: Other”, respectively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0" w:type="dxa"/>
            <w:vAlign w:val="bottom"/>
          </w:tcPr>
          <w:p>
            <w:pPr>
              <w:jc w:val="right"/>
              <w:ind w:right="19"/>
              <w:spacing w:after="0"/>
              <w:rPr>
                <w:sz w:val="20"/>
                <w:szCs w:val="20"/>
                <w:color w:val="auto"/>
              </w:rPr>
            </w:pPr>
            <w:r>
              <w:rPr>
                <w:rFonts w:ascii="Arial" w:cs="Arial" w:eastAsia="Arial" w:hAnsi="Arial"/>
                <w:sz w:val="14"/>
                <w:szCs w:val="14"/>
                <w:b w:val="1"/>
                <w:bCs w:val="1"/>
                <w:color w:val="auto"/>
              </w:rPr>
              <w:t>March 28,</w:t>
            </w: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w w:val="90"/>
              </w:rPr>
              <w:t>December 28,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March 30,</w:t>
            </w:r>
          </w:p>
        </w:tc>
      </w:tr>
      <w:tr>
        <w:trPr>
          <w:trHeight w:val="178"/>
        </w:trPr>
        <w:tc>
          <w:tcPr>
            <w:tcW w:w="4360" w:type="dxa"/>
            <w:vAlign w:val="bottom"/>
          </w:tcPr>
          <w:p>
            <w:pPr>
              <w:spacing w:after="0"/>
              <w:rPr>
                <w:sz w:val="15"/>
                <w:szCs w:val="15"/>
                <w:color w:val="auto"/>
              </w:rPr>
            </w:pPr>
          </w:p>
        </w:tc>
        <w:tc>
          <w:tcPr>
            <w:tcW w:w="232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15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5,744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9,920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5,020</w:t>
            </w:r>
          </w:p>
        </w:tc>
        <w:tc>
          <w:tcPr>
            <w:tcW w:w="200" w:type="dxa"/>
            <w:vAlign w:val="bottom"/>
          </w:tcPr>
          <w:p>
            <w:pPr>
              <w:spacing w:after="0"/>
              <w:rPr>
                <w:sz w:val="20"/>
                <w:szCs w:val="20"/>
                <w:color w:val="auto"/>
              </w:rPr>
            </w:pPr>
          </w:p>
        </w:tc>
      </w:tr>
    </w:tbl>
    <w:p>
      <w:pPr>
        <w:spacing w:after="0" w:line="200" w:lineRule="exact"/>
        <w:rPr>
          <w:sz w:val="20"/>
          <w:szCs w:val="20"/>
          <w:color w:val="auto"/>
        </w:rPr>
      </w:pPr>
    </w:p>
    <w:p>
      <w:pPr>
        <w:spacing w:after="0" w:line="213" w:lineRule="exact"/>
        <w:rPr>
          <w:sz w:val="20"/>
          <w:szCs w:val="20"/>
          <w:color w:val="auto"/>
        </w:rPr>
      </w:pPr>
    </w:p>
    <w:p>
      <w:pPr>
        <w:ind w:left="540" w:hanging="490"/>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The computation of earnings per share (“EPS”) is as follows (in thousands):</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5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r>
      <w:tr>
        <w:trPr>
          <w:trHeight w:val="126"/>
        </w:trPr>
        <w:tc>
          <w:tcPr>
            <w:tcW w:w="5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4"/>
              <w:spacing w:after="0" w:line="126" w:lineRule="exact"/>
              <w:rPr>
                <w:sz w:val="20"/>
                <w:szCs w:val="20"/>
                <w:color w:val="auto"/>
              </w:rPr>
            </w:pPr>
            <w:r>
              <w:rPr>
                <w:rFonts w:ascii="Arial" w:cs="Arial" w:eastAsia="Arial" w:hAnsi="Arial"/>
                <w:sz w:val="14"/>
                <w:szCs w:val="14"/>
                <w:b w:val="1"/>
                <w:bCs w:val="1"/>
                <w:color w:val="auto"/>
              </w:rPr>
              <w:t>March 28,</w:t>
            </w: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3"/>
              <w:spacing w:after="0" w:line="126"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0"/>
                <w:szCs w:val="10"/>
                <w:color w:val="auto"/>
              </w:rPr>
            </w:pPr>
          </w:p>
        </w:tc>
      </w:tr>
      <w:tr>
        <w:trPr>
          <w:trHeight w:val="178"/>
        </w:trPr>
        <w:tc>
          <w:tcPr>
            <w:tcW w:w="59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900" w:type="dxa"/>
            <w:vAlign w:val="bottom"/>
          </w:tcPr>
          <w:p>
            <w:pPr>
              <w:ind w:left="100"/>
              <w:spacing w:after="0"/>
              <w:rPr>
                <w:sz w:val="20"/>
                <w:szCs w:val="20"/>
                <w:color w:val="auto"/>
              </w:rPr>
            </w:pPr>
            <w:r>
              <w:rPr>
                <w:rFonts w:ascii="Arial" w:cs="Arial" w:eastAsia="Arial" w:hAnsi="Arial"/>
                <w:sz w:val="18"/>
                <w:szCs w:val="18"/>
                <w:color w:val="auto"/>
              </w:rPr>
              <w:t>Net earnings attributable to controlling interest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40,159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35,540</w:t>
            </w:r>
          </w:p>
        </w:tc>
        <w:tc>
          <w:tcPr>
            <w:tcW w:w="200" w:type="dxa"/>
            <w:vAlign w:val="bottom"/>
          </w:tcPr>
          <w:p>
            <w:pPr>
              <w:spacing w:after="0"/>
              <w:rPr>
                <w:sz w:val="18"/>
                <w:szCs w:val="18"/>
                <w:color w:val="auto"/>
              </w:rPr>
            </w:pPr>
          </w:p>
        </w:tc>
      </w:tr>
      <w:tr>
        <w:trPr>
          <w:trHeight w:val="236"/>
        </w:trPr>
        <w:tc>
          <w:tcPr>
            <w:tcW w:w="5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Adjustment for earnings allocated to non-vested restricted common stock</w:t>
            </w:r>
          </w:p>
        </w:tc>
        <w:tc>
          <w:tcPr>
            <w:tcW w:w="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590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Net earnings for calculating EPS</w:t>
            </w:r>
          </w:p>
        </w:tc>
        <w:tc>
          <w:tcPr>
            <w:tcW w:w="5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39,100</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34,675</w:t>
            </w:r>
          </w:p>
        </w:tc>
        <w:tc>
          <w:tcPr>
            <w:tcW w:w="200" w:type="dxa"/>
            <w:vAlign w:val="bottom"/>
            <w:tcBorders>
              <w:bottom w:val="single" w:sz="8" w:color="CCEEFF"/>
            </w:tcBorders>
          </w:tcPr>
          <w:p>
            <w:pPr>
              <w:spacing w:after="0"/>
              <w:rPr>
                <w:sz w:val="21"/>
                <w:szCs w:val="21"/>
                <w:color w:val="auto"/>
              </w:rPr>
            </w:pPr>
          </w:p>
        </w:tc>
      </w:tr>
      <w:tr>
        <w:trPr>
          <w:trHeight w:val="197"/>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900" w:type="dxa"/>
            <w:vAlign w:val="bottom"/>
          </w:tcPr>
          <w:p>
            <w:pPr>
              <w:ind w:left="100"/>
              <w:spacing w:after="0"/>
              <w:rPr>
                <w:sz w:val="20"/>
                <w:szCs w:val="20"/>
                <w:color w:val="auto"/>
              </w:rPr>
            </w:pPr>
            <w:r>
              <w:rPr>
                <w:rFonts w:ascii="Arial" w:cs="Arial" w:eastAsia="Arial" w:hAnsi="Arial"/>
                <w:sz w:val="18"/>
                <w:szCs w:val="18"/>
                <w:color w:val="auto"/>
              </w:rPr>
              <w:t>Weighted average shares outstanding</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61,842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61,372</w:t>
            </w:r>
          </w:p>
        </w:tc>
        <w:tc>
          <w:tcPr>
            <w:tcW w:w="200" w:type="dxa"/>
            <w:vAlign w:val="bottom"/>
          </w:tcPr>
          <w:p>
            <w:pPr>
              <w:spacing w:after="0"/>
              <w:rPr>
                <w:sz w:val="18"/>
                <w:szCs w:val="18"/>
                <w:color w:val="auto"/>
              </w:rPr>
            </w:pPr>
          </w:p>
        </w:tc>
      </w:tr>
      <w:tr>
        <w:trPr>
          <w:trHeight w:val="236"/>
        </w:trPr>
        <w:tc>
          <w:tcPr>
            <w:tcW w:w="5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Adjustment for non-vested restricted common stock</w:t>
            </w:r>
          </w:p>
        </w:tc>
        <w:tc>
          <w:tcPr>
            <w:tcW w:w="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03"/>
        </w:trPr>
        <w:tc>
          <w:tcPr>
            <w:tcW w:w="5900" w:type="dxa"/>
            <w:vAlign w:val="bottom"/>
          </w:tcPr>
          <w:p>
            <w:pPr>
              <w:ind w:left="100"/>
              <w:spacing w:after="0" w:line="203" w:lineRule="exact"/>
              <w:rPr>
                <w:sz w:val="20"/>
                <w:szCs w:val="20"/>
                <w:color w:val="auto"/>
              </w:rPr>
            </w:pPr>
            <w:r>
              <w:rPr>
                <w:rFonts w:ascii="Arial" w:cs="Arial" w:eastAsia="Arial" w:hAnsi="Arial"/>
                <w:sz w:val="18"/>
                <w:szCs w:val="18"/>
                <w:color w:val="auto"/>
              </w:rPr>
              <w:t>Shares for calculating basic EPS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60,212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59,879</w:t>
            </w:r>
          </w:p>
        </w:tc>
        <w:tc>
          <w:tcPr>
            <w:tcW w:w="200" w:type="dxa"/>
            <w:vAlign w:val="bottom"/>
          </w:tcPr>
          <w:p>
            <w:pPr>
              <w:spacing w:after="0"/>
              <w:rPr>
                <w:sz w:val="17"/>
                <w:szCs w:val="17"/>
                <w:color w:val="auto"/>
              </w:rPr>
            </w:pPr>
          </w:p>
        </w:tc>
      </w:tr>
      <w:tr>
        <w:trPr>
          <w:trHeight w:val="236"/>
        </w:trPr>
        <w:tc>
          <w:tcPr>
            <w:tcW w:w="5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Effect of dilutive restricted common stock</w:t>
            </w:r>
          </w:p>
        </w:tc>
        <w:tc>
          <w:tcPr>
            <w:tcW w:w="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590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Shares for calculating diluted EPS</w:t>
            </w:r>
          </w:p>
        </w:tc>
        <w:tc>
          <w:tcPr>
            <w:tcW w:w="5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60,230</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59,954</w:t>
            </w:r>
          </w:p>
        </w:tc>
        <w:tc>
          <w:tcPr>
            <w:tcW w:w="200" w:type="dxa"/>
            <w:vAlign w:val="bottom"/>
            <w:tcBorders>
              <w:bottom w:val="single" w:sz="8" w:color="CCEEFF"/>
            </w:tcBorders>
          </w:tcPr>
          <w:p>
            <w:pPr>
              <w:spacing w:after="0"/>
              <w:rPr>
                <w:sz w:val="21"/>
                <w:szCs w:val="21"/>
                <w:color w:val="auto"/>
              </w:rPr>
            </w:pPr>
          </w:p>
        </w:tc>
      </w:tr>
      <w:tr>
        <w:trPr>
          <w:trHeight w:val="197"/>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 per share:</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900" w:type="dxa"/>
            <w:vAlign w:val="bottom"/>
          </w:tcPr>
          <w:p>
            <w:pPr>
              <w:ind w:left="100"/>
              <w:spacing w:after="0"/>
              <w:rPr>
                <w:sz w:val="20"/>
                <w:szCs w:val="20"/>
                <w:color w:val="auto"/>
              </w:rPr>
            </w:pPr>
            <w:r>
              <w:rPr>
                <w:rFonts w:ascii="Arial" w:cs="Arial" w:eastAsia="Arial" w:hAnsi="Arial"/>
                <w:sz w:val="18"/>
                <w:szCs w:val="18"/>
                <w:color w:val="auto"/>
              </w:rPr>
              <w:t>Basic</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0.58</w:t>
            </w:r>
          </w:p>
        </w:tc>
        <w:tc>
          <w:tcPr>
            <w:tcW w:w="200" w:type="dxa"/>
            <w:vAlign w:val="bottom"/>
          </w:tcPr>
          <w:p>
            <w:pPr>
              <w:spacing w:after="0"/>
              <w:rPr>
                <w:sz w:val="18"/>
                <w:szCs w:val="18"/>
                <w:color w:val="auto"/>
              </w:rPr>
            </w:pPr>
          </w:p>
        </w:tc>
      </w:tr>
      <w:tr>
        <w:trPr>
          <w:trHeight w:val="216"/>
        </w:trPr>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27" w:lineRule="exact"/>
        <w:rPr>
          <w:sz w:val="20"/>
          <w:szCs w:val="20"/>
          <w:color w:val="auto"/>
        </w:rPr>
      </w:pPr>
    </w:p>
    <w:p>
      <w:pPr>
        <w:ind w:left="540" w:hanging="490"/>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229" w:lineRule="exact"/>
        <w:rPr>
          <w:sz w:val="20"/>
          <w:szCs w:val="20"/>
          <w:color w:val="auto"/>
        </w:rPr>
      </w:pPr>
    </w:p>
    <w:p>
      <w:pPr>
        <w:ind w:left="60" w:right="59" w:firstLine="492"/>
        <w:spacing w:after="0" w:line="277" w:lineRule="auto"/>
        <w:rPr>
          <w:sz w:val="20"/>
          <w:szCs w:val="20"/>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wood preservation facilities in Stockertown, PA; Elizabeth City, NC; and Auburndale, FL. In addition, a reserve was established for our facility in Thornton, CA to remove certain lead containing materials which existed on the property at the time of purchase.</w:t>
      </w:r>
    </w:p>
    <w:p>
      <w:pPr>
        <w:spacing w:after="0" w:line="192"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On a consolidated basis, we have reserved approximately $2.0 million on March 28, 2020, and on March 30, 2019, respectively, representing the estimated costs to complete future remediation efforts. These amounts have not been reduced by an insurance receivable.</w:t>
      </w:r>
    </w:p>
    <w:p>
      <w:pPr>
        <w:spacing w:after="0" w:line="184"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In addition, on March 28, 2020,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84"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On March 28, 2020, we had outstanding purchase commitments on commenced capital projects of approximately $26.3 million.</w:t>
      </w:r>
    </w:p>
    <w:p>
      <w:pPr>
        <w:spacing w:after="0" w:line="170"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We provide a variety of warranties for products we manufacture. Historically, warranty claims have not been material. We also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8"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March 28, 2020, we had approximately $8.7 million outstanding payment and performance bonds for open projects. We had approximately $11.6 million in payment and performance bonds outstanding for completed projects which are still under warranty.</w:t>
      </w:r>
    </w:p>
    <w:p>
      <w:pPr>
        <w:spacing w:after="0" w:line="164"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On March 28, 2020, we had outstanding letters of credit totaling $37.3 million, primarily related to certain insurance contracts and industrial development revenue bonds described further below.</w:t>
      </w:r>
    </w:p>
    <w:p>
      <w:pPr>
        <w:spacing w:after="0" w:line="170" w:lineRule="exact"/>
        <w:rPr>
          <w:sz w:val="20"/>
          <w:szCs w:val="20"/>
          <w:color w:val="auto"/>
        </w:rPr>
      </w:pPr>
    </w:p>
    <w:p>
      <w:pPr>
        <w:jc w:val="both"/>
        <w:ind w:left="60" w:right="59" w:firstLine="492"/>
        <w:spacing w:after="0" w:line="301" w:lineRule="auto"/>
        <w:rPr>
          <w:sz w:val="20"/>
          <w:szCs w:val="20"/>
          <w:color w:val="auto"/>
        </w:rPr>
      </w:pPr>
      <w:r>
        <w:rPr>
          <w:rFonts w:ascii="Arial" w:cs="Arial" w:eastAsia="Arial" w:hAnsi="Arial"/>
          <w:sz w:val="16"/>
          <w:szCs w:val="16"/>
          <w:color w:val="auto"/>
        </w:rPr>
        <w:t>In lieu of cash deposits, we provide irrevocable letters of credit in favor of our insurers to guarantee our performance under certain insurance contracts. As of March 28, 2020, we have irrevocable letters of credit outstanding totaling approximately $27.4 million for these types of insurance arrangements. We have reserves recorded on our balance sheet, in accrued liabilities, that reflect our expected future liabilities under these insurance arrangements.</w:t>
      </w:r>
    </w:p>
    <w:p>
      <w:pPr>
        <w:spacing w:after="0" w:line="157" w:lineRule="exact"/>
        <w:rPr>
          <w:sz w:val="20"/>
          <w:szCs w:val="20"/>
          <w:color w:val="auto"/>
        </w:rPr>
      </w:pPr>
    </w:p>
    <w:p>
      <w:pPr>
        <w:jc w:val="both"/>
        <w:ind w:left="60" w:right="79" w:firstLine="492"/>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$9.8 million related to our outstanding industrial development revenue bonds. These letters of credit have varying terms but may be renewed at the option of the issuing banks.</w:t>
      </w:r>
    </w:p>
    <w:p>
      <w:pPr>
        <w:spacing w:after="0" w:line="18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Certain wholly owned domestic subsidiaries have guaranteed the indebtedness of UFP Industries, Inc. in certain debt agreements, including the Series 2012 and 2018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60" w:right="59" w:firstLine="492"/>
        <w:spacing w:after="0" w:line="277" w:lineRule="auto"/>
        <w:rPr>
          <w:sz w:val="20"/>
          <w:szCs w:val="20"/>
          <w:color w:val="auto"/>
        </w:rPr>
      </w:pPr>
      <w:r>
        <w:rPr>
          <w:rFonts w:ascii="Arial" w:cs="Arial" w:eastAsia="Arial" w:hAnsi="Arial"/>
          <w:sz w:val="18"/>
          <w:szCs w:val="18"/>
          <w:color w:val="auto"/>
        </w:rPr>
        <w:t>We did not enter into any new guarantee arrangements during the first quarter of 2020 which would require us to recognize a liability on our balance sheet.</w:t>
      </w:r>
    </w:p>
    <w:p>
      <w:pPr>
        <w:spacing w:after="0" w:line="166" w:lineRule="exact"/>
        <w:rPr>
          <w:sz w:val="20"/>
          <w:szCs w:val="20"/>
          <w:color w:val="auto"/>
        </w:rPr>
      </w:pPr>
    </w:p>
    <w:p>
      <w:pPr>
        <w:ind w:left="500" w:hanging="450"/>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We completed the following acquisitions in 2020 and 2019, which were accounted for using the purchase method in thousands unless otherwise noted:</w:t>
      </w:r>
    </w:p>
    <w:p>
      <w:pPr>
        <w:spacing w:after="0" w:line="178" w:lineRule="exact"/>
        <w:rPr>
          <w:sz w:val="20"/>
          <w:szCs w:val="20"/>
          <w:color w:val="auto"/>
        </w:rPr>
      </w:pPr>
    </w:p>
    <w:tbl>
      <w:tblPr>
        <w:tblLayout w:type="fixed"/>
        <w:tblInd w:w="50" w:type="dxa"/>
        <w:tblCellMar>
          <w:top w:w="0" w:type="dxa"/>
          <w:left w:w="0" w:type="dxa"/>
          <w:bottom w:w="0" w:type="dxa"/>
          <w:right w:w="0" w:type="dxa"/>
        </w:tblCellMar>
      </w:tblPr>
      <w:tr>
        <w:trPr>
          <w:trHeight w:val="202"/>
        </w:trPr>
        <w:tc>
          <w:tcPr>
            <w:tcW w:w="2620" w:type="dxa"/>
            <w:vAlign w:val="bottom"/>
            <w:tcBorders>
              <w:top w:val="single" w:sz="8" w:color="auto"/>
              <w:left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Net</w:t>
            </w:r>
          </w:p>
        </w:tc>
        <w:tc>
          <w:tcPr>
            <w:tcW w:w="8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6"/>
                <w:szCs w:val="16"/>
                <w:b w:val="1"/>
                <w:bCs w:val="1"/>
                <w:color w:val="auto"/>
              </w:rPr>
              <w:t>Acquisition</w:t>
            </w:r>
          </w:p>
        </w:tc>
        <w:tc>
          <w:tcPr>
            <w:tcW w:w="17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7"/>
              </w:rPr>
              <w:t>Intangible</w:t>
            </w:r>
          </w:p>
        </w:tc>
        <w:tc>
          <w:tcPr>
            <w:tcW w:w="140" w:type="dxa"/>
            <w:vAlign w:val="bottom"/>
          </w:tcPr>
          <w:p>
            <w:pPr>
              <w:spacing w:after="0"/>
              <w:rPr>
                <w:sz w:val="17"/>
                <w:szCs w:val="17"/>
                <w:color w:val="auto"/>
              </w:rPr>
            </w:pPr>
          </w:p>
        </w:tc>
        <w:tc>
          <w:tcPr>
            <w:tcW w:w="98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Tangible</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Assets</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Segment</w:t>
            </w: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$21,851</w:t>
            </w:r>
          </w:p>
        </w:tc>
        <w:tc>
          <w:tcPr>
            <w:tcW w:w="12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620" w:type="dxa"/>
            <w:vAlign w:val="bottom"/>
            <w:tcBorders>
              <w:left w:val="single" w:sz="8" w:color="auto"/>
              <w:right w:val="single" w:sz="8" w:color="auto"/>
            </w:tcBorders>
            <w:shd w:val="clear" w:color="auto" w:fill="CCEBFF"/>
          </w:tcPr>
          <w:p>
            <w:pPr>
              <w:spacing w:after="0"/>
              <w:rPr>
                <w:sz w:val="21"/>
                <w:szCs w:val="21"/>
                <w:color w:val="auto"/>
              </w:rPr>
            </w:pPr>
          </w:p>
        </w:tc>
        <w:tc>
          <w:tcPr>
            <w:tcW w:w="14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March 13, 2020</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18,219</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3,632</w:t>
            </w:r>
          </w:p>
        </w:tc>
        <w:tc>
          <w:tcPr>
            <w:tcW w:w="8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Construction</w:t>
            </w:r>
          </w:p>
        </w:tc>
        <w:tc>
          <w:tcPr>
            <w:tcW w:w="0" w:type="dxa"/>
            <w:vAlign w:val="bottom"/>
          </w:tcPr>
          <w:p>
            <w:pPr>
              <w:spacing w:after="0"/>
              <w:rPr>
                <w:sz w:val="1"/>
                <w:szCs w:val="1"/>
                <w:color w:val="auto"/>
              </w:rPr>
            </w:pPr>
          </w:p>
        </w:tc>
      </w:tr>
      <w:tr>
        <w:trPr>
          <w:trHeight w:val="152"/>
        </w:trPr>
        <w:tc>
          <w:tcPr>
            <w:tcW w:w="2620" w:type="dxa"/>
            <w:vAlign w:val="bottom"/>
            <w:tcBorders>
              <w:left w:val="single" w:sz="8" w:color="auto"/>
              <w:right w:val="single" w:sz="8" w:color="auto"/>
            </w:tcBorders>
            <w:shd w:val="clear" w:color="auto" w:fill="CCEBFF"/>
          </w:tcPr>
          <w:p>
            <w:pPr>
              <w:spacing w:after="0"/>
              <w:rPr>
                <w:sz w:val="13"/>
                <w:szCs w:val="13"/>
                <w:color w:val="auto"/>
              </w:rPr>
            </w:pPr>
          </w:p>
        </w:tc>
        <w:tc>
          <w:tcPr>
            <w:tcW w:w="1460" w:type="dxa"/>
            <w:vAlign w:val="bottom"/>
            <w:tcBorders>
              <w:right w:val="single" w:sz="8" w:color="auto"/>
            </w:tcBorders>
            <w:shd w:val="clear" w:color="auto" w:fill="CCEBFF"/>
          </w:tcPr>
          <w:p>
            <w:pPr>
              <w:spacing w:after="0"/>
              <w:rPr>
                <w:sz w:val="13"/>
                <w:szCs w:val="13"/>
                <w:color w:val="auto"/>
              </w:rPr>
            </w:pPr>
          </w:p>
        </w:tc>
        <w:tc>
          <w:tcPr>
            <w:tcW w:w="1760" w:type="dxa"/>
            <w:vAlign w:val="bottom"/>
            <w:tcBorders>
              <w:right w:val="single" w:sz="8" w:color="auto"/>
            </w:tcBorders>
            <w:shd w:val="clear" w:color="auto" w:fill="CCEBFF"/>
          </w:tcPr>
          <w:p>
            <w:pPr>
              <w:jc w:val="center"/>
              <w:spacing w:after="0" w:line="152" w:lineRule="exact"/>
              <w:rPr>
                <w:sz w:val="20"/>
                <w:szCs w:val="20"/>
                <w:color w:val="auto"/>
              </w:rPr>
            </w:pPr>
            <w:r>
              <w:rPr>
                <w:rFonts w:ascii="Arial" w:cs="Arial" w:eastAsia="Arial" w:hAnsi="Arial"/>
                <w:sz w:val="16"/>
                <w:szCs w:val="16"/>
                <w:color w:val="auto"/>
                <w:w w:val="88"/>
              </w:rPr>
              <w:t>purchase and estimated</w:t>
            </w:r>
          </w:p>
        </w:tc>
        <w:tc>
          <w:tcPr>
            <w:tcW w:w="120" w:type="dxa"/>
            <w:vAlign w:val="bottom"/>
            <w:shd w:val="clear" w:color="auto" w:fill="CCEBFF"/>
          </w:tcPr>
          <w:p>
            <w:pPr>
              <w:spacing w:after="0"/>
              <w:rPr>
                <w:sz w:val="13"/>
                <w:szCs w:val="13"/>
                <w:color w:val="auto"/>
              </w:rPr>
            </w:pPr>
          </w:p>
        </w:tc>
        <w:tc>
          <w:tcPr>
            <w:tcW w:w="1000" w:type="dxa"/>
            <w:vAlign w:val="bottom"/>
            <w:tcBorders>
              <w:right w:val="single" w:sz="8" w:color="auto"/>
            </w:tcBorders>
            <w:shd w:val="clear" w:color="auto" w:fill="CCEBFF"/>
          </w:tcPr>
          <w:p>
            <w:pPr>
              <w:spacing w:after="0"/>
              <w:rPr>
                <w:sz w:val="13"/>
                <w:szCs w:val="13"/>
                <w:color w:val="auto"/>
              </w:rPr>
            </w:pPr>
          </w:p>
        </w:tc>
        <w:tc>
          <w:tcPr>
            <w:tcW w:w="140" w:type="dxa"/>
            <w:vAlign w:val="bottom"/>
            <w:shd w:val="clear" w:color="auto" w:fill="CCEBFF"/>
          </w:tcPr>
          <w:p>
            <w:pPr>
              <w:spacing w:after="0"/>
              <w:rPr>
                <w:sz w:val="13"/>
                <w:szCs w:val="13"/>
                <w:color w:val="auto"/>
              </w:rPr>
            </w:pPr>
          </w:p>
        </w:tc>
        <w:tc>
          <w:tcPr>
            <w:tcW w:w="980" w:type="dxa"/>
            <w:vAlign w:val="bottom"/>
            <w:tcBorders>
              <w:right w:val="single" w:sz="8" w:color="auto"/>
            </w:tcBorders>
            <w:shd w:val="clear" w:color="auto" w:fill="CCEBFF"/>
          </w:tcPr>
          <w:p>
            <w:pPr>
              <w:spacing w:after="0"/>
              <w:rPr>
                <w:sz w:val="13"/>
                <w:szCs w:val="13"/>
                <w:color w:val="auto"/>
              </w:rPr>
            </w:pPr>
          </w:p>
        </w:tc>
        <w:tc>
          <w:tcPr>
            <w:tcW w:w="840" w:type="dxa"/>
            <w:vAlign w:val="bottom"/>
            <w:tcBorders>
              <w:right w:val="single" w:sz="8" w:color="auto"/>
            </w:tcBorders>
            <w:shd w:val="clear" w:color="auto" w:fill="CCEB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1"/>
              </w:rPr>
              <w:t>Quest Design &amp; Fabrication and Quest</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contingent consideration</w:t>
            </w:r>
          </w:p>
        </w:tc>
        <w:tc>
          <w:tcPr>
            <w:tcW w:w="12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2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300" w:type="dxa"/>
            <w:vAlign w:val="bottom"/>
            <w:tcBorders>
              <w:right w:val="single" w:sz="8" w:color="auto"/>
            </w:tcBorders>
            <w:gridSpan w:val="7"/>
            <w:shd w:val="clear" w:color="auto" w:fill="CCEBFF"/>
          </w:tcPr>
          <w:p>
            <w:pPr>
              <w:spacing w:after="0" w:line="176" w:lineRule="exact"/>
              <w:rPr>
                <w:sz w:val="20"/>
                <w:szCs w:val="20"/>
                <w:color w:val="auto"/>
              </w:rPr>
            </w:pPr>
            <w:r>
              <w:rPr>
                <w:rFonts w:ascii="Arial" w:cs="Arial" w:eastAsia="Arial" w:hAnsi="Arial"/>
                <w:sz w:val="16"/>
                <w:szCs w:val="16"/>
                <w:color w:val="auto"/>
              </w:rPr>
              <w:t>A designer, fabricator, and installer of premium millwork and case goods for a variety of</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8"/>
              </w:rPr>
              <w:t>Architectural Millwork ("Quest")</w:t>
            </w:r>
          </w:p>
        </w:tc>
        <w:tc>
          <w:tcPr>
            <w:tcW w:w="63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1"/>
              </w:rPr>
              <w:t>commercial uses. Quest had annual sales of approximately $22 million. The acquisition of Quest</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BFF"/>
          </w:tcPr>
          <w:p>
            <w:pPr>
              <w:spacing w:after="0"/>
              <w:rPr>
                <w:sz w:val="17"/>
                <w:szCs w:val="17"/>
                <w:color w:val="auto"/>
              </w:rPr>
            </w:pPr>
          </w:p>
        </w:tc>
        <w:tc>
          <w:tcPr>
            <w:tcW w:w="63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9"/>
              </w:rPr>
              <w:t>will expand our architectural millwork in the commercial construction business unit, which</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4480" w:type="dxa"/>
            <w:vAlign w:val="bottom"/>
            <w:tcBorders>
              <w:bottom w:val="single" w:sz="8" w:color="auto"/>
            </w:tcBorders>
            <w:gridSpan w:val="5"/>
            <w:shd w:val="clear" w:color="auto" w:fill="CCEBFF"/>
          </w:tcPr>
          <w:p>
            <w:pPr>
              <w:spacing w:after="0"/>
              <w:rPr>
                <w:sz w:val="20"/>
                <w:szCs w:val="20"/>
                <w:color w:val="auto"/>
              </w:rPr>
            </w:pPr>
            <w:r>
              <w:rPr>
                <w:rFonts w:ascii="Arial" w:cs="Arial" w:eastAsia="Arial" w:hAnsi="Arial"/>
                <w:sz w:val="16"/>
                <w:szCs w:val="16"/>
                <w:color w:val="auto"/>
              </w:rPr>
              <w:t>aligns with our growth goals in the construction segment.</w:t>
            </w: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84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$12,422</w:t>
            </w:r>
          </w:p>
        </w:tc>
        <w:tc>
          <w:tcPr>
            <w:tcW w:w="1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September 16, 2019</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7,464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4,958</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Industrial</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Pallet USA, LLC ("Pallet USA")</w:t>
            </w:r>
          </w:p>
        </w:tc>
        <w:tc>
          <w:tcPr>
            <w:tcW w:w="14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auto"/>
              <w:right w:val="single" w:sz="8" w:color="auto"/>
            </w:tcBorders>
            <w:vMerge w:val="continue"/>
          </w:tcPr>
          <w:p>
            <w:pPr>
              <w:spacing w:after="0"/>
              <w:rPr>
                <w:sz w:val="16"/>
                <w:szCs w:val="16"/>
                <w:color w:val="auto"/>
              </w:rPr>
            </w:pPr>
          </w:p>
        </w:tc>
        <w:tc>
          <w:tcPr>
            <w:tcW w:w="63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6"/>
              </w:rPr>
              <w:t>A manufacturer and recycler of wood pallet and crating products in the Midwest. Pallet USA</w:t>
            </w:r>
          </w:p>
        </w:tc>
        <w:tc>
          <w:tcPr>
            <w:tcW w:w="0" w:type="dxa"/>
            <w:vAlign w:val="bottom"/>
          </w:tcPr>
          <w:p>
            <w:pPr>
              <w:spacing w:after="0"/>
              <w:rPr>
                <w:sz w:val="1"/>
                <w:szCs w:val="1"/>
                <w:color w:val="auto"/>
              </w:rPr>
            </w:pPr>
          </w:p>
        </w:tc>
      </w:tr>
      <w:tr>
        <w:trPr>
          <w:trHeight w:val="202"/>
        </w:trPr>
        <w:tc>
          <w:tcPr>
            <w:tcW w:w="262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9"/>
              </w:rPr>
              <w:t>had annual sales of approximately $18 million. The acquisition of Pallet USA allows us to</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expand our capacity to manufacture wood-based industrial packaging products and offer new</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33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services to customers in the Midwest.</w:t>
            </w: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$17,809</w:t>
            </w:r>
          </w:p>
        </w:tc>
        <w:tc>
          <w:tcPr>
            <w:tcW w:w="12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620" w:type="dxa"/>
            <w:vAlign w:val="bottom"/>
            <w:tcBorders>
              <w:left w:val="single" w:sz="8" w:color="auto"/>
              <w:right w:val="single" w:sz="8" w:color="auto"/>
            </w:tcBorders>
            <w:shd w:val="clear" w:color="auto" w:fill="CCEBFF"/>
          </w:tcPr>
          <w:p>
            <w:pPr>
              <w:spacing w:after="0"/>
              <w:rPr>
                <w:sz w:val="21"/>
                <w:szCs w:val="21"/>
                <w:color w:val="auto"/>
              </w:rPr>
            </w:pPr>
          </w:p>
        </w:tc>
        <w:tc>
          <w:tcPr>
            <w:tcW w:w="14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August 12, 2019</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8,089</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9,720</w:t>
            </w:r>
          </w:p>
        </w:tc>
        <w:tc>
          <w:tcPr>
            <w:tcW w:w="8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Retail</w:t>
            </w:r>
          </w:p>
        </w:tc>
        <w:tc>
          <w:tcPr>
            <w:tcW w:w="0" w:type="dxa"/>
            <w:vAlign w:val="bottom"/>
          </w:tcPr>
          <w:p>
            <w:pPr>
              <w:spacing w:after="0"/>
              <w:rPr>
                <w:sz w:val="1"/>
                <w:szCs w:val="1"/>
                <w:color w:val="auto"/>
              </w:rPr>
            </w:pPr>
          </w:p>
        </w:tc>
      </w:tr>
      <w:tr>
        <w:trPr>
          <w:trHeight w:val="152"/>
        </w:trPr>
        <w:tc>
          <w:tcPr>
            <w:tcW w:w="2620" w:type="dxa"/>
            <w:vAlign w:val="bottom"/>
            <w:tcBorders>
              <w:left w:val="single" w:sz="8" w:color="auto"/>
              <w:right w:val="single" w:sz="8" w:color="auto"/>
            </w:tcBorders>
            <w:shd w:val="clear" w:color="auto" w:fill="CCEBFF"/>
          </w:tcPr>
          <w:p>
            <w:pPr>
              <w:spacing w:after="0"/>
              <w:rPr>
                <w:sz w:val="13"/>
                <w:szCs w:val="13"/>
                <w:color w:val="auto"/>
              </w:rPr>
            </w:pPr>
          </w:p>
        </w:tc>
        <w:tc>
          <w:tcPr>
            <w:tcW w:w="1460" w:type="dxa"/>
            <w:vAlign w:val="bottom"/>
            <w:tcBorders>
              <w:right w:val="single" w:sz="8" w:color="auto"/>
            </w:tcBorders>
            <w:shd w:val="clear" w:color="auto" w:fill="CCEBFF"/>
          </w:tcPr>
          <w:p>
            <w:pPr>
              <w:spacing w:after="0"/>
              <w:rPr>
                <w:sz w:val="13"/>
                <w:szCs w:val="13"/>
                <w:color w:val="auto"/>
              </w:rPr>
            </w:pPr>
          </w:p>
        </w:tc>
        <w:tc>
          <w:tcPr>
            <w:tcW w:w="1760" w:type="dxa"/>
            <w:vAlign w:val="bottom"/>
            <w:tcBorders>
              <w:right w:val="single" w:sz="8" w:color="auto"/>
            </w:tcBorders>
            <w:shd w:val="clear" w:color="auto" w:fill="CCEBFF"/>
          </w:tcPr>
          <w:p>
            <w:pPr>
              <w:jc w:val="center"/>
              <w:spacing w:after="0" w:line="152" w:lineRule="exact"/>
              <w:rPr>
                <w:sz w:val="20"/>
                <w:szCs w:val="20"/>
                <w:color w:val="auto"/>
              </w:rPr>
            </w:pPr>
            <w:r>
              <w:rPr>
                <w:rFonts w:ascii="Arial" w:cs="Arial" w:eastAsia="Arial" w:hAnsi="Arial"/>
                <w:sz w:val="16"/>
                <w:szCs w:val="16"/>
                <w:color w:val="auto"/>
                <w:w w:val="88"/>
              </w:rPr>
              <w:t>purchase and estimated</w:t>
            </w:r>
          </w:p>
        </w:tc>
        <w:tc>
          <w:tcPr>
            <w:tcW w:w="120" w:type="dxa"/>
            <w:vAlign w:val="bottom"/>
            <w:shd w:val="clear" w:color="auto" w:fill="CCEBFF"/>
          </w:tcPr>
          <w:p>
            <w:pPr>
              <w:spacing w:after="0"/>
              <w:rPr>
                <w:sz w:val="13"/>
                <w:szCs w:val="13"/>
                <w:color w:val="auto"/>
              </w:rPr>
            </w:pPr>
          </w:p>
        </w:tc>
        <w:tc>
          <w:tcPr>
            <w:tcW w:w="1000" w:type="dxa"/>
            <w:vAlign w:val="bottom"/>
            <w:tcBorders>
              <w:right w:val="single" w:sz="8" w:color="auto"/>
            </w:tcBorders>
            <w:shd w:val="clear" w:color="auto" w:fill="CCEBFF"/>
          </w:tcPr>
          <w:p>
            <w:pPr>
              <w:spacing w:after="0"/>
              <w:rPr>
                <w:sz w:val="13"/>
                <w:szCs w:val="13"/>
                <w:color w:val="auto"/>
              </w:rPr>
            </w:pPr>
          </w:p>
        </w:tc>
        <w:tc>
          <w:tcPr>
            <w:tcW w:w="140" w:type="dxa"/>
            <w:vAlign w:val="bottom"/>
            <w:shd w:val="clear" w:color="auto" w:fill="CCEBFF"/>
          </w:tcPr>
          <w:p>
            <w:pPr>
              <w:spacing w:after="0"/>
              <w:rPr>
                <w:sz w:val="13"/>
                <w:szCs w:val="13"/>
                <w:color w:val="auto"/>
              </w:rPr>
            </w:pPr>
          </w:p>
        </w:tc>
        <w:tc>
          <w:tcPr>
            <w:tcW w:w="980" w:type="dxa"/>
            <w:vAlign w:val="bottom"/>
            <w:tcBorders>
              <w:right w:val="single" w:sz="8" w:color="auto"/>
            </w:tcBorders>
            <w:shd w:val="clear" w:color="auto" w:fill="CCEBFF"/>
          </w:tcPr>
          <w:p>
            <w:pPr>
              <w:spacing w:after="0"/>
              <w:rPr>
                <w:sz w:val="13"/>
                <w:szCs w:val="13"/>
                <w:color w:val="auto"/>
              </w:rPr>
            </w:pPr>
          </w:p>
        </w:tc>
        <w:tc>
          <w:tcPr>
            <w:tcW w:w="840" w:type="dxa"/>
            <w:vAlign w:val="bottom"/>
            <w:tcBorders>
              <w:right w:val="single" w:sz="8" w:color="auto"/>
            </w:tcBorders>
            <w:shd w:val="clear" w:color="auto" w:fill="CCEB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4"/>
              </w:rPr>
              <w:t>Northwest Painting, Inc. ("Northwest")</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contingent consideration</w:t>
            </w:r>
          </w:p>
        </w:tc>
        <w:tc>
          <w:tcPr>
            <w:tcW w:w="12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9"/>
              </w:rPr>
              <w:t>A supplier of pre-painted building materials, including siding, soffit, panels and trim to the</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BFF"/>
          </w:tcPr>
          <w:p>
            <w:pPr>
              <w:spacing w:after="0"/>
              <w:rPr>
                <w:sz w:val="17"/>
                <w:szCs w:val="17"/>
                <w:color w:val="auto"/>
              </w:rPr>
            </w:pPr>
          </w:p>
        </w:tc>
        <w:tc>
          <w:tcPr>
            <w:tcW w:w="63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8"/>
              </w:rPr>
              <w:t>Western U.S. Northwest had annual sales of approximately $14 million. The acquisition of</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BFF"/>
          </w:tcPr>
          <w:p>
            <w:pPr>
              <w:spacing w:after="0"/>
              <w:rPr>
                <w:sz w:val="17"/>
                <w:szCs w:val="17"/>
                <w:color w:val="auto"/>
              </w:rPr>
            </w:pPr>
          </w:p>
        </w:tc>
        <w:tc>
          <w:tcPr>
            <w:tcW w:w="63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9"/>
              </w:rPr>
              <w:t>Northwest will expand our capacity to produce coated siding and trim for customers in the</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340" w:type="dxa"/>
            <w:vAlign w:val="bottom"/>
            <w:tcBorders>
              <w:bottom w:val="single" w:sz="8" w:color="auto"/>
            </w:tcBorders>
            <w:gridSpan w:val="3"/>
            <w:shd w:val="clear" w:color="auto" w:fill="CCEBFF"/>
          </w:tcPr>
          <w:p>
            <w:pPr>
              <w:spacing w:after="0"/>
              <w:rPr>
                <w:sz w:val="20"/>
                <w:szCs w:val="20"/>
                <w:color w:val="auto"/>
              </w:rPr>
            </w:pPr>
            <w:r>
              <w:rPr>
                <w:rFonts w:ascii="Arial" w:cs="Arial" w:eastAsia="Arial" w:hAnsi="Arial"/>
                <w:sz w:val="16"/>
                <w:szCs w:val="16"/>
                <w:color w:val="auto"/>
              </w:rPr>
              <w:t>Northwest and Mountain West regions.</w:t>
            </w:r>
          </w:p>
        </w:tc>
        <w:tc>
          <w:tcPr>
            <w:tcW w:w="100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84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$7,168</w:t>
            </w:r>
          </w:p>
        </w:tc>
        <w:tc>
          <w:tcPr>
            <w:tcW w:w="1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620" w:type="dxa"/>
            <w:vAlign w:val="bottom"/>
            <w:tcBorders>
              <w:left w:val="single" w:sz="8" w:color="auto"/>
              <w:right w:val="single" w:sz="8" w:color="auto"/>
            </w:tcBorders>
          </w:tcPr>
          <w:p>
            <w:pPr>
              <w:spacing w:after="0"/>
              <w:rPr>
                <w:sz w:val="21"/>
                <w:szCs w:val="21"/>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May 1, 2019</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6,180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988</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Industrial</w:t>
            </w:r>
          </w:p>
        </w:tc>
        <w:tc>
          <w:tcPr>
            <w:tcW w:w="0" w:type="dxa"/>
            <w:vAlign w:val="bottom"/>
          </w:tcPr>
          <w:p>
            <w:pPr>
              <w:spacing w:after="0"/>
              <w:rPr>
                <w:sz w:val="1"/>
                <w:szCs w:val="1"/>
                <w:color w:val="auto"/>
              </w:rPr>
            </w:pPr>
          </w:p>
        </w:tc>
      </w:tr>
      <w:tr>
        <w:trPr>
          <w:trHeight w:val="152"/>
        </w:trPr>
        <w:tc>
          <w:tcPr>
            <w:tcW w:w="2620" w:type="dxa"/>
            <w:vAlign w:val="bottom"/>
            <w:tcBorders>
              <w:left w:val="single" w:sz="8" w:color="auto"/>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88"/>
              </w:rPr>
              <w:t>purchase and estimated</w:t>
            </w:r>
          </w:p>
        </w:tc>
        <w:tc>
          <w:tcPr>
            <w:tcW w:w="12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Wolverine Wood Products, Inc.</w:t>
            </w:r>
          </w:p>
        </w:tc>
        <w:tc>
          <w:tcPr>
            <w:tcW w:w="146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contingent consideration</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620" w:type="dxa"/>
            <w:vAlign w:val="bottom"/>
            <w:tcBorders>
              <w:left w:val="single" w:sz="8" w:color="auto"/>
              <w:right w:val="single" w:sz="8" w:color="auto"/>
            </w:tcBorders>
            <w:vMerge w:val="continue"/>
          </w:tcPr>
          <w:p>
            <w:pPr>
              <w:spacing w:after="0"/>
              <w:rPr>
                <w:sz w:val="15"/>
                <w:szCs w:val="15"/>
                <w:color w:val="auto"/>
              </w:rPr>
            </w:pPr>
          </w:p>
        </w:tc>
        <w:tc>
          <w:tcPr>
            <w:tcW w:w="6300" w:type="dxa"/>
            <w:vAlign w:val="bottom"/>
            <w:tcBorders>
              <w:right w:val="single" w:sz="8" w:color="auto"/>
            </w:tcBorders>
            <w:gridSpan w:val="7"/>
          </w:tcPr>
          <w:p>
            <w:pPr>
              <w:spacing w:after="0" w:line="179" w:lineRule="exact"/>
              <w:rPr>
                <w:sz w:val="20"/>
                <w:szCs w:val="20"/>
                <w:color w:val="auto"/>
              </w:rPr>
            </w:pPr>
            <w:r>
              <w:rPr>
                <w:rFonts w:ascii="Arial" w:cs="Arial" w:eastAsia="Arial" w:hAnsi="Arial"/>
                <w:sz w:val="16"/>
                <w:szCs w:val="16"/>
                <w:color w:val="auto"/>
              </w:rPr>
              <w:t>A manufacturer of wood panel components for furniture, store fixtures and case goods</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("Wolverine")</w:t>
            </w:r>
          </w:p>
        </w:tc>
        <w:tc>
          <w:tcPr>
            <w:tcW w:w="63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8"/>
              </w:rPr>
              <w:t>manufacturers. Wolverine had annual sales of approximately $5 million. The acquisition of</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1"/>
              </w:rPr>
              <w:t>Wolverine allows us to expand capacity to produce value-added wood components for customers</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the Midwest.</w:t>
            </w:r>
          </w:p>
        </w:tc>
        <w:tc>
          <w:tcPr>
            <w:tcW w:w="1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intangible assets for the Quest, Pallet USA, Northwest, and Wolverine acquisitions have not been finalized and allocated to their respective identifiable asset and goodwill accounts. In aggregate, acquisitions completed since the end of March 2019 and not consolidated with other operations contributed approximately $9.1 million in revenue and a $0.4 million in operating profit during the first quarter of 2020.</w:t>
      </w:r>
    </w:p>
    <w:p>
      <w:pPr>
        <w:spacing w:after="0" w:line="183" w:lineRule="exact"/>
        <w:rPr>
          <w:sz w:val="20"/>
          <w:szCs w:val="20"/>
          <w:color w:val="auto"/>
        </w:rPr>
      </w:pPr>
    </w:p>
    <w:p>
      <w:pPr>
        <w:ind w:left="560" w:hanging="510"/>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The Company operates manufacturing, treating and distribution facilities internationally, but primarily in the United States. Effective January 1, 2020, the Company re-organized around the markets it serves rather than geography. The prior periods have been recast to reflect the new segment structure. The business segments align with the following markets: UFP Retail Solutions, UFP Construction and UFP Industrial. This change allows for a more specialized and consistent sales approach among Company operations, more efficient use of resources and capital, and quicker introduction of new</w:t>
      </w:r>
    </w:p>
    <w:p>
      <w:pPr>
        <w:sectPr>
          <w:pgSz w:w="11900" w:h="16838" w:orient="portrait"/>
          <w:cols w:equalWidth="0" w:num="1">
            <w:col w:w="9019"/>
          </w:cols>
          <w:pgMar w:left="1440" w:top="544"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products and services. The Company manages the operations of its individual locations primarily through the market-centered reporting structure under which each location is included in a business unit and business units are included in our Retail, Industrial, and Construction segments. The exception to this market-centered reporting and management structure is the Company’s International segment, which comprises our Mexico, Canada, and Australia operations and sales and buying offices in other parts of the world.</w:t>
      </w:r>
    </w:p>
    <w:p>
      <w:pPr>
        <w:spacing w:after="0" w:line="188"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Our International segment and Ardellis (our insurance captive) have been included in the “All Other” column of the table below.</w:t>
      </w:r>
    </w:p>
    <w:p>
      <w:pPr>
        <w:spacing w:after="0" w:line="170"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The “Corporate” column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and leases transportation equipment, are also included in the Corporate column. An inter-company lease charge is assessed to our operating segments for the use of these assets at fair market value rates.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0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Three Months Ended March 28, 2020</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55"/>
        </w:trPr>
        <w:tc>
          <w:tcPr>
            <w:tcW w:w="30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(in thousands)</w:t>
            </w:r>
          </w:p>
        </w:tc>
        <w:tc>
          <w:tcPr>
            <w:tcW w:w="9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Retail</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Industrial</w:t>
            </w:r>
          </w:p>
        </w:tc>
        <w:tc>
          <w:tcPr>
            <w:tcW w:w="160" w:type="dxa"/>
            <w:vAlign w:val="bottom"/>
          </w:tcPr>
          <w:p>
            <w:pPr>
              <w:spacing w:after="0"/>
              <w:rPr>
                <w:sz w:val="13"/>
                <w:szCs w:val="13"/>
                <w:color w:val="auto"/>
              </w:rPr>
            </w:pP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Construction</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3"/>
                <w:szCs w:val="13"/>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82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to outside customers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$ 352,161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$ 256,543</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$ 381,155</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$ 42,392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1,032,062</w:t>
            </w: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800" w:type="dxa"/>
            <w:vAlign w:val="bottom"/>
          </w:tcPr>
          <w:p>
            <w:pPr>
              <w:jc w:val="right"/>
              <w:spacing w:after="0"/>
              <w:rPr>
                <w:sz w:val="20"/>
                <w:szCs w:val="20"/>
                <w:color w:val="auto"/>
              </w:rPr>
            </w:pPr>
            <w:r>
              <w:rPr>
                <w:rFonts w:ascii="Arial" w:cs="Arial" w:eastAsia="Arial" w:hAnsi="Arial"/>
                <w:sz w:val="18"/>
                <w:szCs w:val="18"/>
                <w:color w:val="auto"/>
              </w:rPr>
              <w:t>29,858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15,423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53,167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(109,668)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profit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17,135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58,632</w:t>
            </w:r>
          </w:p>
        </w:tc>
      </w:tr>
      <w:tr>
        <w:trPr>
          <w:trHeight w:val="601"/>
        </w:trPr>
        <w:tc>
          <w:tcPr>
            <w:tcW w:w="30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Three Months Ended March 30, 2019</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55"/>
        </w:trPr>
        <w:tc>
          <w:tcPr>
            <w:tcW w:w="30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(in thousands)</w:t>
            </w:r>
          </w:p>
        </w:tc>
        <w:tc>
          <w:tcPr>
            <w:tcW w:w="9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Retail</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Industrial</w:t>
            </w:r>
          </w:p>
        </w:tc>
        <w:tc>
          <w:tcPr>
            <w:tcW w:w="160" w:type="dxa"/>
            <w:vAlign w:val="bottom"/>
          </w:tcPr>
          <w:p>
            <w:pPr>
              <w:spacing w:after="0"/>
              <w:rPr>
                <w:sz w:val="13"/>
                <w:szCs w:val="13"/>
                <w:color w:val="auto"/>
              </w:rPr>
            </w:pP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Construction</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3"/>
                <w:szCs w:val="13"/>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82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to outside customers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$ 333,100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$ 274,759</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$ 365,137</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$ 42,110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1,015,125</w:t>
            </w: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800" w:type="dxa"/>
            <w:vAlign w:val="bottom"/>
          </w:tcPr>
          <w:p>
            <w:pPr>
              <w:jc w:val="right"/>
              <w:spacing w:after="0"/>
              <w:rPr>
                <w:sz w:val="20"/>
                <w:szCs w:val="20"/>
                <w:color w:val="auto"/>
              </w:rPr>
            </w:pPr>
            <w:r>
              <w:rPr>
                <w:rFonts w:ascii="Arial" w:cs="Arial" w:eastAsia="Arial" w:hAnsi="Arial"/>
                <w:sz w:val="18"/>
                <w:szCs w:val="18"/>
                <w:color w:val="auto"/>
              </w:rPr>
              <w:t>29,571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11,062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11,831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53,129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(105,593)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profit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15,267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48,446</w:t>
            </w:r>
          </w:p>
        </w:tc>
      </w:tr>
    </w:tbl>
    <w:p>
      <w:pPr>
        <w:spacing w:after="0" w:line="200" w:lineRule="exact"/>
        <w:rPr>
          <w:sz w:val="20"/>
          <w:szCs w:val="20"/>
          <w:color w:val="auto"/>
        </w:rPr>
      </w:pPr>
    </w:p>
    <w:p>
      <w:pPr>
        <w:spacing w:after="0" w:line="204"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Intangibles have been transferred and goodwill was re-allocated, based on their relative fair values, to our new segments and reporting units. The following table presents goodwill by segment as of March 28, 2020, and December 28, 2019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80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Retail</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Industrial</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All Other</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82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r>
      <w:tr>
        <w:trPr>
          <w:trHeight w:val="216"/>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28,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$ 58,098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$ 81,276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82,911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7,251</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$ 229,536</w:t>
            </w:r>
          </w:p>
        </w:tc>
      </w:tr>
      <w:tr>
        <w:trPr>
          <w:trHeight w:val="216"/>
        </w:trPr>
        <w:tc>
          <w:tcPr>
            <w:tcW w:w="3800" w:type="dxa"/>
            <w:vAlign w:val="bottom"/>
          </w:tcPr>
          <w:p>
            <w:pPr>
              <w:ind w:left="20"/>
              <w:spacing w:after="0"/>
              <w:rPr>
                <w:sz w:val="20"/>
                <w:szCs w:val="20"/>
                <w:color w:val="auto"/>
              </w:rPr>
            </w:pPr>
            <w:r>
              <w:rPr>
                <w:rFonts w:ascii="Arial" w:cs="Arial" w:eastAsia="Arial" w:hAnsi="Arial"/>
                <w:sz w:val="18"/>
                <w:szCs w:val="18"/>
                <w:color w:val="auto"/>
              </w:rPr>
              <w:t>2020 Acquisitions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18,219</w:t>
            </w:r>
          </w:p>
        </w:tc>
      </w:tr>
      <w:tr>
        <w:trPr>
          <w:trHeight w:val="23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Net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(1,296)</w:t>
            </w:r>
          </w:p>
        </w:tc>
        <w:tc>
          <w:tcPr>
            <w:tcW w:w="2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r>
      <w:tr>
        <w:trPr>
          <w:trHeight w:val="203"/>
        </w:trPr>
        <w:tc>
          <w:tcPr>
            <w:tcW w:w="380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Balance as of March 28, 2020</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$ 58,098</w:t>
            </w:r>
          </w:p>
        </w:tc>
        <w:tc>
          <w:tcPr>
            <w:tcW w:w="160" w:type="dxa"/>
            <w:vAlign w:val="bottom"/>
            <w:tcBorders>
              <w:top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$ 81,276</w:t>
            </w: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101,130</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5,955</w:t>
            </w: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$ 246,459</w:t>
            </w:r>
          </w:p>
        </w:tc>
      </w:tr>
      <w:tr>
        <w:trPr>
          <w:trHeight w:val="20"/>
        </w:trPr>
        <w:tc>
          <w:tcPr>
            <w:tcW w:w="38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total assets by segment as of March 28, 2020, and December 28, 2019.</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w w:val="87"/>
              </w:rPr>
              <w:t>Total Assets by Segment</w:t>
            </w: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80" w:type="dxa"/>
            <w:vAlign w:val="bottom"/>
            <w:gridSpan w:val="3"/>
            <w:vMerge w:val="continue"/>
          </w:tcPr>
          <w:p>
            <w:pPr>
              <w:spacing w:after="0"/>
              <w:rPr>
                <w:sz w:val="10"/>
                <w:szCs w:val="10"/>
                <w:color w:val="auto"/>
              </w:rPr>
            </w:pPr>
          </w:p>
        </w:tc>
        <w:tc>
          <w:tcPr>
            <w:tcW w:w="3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ind w:left="40"/>
              <w:spacing w:after="0" w:line="126" w:lineRule="exact"/>
              <w:rPr>
                <w:sz w:val="20"/>
                <w:szCs w:val="20"/>
                <w:color w:val="auto"/>
              </w:rPr>
            </w:pPr>
            <w:r>
              <w:rPr>
                <w:rFonts w:ascii="Arial" w:cs="Arial" w:eastAsia="Arial" w:hAnsi="Arial"/>
                <w:sz w:val="14"/>
                <w:szCs w:val="14"/>
                <w:b w:val="1"/>
                <w:bCs w:val="1"/>
                <w:color w:val="auto"/>
              </w:rPr>
              <w:t>March 28,</w:t>
            </w:r>
          </w:p>
        </w:tc>
        <w:tc>
          <w:tcPr>
            <w:tcW w:w="1100" w:type="dxa"/>
            <w:vAlign w:val="bottom"/>
            <w:gridSpan w:val="3"/>
          </w:tcPr>
          <w:p>
            <w:pPr>
              <w:ind w:left="40"/>
              <w:spacing w:after="0" w:line="126" w:lineRule="exact"/>
              <w:rPr>
                <w:sz w:val="20"/>
                <w:szCs w:val="20"/>
                <w:color w:val="auto"/>
              </w:rPr>
            </w:pPr>
            <w:r>
              <w:rPr>
                <w:rFonts w:ascii="Arial" w:cs="Arial" w:eastAsia="Arial" w:hAnsi="Arial"/>
                <w:sz w:val="14"/>
                <w:szCs w:val="14"/>
                <w:b w:val="1"/>
                <w:bCs w:val="1"/>
                <w:color w:val="auto"/>
              </w:rPr>
              <w:t>December 28,</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80" w:type="dxa"/>
            <w:vAlign w:val="bottom"/>
            <w:gridSpan w:val="3"/>
          </w:tcPr>
          <w:p>
            <w:pPr>
              <w:ind w:left="20"/>
              <w:spacing w:after="0"/>
              <w:rPr>
                <w:sz w:val="20"/>
                <w:szCs w:val="20"/>
                <w:color w:val="auto"/>
              </w:rPr>
            </w:pPr>
            <w:r>
              <w:rPr>
                <w:rFonts w:ascii="Arial" w:cs="Arial" w:eastAsia="Arial" w:hAnsi="Arial"/>
                <w:sz w:val="14"/>
                <w:szCs w:val="14"/>
                <w:b w:val="1"/>
                <w:bCs w:val="1"/>
                <w:color w:val="auto"/>
              </w:rPr>
              <w:t>Segment Classification</w:t>
            </w: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CCEEFF"/>
              <w:right w:val="single" w:sz="8" w:color="auto"/>
            </w:tcBorders>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Retail</w:t>
            </w: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521,977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436,397</w:t>
            </w:r>
          </w:p>
        </w:tc>
        <w:tc>
          <w:tcPr>
            <w:tcW w:w="18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19.6 %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Industrial</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363,508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410,383</w:t>
            </w:r>
          </w:p>
        </w:tc>
        <w:tc>
          <w:tcPr>
            <w:tcW w:w="18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583,107</w:t>
            </w:r>
          </w:p>
        </w:tc>
        <w:tc>
          <w:tcPr>
            <w:tcW w:w="18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All Other</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127,406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145,418</w:t>
            </w:r>
          </w:p>
        </w:tc>
        <w:tc>
          <w:tcPr>
            <w:tcW w:w="18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325,265</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314,172</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88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Total Assets</w:t>
            </w:r>
          </w:p>
        </w:tc>
        <w:tc>
          <w:tcPr>
            <w:tcW w:w="3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1,882,982</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1,889,477</w:t>
            </w:r>
          </w:p>
        </w:tc>
        <w:tc>
          <w:tcPr>
            <w:tcW w:w="18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80" w:type="dxa"/>
            <w:vAlign w:val="bottom"/>
            <w:vMerge w:val="restart"/>
          </w:tcPr>
          <w:p>
            <w:pPr>
              <w:jc w:val="right"/>
              <w:ind w:right="14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4"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41" w:lineRule="exact"/>
        <w:rPr>
          <w:sz w:val="20"/>
          <w:szCs w:val="20"/>
          <w:color w:val="auto"/>
        </w:rPr>
      </w:pPr>
    </w:p>
    <w:p>
      <w:pPr>
        <w:ind w:left="560" w:hanging="510"/>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state and local income taxes and permanent tax differences. Our effective tax rate was 24.7% in the first quarter of 2020 compared to 24.3% for same period in 2019. The slight increase was primarily due to an increase in the permanent tax difference for non-deductible officer compensation.</w:t>
      </w:r>
    </w:p>
    <w:p>
      <w:pPr>
        <w:spacing w:after="0" w:line="196" w:lineRule="exact"/>
        <w:rPr>
          <w:sz w:val="20"/>
          <w:szCs w:val="20"/>
          <w:color w:val="auto"/>
        </w:rPr>
      </w:pPr>
    </w:p>
    <w:p>
      <w:pPr>
        <w:ind w:left="480" w:hanging="430"/>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 w:right="279" w:firstLine="492"/>
        <w:spacing w:after="0" w:line="277" w:lineRule="auto"/>
        <w:rPr>
          <w:sz w:val="20"/>
          <w:szCs w:val="20"/>
          <w:color w:val="auto"/>
        </w:rPr>
      </w:pPr>
      <w:r>
        <w:rPr>
          <w:rFonts w:ascii="Arial" w:cs="Arial" w:eastAsia="Arial" w:hAnsi="Arial"/>
          <w:sz w:val="18"/>
          <w:szCs w:val="18"/>
          <w:color w:val="auto"/>
        </w:rPr>
        <w:t>Below is a summary of common stock issuances for the first three months of 2020 and 2019 (in thousands, except average share price):</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7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March 28, 2020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81"/>
        </w:trPr>
        <w:tc>
          <w:tcPr>
            <w:tcW w:w="1800" w:type="dxa"/>
            <w:vAlign w:val="bottom"/>
            <w:gridSpan w:val="2"/>
            <w:vMerge w:val="restart"/>
          </w:tcPr>
          <w:p>
            <w:pPr>
              <w:spacing w:after="0" w:line="192" w:lineRule="exact"/>
              <w:rPr>
                <w:sz w:val="20"/>
                <w:szCs w:val="20"/>
                <w:color w:val="auto"/>
              </w:rPr>
            </w:pPr>
            <w:r>
              <w:rPr>
                <w:rFonts w:ascii="Arial" w:cs="Arial" w:eastAsia="Arial" w:hAnsi="Arial"/>
                <w:sz w:val="18"/>
                <w:szCs w:val="18"/>
                <w:b w:val="1"/>
                <w:bCs w:val="1"/>
                <w:color w:val="auto"/>
                <w:w w:val="88"/>
              </w:rPr>
              <w:t>Share Issuance Activity</w:t>
            </w:r>
          </w:p>
        </w:tc>
        <w:tc>
          <w:tcPr>
            <w:tcW w:w="53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800" w:type="dxa"/>
            <w:vAlign w:val="bottom"/>
            <w:tcBorders>
              <w:bottom w:val="single" w:sz="8" w:color="auto"/>
            </w:tcBorders>
            <w:gridSpan w:val="2"/>
            <w:vMerge w:val="continue"/>
          </w:tcPr>
          <w:p>
            <w:pPr>
              <w:spacing w:after="0"/>
              <w:rPr>
                <w:sz w:val="11"/>
                <w:szCs w:val="11"/>
                <w:color w:val="auto"/>
              </w:rPr>
            </w:pPr>
          </w:p>
        </w:tc>
        <w:tc>
          <w:tcPr>
            <w:tcW w:w="53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160"/>
              <w:spacing w:after="0"/>
              <w:rPr>
                <w:sz w:val="20"/>
                <w:szCs w:val="20"/>
                <w:color w:val="auto"/>
              </w:rPr>
            </w:pPr>
            <w:r>
              <w:rPr>
                <w:rFonts w:ascii="Arial" w:cs="Arial" w:eastAsia="Arial" w:hAnsi="Arial"/>
                <w:sz w:val="18"/>
                <w:szCs w:val="18"/>
                <w:color w:val="auto"/>
              </w:rPr>
              <w:t>Shares issued under the director retainer stock program</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47.90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issued under the long term stock incentive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271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160"/>
              <w:spacing w:after="0"/>
              <w:rPr>
                <w:sz w:val="20"/>
                <w:szCs w:val="20"/>
                <w:color w:val="auto"/>
              </w:rPr>
            </w:pPr>
            <w:r>
              <w:rPr>
                <w:rFonts w:ascii="Arial" w:cs="Arial" w:eastAsia="Arial" w:hAnsi="Arial"/>
                <w:sz w:val="18"/>
                <w:szCs w:val="18"/>
                <w:color w:val="auto"/>
              </w:rPr>
              <w:t>Shares issued under the executive stock match grants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47.60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Total shares issued under stock grant programs</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350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47.52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89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54.68</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60" w:right="399" w:firstLine="492"/>
        <w:spacing w:after="0" w:line="277" w:lineRule="auto"/>
        <w:rPr>
          <w:sz w:val="20"/>
          <w:szCs w:val="20"/>
          <w:color w:val="auto"/>
        </w:rPr>
      </w:pPr>
      <w:r>
        <w:rPr>
          <w:rFonts w:ascii="Arial" w:cs="Arial" w:eastAsia="Arial" w:hAnsi="Arial"/>
          <w:sz w:val="18"/>
          <w:szCs w:val="18"/>
          <w:color w:val="auto"/>
        </w:rPr>
        <w:t>During the first three months of 2020, we repurchased approximately 756,000 shares of our common stock at an average share price of $38.62.</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7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March 30,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30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2" w:lineRule="exact"/>
              <w:rPr>
                <w:sz w:val="20"/>
                <w:szCs w:val="20"/>
                <w:color w:val="auto"/>
              </w:rPr>
            </w:pPr>
            <w:r>
              <w:rPr>
                <w:rFonts w:ascii="Arial" w:cs="Arial" w:eastAsia="Arial" w:hAnsi="Arial"/>
                <w:sz w:val="18"/>
                <w:szCs w:val="18"/>
                <w:b w:val="1"/>
                <w:bCs w:val="1"/>
                <w:color w:val="auto"/>
                <w:w w:val="88"/>
              </w:rPr>
              <w:t>Share Issuance Activity</w:t>
            </w:r>
          </w:p>
        </w:tc>
        <w:tc>
          <w:tcPr>
            <w:tcW w:w="5340" w:type="dxa"/>
            <w:vAlign w:val="bottom"/>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53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Shares issued under the employee stock purchase plan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employee stock gift program</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director retainer stock program</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3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31.00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long term stock incentive plan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executive stock match grants</w:t>
            </w: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109</w:t>
            </w:r>
          </w:p>
        </w:tc>
        <w:tc>
          <w:tcPr>
            <w:tcW w:w="3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31.57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Total shares issued under stock grant programs</w:t>
            </w: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320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31.08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Shares issued under the deferred compensation plans</w:t>
            </w: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138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32.23</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140" w:type="dxa"/>
            <w:vAlign w:val="bottom"/>
            <w:gridSpan w:val="2"/>
          </w:tcPr>
          <w:p>
            <w:pPr>
              <w:ind w:left="480"/>
              <w:spacing w:after="0"/>
              <w:rPr>
                <w:sz w:val="20"/>
                <w:szCs w:val="20"/>
                <w:color w:val="auto"/>
              </w:rPr>
            </w:pPr>
            <w:r>
              <w:rPr>
                <w:rFonts w:ascii="Arial" w:cs="Arial" w:eastAsia="Arial" w:hAnsi="Arial"/>
                <w:sz w:val="18"/>
                <w:szCs w:val="18"/>
                <w:color w:val="auto"/>
                <w:w w:val="96"/>
              </w:rPr>
              <w:t>During the first three months of 2019, we did not repurchase any of our common stock.</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UFP Industries, Inc. (formerly Universal Forest Products, Inc.) is a holding company with subsidiaries throughout North America, Europe, Asia, and in Australia that supply wood, wood composite and other products to three robust markets: retail, industrial, and construction. The Company is headquartered in Grand Rapids, Mich. For more information about UFP Industries, Inc., or its affiliated operations, go to www.ufpi.com.</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April 22, 2020, the shareholders approved changing the name of the Company from Universal Forest Products, Inc., to UFP Industries, Inc.</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government imposed “stay at home” orders and directives to cease or curtail operations;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the first quarter of 2020.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results for the first quarter of 2020 include the following highlights:</w:t>
      </w:r>
    </w:p>
    <w:p>
      <w:pPr>
        <w:spacing w:after="0" w:line="225" w:lineRule="exact"/>
        <w:rPr>
          <w:sz w:val="20"/>
          <w:szCs w:val="20"/>
          <w:color w:val="auto"/>
        </w:rPr>
      </w:pPr>
    </w:p>
    <w:p>
      <w:pPr>
        <w:jc w:val="both"/>
        <w:ind w:left="880" w:right="79" w:hanging="317"/>
        <w:spacing w:after="0" w:line="259"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net sales increased by 2% compared to the first quarter of 2019, which was comprised of a 5% increase in unit sales, offset by a 3% decrease in selling prices primarily due to the commodity lumber market (see Historical Lumber Prices below). Organic unit growth was 4% and was driven by 8% growth by our Retail segment and 6% growth by our Construction segment.</w:t>
      </w:r>
    </w:p>
    <w:p>
      <w:pPr>
        <w:spacing w:after="0" w:line="186" w:lineRule="exact"/>
        <w:rPr>
          <w:rFonts w:ascii="Arial" w:cs="Arial" w:eastAsia="Arial" w:hAnsi="Arial"/>
          <w:sz w:val="18"/>
          <w:szCs w:val="18"/>
          <w:color w:val="auto"/>
        </w:rPr>
      </w:pPr>
    </w:p>
    <w:p>
      <w:pPr>
        <w:jc w:val="both"/>
        <w:ind w:left="880" w:right="79" w:hanging="317"/>
        <w:spacing w:after="0" w:line="259"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profits increased 21%, which compares very favorably with our 5% increase in unit sales. The improvement in our profitability was driven by a number of factors, including effective positioning of lumber inventories, favorable changes in product mix, and strong organic growth resulting in effective leveraging of fixed costs.</w:t>
      </w:r>
    </w:p>
    <w:p>
      <w:pPr>
        <w:spacing w:after="0" w:line="186" w:lineRule="exact"/>
        <w:rPr>
          <w:rFonts w:ascii="Arial" w:cs="Arial" w:eastAsia="Arial" w:hAnsi="Arial"/>
          <w:sz w:val="18"/>
          <w:szCs w:val="18"/>
          <w:color w:val="auto"/>
        </w:rPr>
      </w:pPr>
    </w:p>
    <w:p>
      <w:pPr>
        <w:ind w:left="880" w:right="79" w:hanging="317"/>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repurchased approximately 756,000 shares of our common stock for $29.2 million resulting in an average price paid of $38.62.</w:t>
      </w:r>
    </w:p>
    <w:p>
      <w:pPr>
        <w:spacing w:after="0" w:line="170" w:lineRule="exact"/>
        <w:rPr>
          <w:rFonts w:ascii="Arial" w:cs="Arial" w:eastAsia="Arial" w:hAnsi="Arial"/>
          <w:sz w:val="18"/>
          <w:szCs w:val="18"/>
          <w:color w:val="auto"/>
        </w:rPr>
      </w:pPr>
    </w:p>
    <w:p>
      <w:pPr>
        <w:ind w:left="880" w:right="79" w:hanging="317"/>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Available borrowing capacity under our revolving credit facilities and surplus cash resulted in total liquidity of approximately $393 million at the end of March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HISTORICAL LUMBER PRICES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experience significant fluctuations in the cost of commodity lumber products from primary producers (“Lumber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Market”). The following table presents the Random Lengths framing lumber composite price:</w:t>
      </w:r>
    </w:p>
    <w:p>
      <w:pPr>
        <w:spacing w:after="0" w:line="216"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Random Lengths Composite</w:t>
      </w:r>
    </w:p>
    <w:p>
      <w:pPr>
        <w:jc w:val="center"/>
        <w:ind w:left="6680"/>
        <w:spacing w:after="0" w:line="236" w:lineRule="auto"/>
        <w:rPr>
          <w:sz w:val="20"/>
          <w:szCs w:val="20"/>
          <w:color w:val="auto"/>
        </w:rPr>
      </w:pPr>
      <w:r>
        <w:rPr>
          <w:rFonts w:ascii="Arial" w:cs="Arial" w:eastAsia="Arial" w:hAnsi="Arial"/>
          <w:sz w:val="14"/>
          <w:szCs w:val="14"/>
          <w:b w:val="1"/>
          <w:bCs w:val="1"/>
          <w:color w:val="auto"/>
        </w:rPr>
        <w:t>Average $/MBF</w:t>
      </w:r>
    </w:p>
    <w:tbl>
      <w:tblPr>
        <w:tblLayout w:type="fixed"/>
        <w:tblInd w:w="6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February</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First quarter average</w:t>
            </w:r>
          </w:p>
        </w:tc>
        <w:tc>
          <w:tcPr>
            <w:tcW w:w="24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4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First quarter percentage change</w:t>
            </w: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Our purchases of this species comprised almost two-thirds of our total lumber purchases, which has generally caused a decrease in our selling prices of related products.</w:t>
      </w:r>
    </w:p>
    <w:p>
      <w:pPr>
        <w:spacing w:after="0" w:line="189"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Random Lengths SYP</w:t>
      </w:r>
    </w:p>
    <w:p>
      <w:pPr>
        <w:jc w:val="center"/>
        <w:ind w:left="6680"/>
        <w:spacing w:after="0" w:line="236" w:lineRule="auto"/>
        <w:rPr>
          <w:sz w:val="20"/>
          <w:szCs w:val="20"/>
          <w:color w:val="auto"/>
        </w:rPr>
      </w:pPr>
      <w:r>
        <w:rPr>
          <w:rFonts w:ascii="Arial" w:cs="Arial" w:eastAsia="Arial" w:hAnsi="Arial"/>
          <w:sz w:val="14"/>
          <w:szCs w:val="14"/>
          <w:b w:val="1"/>
          <w:bCs w:val="1"/>
          <w:color w:val="auto"/>
        </w:rPr>
        <w:t>Average $/MBF</w:t>
      </w:r>
    </w:p>
    <w:tbl>
      <w:tblPr>
        <w:tblLayout w:type="fixed"/>
        <w:tblInd w:w="40" w:type="dxa"/>
        <w:tblCellMar>
          <w:top w:w="0" w:type="dxa"/>
          <w:left w:w="0" w:type="dxa"/>
          <w:bottom w:w="0" w:type="dxa"/>
          <w:right w:w="0" w:type="dxa"/>
        </w:tblCellMar>
      </w:tblPr>
      <w:tr>
        <w:trPr>
          <w:trHeight w:val="163"/>
        </w:trPr>
        <w:tc>
          <w:tcPr>
            <w:tcW w:w="68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February</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 average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80" w:type="dxa"/>
            <w:vAlign w:val="bottom"/>
            <w:shd w:val="clear" w:color="auto" w:fill="CCEEFF"/>
          </w:tcPr>
          <w:p>
            <w:pPr>
              <w:spacing w:after="0"/>
              <w:rPr>
                <w:sz w:val="18"/>
                <w:szCs w:val="18"/>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First quarter percentage change</w:t>
            </w:r>
          </w:p>
        </w:tc>
        <w:tc>
          <w:tcPr>
            <w:tcW w:w="1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45.6% and 45.9% of our sales in the first three months of 2020 and 2019, respectively.</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225" w:lineRule="exact"/>
        <w:rPr>
          <w:sz w:val="20"/>
          <w:szCs w:val="20"/>
          <w:color w:val="auto"/>
        </w:rPr>
      </w:pPr>
    </w:p>
    <w:p>
      <w:pPr>
        <w:jc w:val="both"/>
        <w:ind w:left="880" w:right="79" w:hanging="317"/>
        <w:spacing w:after="0" w:line="296"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Products with fixed selling prices.</w:t>
      </w:r>
      <w:r>
        <w:rPr>
          <w:rFonts w:ascii="Arial" w:cs="Arial" w:eastAsia="Arial" w:hAnsi="Arial"/>
          <w:sz w:val="16"/>
          <w:szCs w:val="16"/>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880" w:right="79"/>
        <w:spacing w:after="0" w:line="277" w:lineRule="auto"/>
        <w:rPr>
          <w:sz w:val="20"/>
          <w:szCs w:val="20"/>
          <w:color w:val="auto"/>
        </w:rPr>
      </w:pPr>
      <w:r>
        <w:rPr>
          <w:rFonts w:ascii="Arial" w:cs="Arial" w:eastAsia="Arial" w:hAnsi="Arial"/>
          <w:sz w:val="18"/>
          <w:szCs w:val="18"/>
          <w:color w:val="auto"/>
        </w:rPr>
        <w:t>in lumber costs from our suppliers. We believe our percentage of sales of fixed price items is greatest in our third and fourth quarters.</w:t>
      </w:r>
    </w:p>
    <w:p>
      <w:pPr>
        <w:spacing w:after="0" w:line="170" w:lineRule="exact"/>
        <w:rPr>
          <w:sz w:val="20"/>
          <w:szCs w:val="20"/>
          <w:color w:val="auto"/>
        </w:rPr>
      </w:pPr>
    </w:p>
    <w:p>
      <w:pPr>
        <w:jc w:val="both"/>
        <w:ind w:left="880" w:right="79" w:hanging="317"/>
        <w:spacing w:after="0" w:line="254"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Products with selling prices indexed to the reported Lumber Market with a fixed dollar “adder” to cover conversion costs and profit.</w:t>
      </w:r>
      <w:r>
        <w:rPr>
          <w:rFonts w:ascii="Arial" w:cs="Arial" w:eastAsia="Arial" w:hAnsi="Arial"/>
          <w:sz w:val="18"/>
          <w:szCs w:val="18"/>
          <w:color w:val="auto"/>
        </w:rPr>
        <w:t xml:space="preserve"> These products primarily include treated lumber, panel goods, other commodity-type items,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treated lumber sold to the retail market.</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For each of the product pricing categories above, our margins are exposed to changes in the trend of lumber prices.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greatest risk associated with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is on the following products:</w:t>
      </w:r>
    </w:p>
    <w:p>
      <w:pPr>
        <w:spacing w:after="0" w:line="225" w:lineRule="exact"/>
        <w:rPr>
          <w:sz w:val="20"/>
          <w:szCs w:val="20"/>
          <w:color w:val="auto"/>
        </w:rPr>
      </w:pPr>
    </w:p>
    <w:p>
      <w:pPr>
        <w:jc w:val="both"/>
        <w:ind w:left="880" w:right="79" w:hanging="317"/>
        <w:spacing w:after="0" w:line="271"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Products with significant inventory levels with low turnover rates, whose selling prices are indexed to the Lumber Market.</w:t>
      </w:r>
      <w:r>
        <w:rPr>
          <w:rFonts w:ascii="Arial" w:cs="Arial" w:eastAsia="Arial" w:hAnsi="Arial"/>
          <w:sz w:val="17"/>
          <w:szCs w:val="17"/>
          <w:color w:val="auto"/>
        </w:rPr>
        <w:t xml:space="preserve"> In other words, the longer the period of time these products remain in inventory, the greater the exposure to changes in the price of lumber. This would include treated lumber, which comprises approximately 16% of our total sales. This exposure is less significant with remanufactured lumber, panel goods, other commodity-type items, and trusses sold to the manufactured housing market due to the higher rate of inventory turnover. We attempt to mitigate the risk associated with treated lumber through inventory consignment programs with our vendors. (</w:t>
      </w:r>
      <w:r>
        <w:rPr>
          <w:rFonts w:ascii="Arial" w:cs="Arial" w:eastAsia="Arial" w:hAnsi="Arial"/>
          <w:sz w:val="17"/>
          <w:szCs w:val="17"/>
          <w:i w:val="1"/>
          <w:iCs w:val="1"/>
          <w:color w:val="auto"/>
        </w:rPr>
        <w:t>Please refer to the “Risk Factors” section of our annual report on</w:t>
      </w:r>
      <w:r>
        <w:rPr>
          <w:rFonts w:ascii="Arial" w:cs="Arial" w:eastAsia="Arial" w:hAnsi="Arial"/>
          <w:sz w:val="17"/>
          <w:szCs w:val="17"/>
          <w:color w:val="auto"/>
        </w:rPr>
        <w:t xml:space="preserve"> </w:t>
      </w:r>
      <w:r>
        <w:rPr>
          <w:rFonts w:ascii="Arial" w:cs="Arial" w:eastAsia="Arial" w:hAnsi="Arial"/>
          <w:sz w:val="17"/>
          <w:szCs w:val="17"/>
          <w:i w:val="1"/>
          <w:iCs w:val="1"/>
          <w:color w:val="auto"/>
        </w:rPr>
        <w:t>form 10-K, filed with the United States Securities and Exchange Commission.</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left="880" w:right="79" w:hanging="317"/>
        <w:spacing w:after="0" w:line="263"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xml:space="preserve"> We attempt to mitigate this risk through our purchasing practices and longer vendor commitments.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40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Period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Period 2</w:t>
            </w: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Lumber cost</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cost</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Product cost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Adder</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Sell price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Gross margin</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10.0 %</w:t>
            </w:r>
          </w:p>
        </w:tc>
      </w:tr>
    </w:tbl>
    <w:p>
      <w:pPr>
        <w:spacing w:after="0" w:line="18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 xml:space="preserve">As is apparent from the preceding example, the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lumber prices does not impact our overall profits, but does impact our margins. Gross margins are negatively impacted during periods of high lumber prices; conversely, we experience margin improvement when lumber prices are relatively low. In order to more effectively evaluate our profitability in such periods, we believe it is useful to compare our change in units shipped with our changes in costs and profits.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completed one business acquisition during the first three months of 2020 and three during all of 2019. The annual historical sales attributable to acquisitions completed in the first three months of 2020 and all of 2019 were approximately $22 million and $37 million, respectively. These business combinations were not significant to our quarterly results individually or in aggregate and thus pro forma results for 2020 and 2019 are not presented.</w:t>
      </w:r>
    </w:p>
    <w:p>
      <w:pPr>
        <w:sectPr>
          <w:pgSz w:w="11900" w:h="16838" w:orient="portrait"/>
          <w:cols w:equalWidth="0" w:num="1">
            <w:col w:w="9019"/>
          </w:cols>
          <w:pgMar w:left="1440" w:top="544"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See Notes to the Unaudited Condensed Consolidated Financial Statements, Note F, “Business Combinations” for additional information.</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Unaudited Condensed Consolidated Statements of Earnings as a percentage of net sales.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6600" w:type="dxa"/>
            <w:vAlign w:val="bottom"/>
          </w:tcPr>
          <w:p>
            <w:pPr>
              <w:spacing w:after="0"/>
              <w:rPr>
                <w:sz w:val="15"/>
                <w:szCs w:val="15"/>
                <w:color w:val="auto"/>
              </w:rPr>
            </w:pPr>
          </w:p>
        </w:tc>
        <w:tc>
          <w:tcPr>
            <w:tcW w:w="204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r>
      <w:tr>
        <w:trPr>
          <w:trHeight w:val="126"/>
        </w:trPr>
        <w:tc>
          <w:tcPr>
            <w:tcW w:w="6600" w:type="dxa"/>
            <w:vAlign w:val="bottom"/>
          </w:tcPr>
          <w:p>
            <w:pPr>
              <w:spacing w:after="0"/>
              <w:rPr>
                <w:sz w:val="10"/>
                <w:szCs w:val="10"/>
                <w:color w:val="auto"/>
              </w:rPr>
            </w:pPr>
          </w:p>
        </w:tc>
        <w:tc>
          <w:tcPr>
            <w:tcW w:w="920" w:type="dxa"/>
            <w:vAlign w:val="bottom"/>
          </w:tcPr>
          <w:p>
            <w:pPr>
              <w:jc w:val="right"/>
              <w:ind w:right="74"/>
              <w:spacing w:after="0" w:line="126" w:lineRule="exact"/>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0"/>
                <w:szCs w:val="10"/>
                <w:color w:val="auto"/>
              </w:rPr>
            </w:pPr>
          </w:p>
        </w:tc>
        <w:tc>
          <w:tcPr>
            <w:tcW w:w="880" w:type="dxa"/>
            <w:vAlign w:val="bottom"/>
          </w:tcPr>
          <w:p>
            <w:pPr>
              <w:jc w:val="right"/>
              <w:ind w:right="33"/>
              <w:spacing w:after="0" w:line="126" w:lineRule="exact"/>
              <w:rPr>
                <w:sz w:val="20"/>
                <w:szCs w:val="20"/>
                <w:color w:val="auto"/>
              </w:rPr>
            </w:pPr>
            <w:r>
              <w:rPr>
                <w:rFonts w:ascii="Arial" w:cs="Arial" w:eastAsia="Arial" w:hAnsi="Arial"/>
                <w:sz w:val="14"/>
                <w:szCs w:val="14"/>
                <w:b w:val="1"/>
                <w:bCs w:val="1"/>
                <w:color w:val="auto"/>
              </w:rPr>
              <w:t>March 30,</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78"/>
        </w:trPr>
        <w:tc>
          <w:tcPr>
            <w:tcW w:w="66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16"/>
        </w:trPr>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r>
      <w:tr>
        <w:trPr>
          <w:trHeight w:val="209"/>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0"/>
        </w:trPr>
        <w:tc>
          <w:tcPr>
            <w:tcW w:w="660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09"/>
        </w:trPr>
        <w:tc>
          <w:tcPr>
            <w:tcW w:w="660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0"/>
        </w:trPr>
        <w:tc>
          <w:tcPr>
            <w:tcW w:w="6600" w:type="dxa"/>
            <w:vAlign w:val="bottom"/>
          </w:tcPr>
          <w:p>
            <w:pPr>
              <w:spacing w:after="0"/>
              <w:rPr>
                <w:sz w:val="20"/>
                <w:szCs w:val="20"/>
                <w:color w:val="auto"/>
              </w:rPr>
            </w:pPr>
            <w:r>
              <w:rPr>
                <w:rFonts w:ascii="Arial" w:cs="Arial" w:eastAsia="Arial" w:hAnsi="Arial"/>
                <w:sz w:val="18"/>
                <w:szCs w:val="18"/>
                <w:color w:val="auto"/>
              </w:rPr>
              <w:t>Net earnings</w:t>
            </w: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09"/>
        </w:trPr>
        <w:tc>
          <w:tcPr>
            <w:tcW w:w="6600" w:type="dxa"/>
            <w:vAlign w:val="bottom"/>
          </w:tcPr>
          <w:p>
            <w:pPr>
              <w:spacing w:after="0"/>
              <w:rPr>
                <w:sz w:val="20"/>
                <w:szCs w:val="20"/>
                <w:color w:val="auto"/>
              </w:rPr>
            </w:pPr>
            <w:r>
              <w:rPr>
                <w:rFonts w:ascii="Arial" w:cs="Arial" w:eastAsia="Arial" w:hAnsi="Arial"/>
                <w:sz w:val="18"/>
                <w:szCs w:val="18"/>
                <w:color w:val="auto"/>
              </w:rPr>
              <w:t>Net earnings attributable to controlling interest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r>
      <w:tr>
        <w:trPr>
          <w:trHeight w:val="20"/>
        </w:trPr>
        <w:tc>
          <w:tcPr>
            <w:tcW w:w="6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following table presents, for the periods indicated, the components of our Consolidated Statements of Earnings as a percentage of net sales, adjusted to restate 2020 net sales and cost of goods sold at prior year lumber prices. The restated sales amounts were calculated by applying the decrease in lumber prices in 2020 to 2019 sales levels. By eliminating the “pass-through” impact of higher or lower lumber prices on net sales and cost of goods sold from year to year, we believe this provides an enhanced view of our change in profitability and costs as a percentage of sales. The amount of the adjustment to 2020 net sales was also applied to cost of goods sold so that gross profit remains unchanged.</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40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Adjusted for Lumber Market Change</w:t>
            </w:r>
          </w:p>
        </w:tc>
      </w:tr>
      <w:tr>
        <w:trPr>
          <w:trHeight w:val="178"/>
        </w:trPr>
        <w:tc>
          <w:tcPr>
            <w:tcW w:w="6500" w:type="dxa"/>
            <w:vAlign w:val="bottom"/>
          </w:tcPr>
          <w:p>
            <w:pPr>
              <w:spacing w:after="0"/>
              <w:rPr>
                <w:sz w:val="15"/>
                <w:szCs w:val="15"/>
                <w:color w:val="auto"/>
              </w:rPr>
            </w:pPr>
          </w:p>
        </w:tc>
        <w:tc>
          <w:tcPr>
            <w:tcW w:w="216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5"/>
                <w:szCs w:val="15"/>
                <w:color w:val="auto"/>
              </w:rPr>
            </w:pPr>
          </w:p>
        </w:tc>
      </w:tr>
      <w:tr>
        <w:trPr>
          <w:trHeight w:val="126"/>
        </w:trPr>
        <w:tc>
          <w:tcPr>
            <w:tcW w:w="6500" w:type="dxa"/>
            <w:vAlign w:val="bottom"/>
          </w:tcPr>
          <w:p>
            <w:pPr>
              <w:spacing w:after="0"/>
              <w:rPr>
                <w:sz w:val="10"/>
                <w:szCs w:val="10"/>
                <w:color w:val="auto"/>
              </w:rPr>
            </w:pPr>
          </w:p>
        </w:tc>
        <w:tc>
          <w:tcPr>
            <w:tcW w:w="960" w:type="dxa"/>
            <w:vAlign w:val="bottom"/>
          </w:tcPr>
          <w:p>
            <w:pPr>
              <w:jc w:val="right"/>
              <w:ind w:right="75"/>
              <w:spacing w:after="0" w:line="126" w:lineRule="exact"/>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0"/>
                <w:szCs w:val="10"/>
                <w:color w:val="auto"/>
              </w:rPr>
            </w:pPr>
          </w:p>
        </w:tc>
        <w:tc>
          <w:tcPr>
            <w:tcW w:w="960" w:type="dxa"/>
            <w:vAlign w:val="bottom"/>
          </w:tcPr>
          <w:p>
            <w:pPr>
              <w:jc w:val="right"/>
              <w:ind w:right="73"/>
              <w:spacing w:after="0" w:line="126" w:lineRule="exact"/>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0"/>
                <w:szCs w:val="10"/>
                <w:color w:val="auto"/>
              </w:rPr>
            </w:pPr>
          </w:p>
        </w:tc>
      </w:tr>
      <w:tr>
        <w:trPr>
          <w:trHeight w:val="178"/>
        </w:trPr>
        <w:tc>
          <w:tcPr>
            <w:tcW w:w="65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5"/>
                <w:szCs w:val="15"/>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2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40" w:type="dxa"/>
            <w:vAlign w:val="bottom"/>
            <w:tcBorders>
              <w:bottom w:val="single" w:sz="8" w:color="CCEEFF"/>
            </w:tcBorders>
          </w:tcPr>
          <w:p>
            <w:pPr>
              <w:spacing w:after="0"/>
              <w:rPr>
                <w:sz w:val="18"/>
                <w:szCs w:val="18"/>
                <w:color w:val="auto"/>
              </w:rPr>
            </w:pPr>
          </w:p>
        </w:tc>
      </w:tr>
      <w:tr>
        <w:trPr>
          <w:trHeight w:val="21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CEEFF"/>
          </w:tcPr>
          <w:p>
            <w:pPr>
              <w:spacing w:after="0"/>
              <w:rPr>
                <w:sz w:val="18"/>
                <w:szCs w:val="18"/>
                <w:color w:val="auto"/>
              </w:rPr>
            </w:pP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r>
      <w:tr>
        <w:trPr>
          <w:trHeight w:val="209"/>
        </w:trPr>
        <w:tc>
          <w:tcPr>
            <w:tcW w:w="650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r>
      <w:tr>
        <w:trPr>
          <w:trHeight w:val="209"/>
        </w:trPr>
        <w:tc>
          <w:tcPr>
            <w:tcW w:w="650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r>
      <w:tr>
        <w:trPr>
          <w:trHeight w:val="210"/>
        </w:trPr>
        <w:tc>
          <w:tcPr>
            <w:tcW w:w="65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earnings attributable to noncontrolling interest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r>
      <w:tr>
        <w:trPr>
          <w:trHeight w:val="209"/>
        </w:trPr>
        <w:tc>
          <w:tcPr>
            <w:tcW w:w="6500" w:type="dxa"/>
            <w:vAlign w:val="bottom"/>
          </w:tcPr>
          <w:p>
            <w:pPr>
              <w:ind w:left="20"/>
              <w:spacing w:after="0"/>
              <w:rPr>
                <w:sz w:val="20"/>
                <w:szCs w:val="20"/>
                <w:color w:val="auto"/>
              </w:rPr>
            </w:pPr>
            <w:r>
              <w:rPr>
                <w:rFonts w:ascii="Arial" w:cs="Arial" w:eastAsia="Arial" w:hAnsi="Arial"/>
                <w:sz w:val="18"/>
                <w:szCs w:val="18"/>
                <w:color w:val="auto"/>
              </w:rPr>
              <w:t>Net earnings attributable to controlling interest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Results by Segment:</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Effective January 1, 2020, the Company re-organized around the markets it serves rather than geography. The business segments align with the following markets: UFP Retail Solutions, UFP Construction and UFP Industrial. This change allows for a more specialized and consistent sales approach among Company operations, more efficient use of resources and capital, and quicker introduction of new products and services. The Company manages the operations of its individual locations primarily through the market-centered reporting structure under which each location is included in a business unit and business units are included in our Retail, Industrial, and Construction segments. The exception to this market-centered reporting and management structure is the Company’s International segment, which comprises our Mexico, Canada, and Australia operations and sales and buying offices in other parts of the world. Our International segment and Ardellis (our insurance captive) have been included in the “All Other” column of the table below. The “Corporate” column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and leases transportation equipment, are also included in the Corporate column. An inter-company lease charge is assessed to our operating segments for the use of these assets at fair market value rates.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present our operating results, for the periods indicated, by segment.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7"/>
              </w:rPr>
              <w:t>Three Months Ended March 28, 2020</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304"/>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Industrial</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352,161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256,543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381,155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1,032,062</w:t>
            </w: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306,932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212,626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317,817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(2,635)</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864,826</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45,229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63,338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167,236</w:t>
            </w: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29,627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46,386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8,351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(860)</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109,339</w:t>
            </w: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15,512</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18,074</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17,135</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4,739</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3,172</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58,632</w:t>
            </w:r>
          </w:p>
        </w:tc>
      </w:tr>
      <w:tr>
        <w:trPr>
          <w:trHeight w:val="493"/>
        </w:trPr>
        <w:tc>
          <w:tcPr>
            <w:tcW w:w="2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7"/>
              </w:rPr>
              <w:t>Three Months Ended March 30, 2019</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304"/>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Industrial</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274,759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365,137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1,015,125</w:t>
            </w: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296,240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231,435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303,963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(2,432)</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860,858</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61,174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154,267</w:t>
            </w: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25,785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45,784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8,107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105,317</w:t>
            </w: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11,031</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18,823</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15,267</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2,048</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1,277</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48,446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tables present the components of our operating results, for the periods indicated, as a percentage of net sales by segment.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1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Three Months Ended March 28, 2020</w:t>
            </w: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304"/>
        </w:trPr>
        <w:tc>
          <w:tcPr>
            <w:tcW w:w="21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Industrial</w:t>
            </w:r>
          </w:p>
        </w:tc>
        <w:tc>
          <w:tcPr>
            <w:tcW w:w="11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8"/>
              </w:rPr>
              <w:t>Construction</w:t>
            </w: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All Other</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Corporate</w:t>
            </w:r>
          </w:p>
        </w:tc>
        <w:tc>
          <w:tcPr>
            <w:tcW w:w="116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3"/>
        </w:trPr>
        <w:tc>
          <w:tcPr>
            <w:tcW w:w="21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40" w:type="dxa"/>
            <w:vAlign w:val="bottom"/>
          </w:tcPr>
          <w:p>
            <w:pPr>
              <w:jc w:val="right"/>
              <w:spacing w:after="0"/>
              <w:rPr>
                <w:sz w:val="20"/>
                <w:szCs w:val="20"/>
                <w:color w:val="auto"/>
              </w:rPr>
            </w:pPr>
            <w:r>
              <w:rPr>
                <w:rFonts w:ascii="Arial" w:cs="Arial" w:eastAsia="Arial" w:hAnsi="Arial"/>
                <w:sz w:val="18"/>
                <w:szCs w:val="18"/>
                <w:color w:val="auto"/>
              </w:rPr>
              <w:t>87.2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82.9</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71.0</w:t>
            </w: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Pr>
          <w:p>
            <w:pPr>
              <w:spacing w:after="0"/>
              <w:rPr>
                <w:sz w:val="19"/>
                <w:szCs w:val="19"/>
                <w:color w:val="auto"/>
              </w:rPr>
            </w:pP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top w:val="single" w:sz="8" w:color="CCEEFF"/>
            </w:tcBorders>
            <w:shd w:val="clear" w:color="auto" w:fill="CCEEFF"/>
          </w:tcPr>
          <w:p>
            <w:pPr>
              <w:spacing w:after="0"/>
              <w:rPr>
                <w:sz w:val="18"/>
                <w:szCs w:val="18"/>
                <w:color w:val="auto"/>
              </w:rPr>
            </w:pPr>
          </w:p>
        </w:tc>
      </w:tr>
      <w:tr>
        <w:trPr>
          <w:trHeight w:val="202"/>
        </w:trPr>
        <w:tc>
          <w:tcPr>
            <w:tcW w:w="21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1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0"/>
                <w:szCs w:val="20"/>
                <w:color w:val="auto"/>
              </w:rPr>
            </w:pPr>
          </w:p>
        </w:tc>
      </w:tr>
      <w:tr>
        <w:trPr>
          <w:trHeight w:val="236"/>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r>
      <w:tr>
        <w:trPr>
          <w:trHeight w:val="210"/>
        </w:trPr>
        <w:tc>
          <w:tcPr>
            <w:tcW w:w="21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218"/>
        </w:trPr>
        <w:tc>
          <w:tcPr>
            <w:tcW w:w="5500" w:type="dxa"/>
            <w:vAlign w:val="bottom"/>
            <w:gridSpan w:val="7"/>
          </w:tcPr>
          <w:p>
            <w:pPr>
              <w:ind w:left="20"/>
              <w:spacing w:after="0"/>
              <w:rPr>
                <w:sz w:val="20"/>
                <w:szCs w:val="20"/>
                <w:color w:val="auto"/>
              </w:rPr>
            </w:pPr>
            <w:r>
              <w:rPr>
                <w:rFonts w:ascii="Arial" w:cs="Arial" w:eastAsia="Arial" w:hAnsi="Arial"/>
                <w:sz w:val="14"/>
                <w:szCs w:val="14"/>
                <w:color w:val="auto"/>
              </w:rPr>
              <w:t>Note: Actual percentages are calculated and may not sum to total due to rounding.</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70"/>
        </w:trPr>
        <w:tc>
          <w:tcPr>
            <w:tcW w:w="21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Three Months Ended March 30, 2019</w:t>
            </w: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304"/>
        </w:trPr>
        <w:tc>
          <w:tcPr>
            <w:tcW w:w="21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Industrial</w:t>
            </w:r>
          </w:p>
        </w:tc>
        <w:tc>
          <w:tcPr>
            <w:tcW w:w="11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8"/>
              </w:rPr>
              <w:t>Construction</w:t>
            </w: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All Other</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Corporate</w:t>
            </w:r>
          </w:p>
        </w:tc>
        <w:tc>
          <w:tcPr>
            <w:tcW w:w="116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3"/>
        </w:trPr>
        <w:tc>
          <w:tcPr>
            <w:tcW w:w="21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40" w:type="dxa"/>
            <w:vAlign w:val="bottom"/>
          </w:tcPr>
          <w:p>
            <w:pPr>
              <w:jc w:val="right"/>
              <w:spacing w:after="0"/>
              <w:rPr>
                <w:sz w:val="20"/>
                <w:szCs w:val="20"/>
                <w:color w:val="auto"/>
              </w:rPr>
            </w:pPr>
            <w:r>
              <w:rPr>
                <w:rFonts w:ascii="Arial" w:cs="Arial" w:eastAsia="Arial" w:hAnsi="Arial"/>
                <w:sz w:val="18"/>
                <w:szCs w:val="18"/>
                <w:color w:val="auto"/>
              </w:rPr>
              <w:t>88.9</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75.2</w:t>
            </w: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84.8</w:t>
            </w:r>
          </w:p>
        </w:tc>
        <w:tc>
          <w:tcPr>
            <w:tcW w:w="200" w:type="dxa"/>
            <w:vAlign w:val="bottom"/>
          </w:tcPr>
          <w:p>
            <w:pPr>
              <w:spacing w:after="0"/>
              <w:rPr>
                <w:sz w:val="19"/>
                <w:szCs w:val="19"/>
                <w:color w:val="auto"/>
              </w:rPr>
            </w:pP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Borders>
              <w:top w:val="single" w:sz="8" w:color="CCEEFF"/>
            </w:tcBorders>
            <w:shd w:val="clear" w:color="auto" w:fill="CCEEFF"/>
          </w:tcPr>
          <w:p>
            <w:pPr>
              <w:spacing w:after="0"/>
              <w:rPr>
                <w:sz w:val="18"/>
                <w:szCs w:val="18"/>
                <w:color w:val="auto"/>
              </w:rPr>
            </w:pPr>
          </w:p>
        </w:tc>
      </w:tr>
      <w:tr>
        <w:trPr>
          <w:trHeight w:val="202"/>
        </w:trPr>
        <w:tc>
          <w:tcPr>
            <w:tcW w:w="21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1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r>
      <w:tr>
        <w:trPr>
          <w:trHeight w:val="236"/>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20"/>
                <w:szCs w:val="20"/>
                <w:color w:val="auto"/>
              </w:rPr>
            </w:pPr>
          </w:p>
        </w:tc>
      </w:tr>
      <w:tr>
        <w:trPr>
          <w:trHeight w:val="210"/>
        </w:trPr>
        <w:tc>
          <w:tcPr>
            <w:tcW w:w="21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customized interior fixtures used in a variety of retail and commercial applications, and specialty wood packaging, components and packaging materials for various industries. Our strategic long-term sales objectives generally include:</w:t>
      </w:r>
    </w:p>
    <w:p>
      <w:pPr>
        <w:spacing w:after="0" w:line="188" w:lineRule="exact"/>
        <w:rPr>
          <w:sz w:val="20"/>
          <w:szCs w:val="20"/>
          <w:color w:val="auto"/>
        </w:rPr>
      </w:pPr>
    </w:p>
    <w:p>
      <w:pPr>
        <w:jc w:val="both"/>
        <w:ind w:left="880" w:right="79" w:hanging="317"/>
        <w:spacing w:after="0" w:line="290"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Increasing our sales of "value-added" products and enhancing our product offering with new or improved products. Value-added products generally consist of fencing, decking, lattice, and other specialty products sold to the retail market, specialty wood packaging, engineered wood components, customized interior fixtures, and "wood alternative" products. Engineered wood components include roof trusses, wall panels, and floor systems. Wood alternative products consist primarily of composite wood and plastics.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w:t>
      </w:r>
    </w:p>
    <w:p>
      <w:pPr>
        <w:spacing w:after="0" w:line="165" w:lineRule="exact"/>
        <w:rPr>
          <w:sz w:val="20"/>
          <w:szCs w:val="20"/>
          <w:color w:val="auto"/>
        </w:rPr>
      </w:pPr>
    </w:p>
    <w:p>
      <w:pPr>
        <w:jc w:val="both"/>
        <w:ind w:left="860" w:right="79"/>
        <w:spacing w:after="0" w:line="259" w:lineRule="auto"/>
        <w:rPr>
          <w:sz w:val="20"/>
          <w:szCs w:val="20"/>
          <w:color w:val="auto"/>
        </w:rPr>
      </w:pPr>
      <w:r>
        <w:rPr>
          <w:rFonts w:ascii="Arial" w:cs="Arial" w:eastAsia="Arial" w:hAnsi="Arial"/>
          <w:sz w:val="18"/>
          <w:szCs w:val="18"/>
          <w:color w:val="auto"/>
        </w:rPr>
        <w:t>The following table presents, for the periods indicated, our percentage of value-added and commodity-based sales to total net sales by our primary segments (Retail, Industrial, and Construction). Value-added products are typically sold at fixed selling prices for a pre-determined time period and carry higher gross margins than our commodity-based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34" w:lineRule="exact"/>
        <w:rPr>
          <w:sz w:val="20"/>
          <w:szCs w:val="20"/>
          <w:color w:val="auto"/>
        </w:rPr>
      </w:pPr>
    </w:p>
    <w:tbl>
      <w:tblPr>
        <w:tblLayout w:type="fixed"/>
        <w:tblInd w:w="960" w:type="dxa"/>
        <w:tblCellMar>
          <w:top w:w="0" w:type="dxa"/>
          <w:left w:w="0" w:type="dxa"/>
          <w:bottom w:w="0" w:type="dxa"/>
          <w:right w:w="0" w:type="dxa"/>
        </w:tblCellMar>
      </w:tblPr>
      <w:tr>
        <w:trPr>
          <w:trHeight w:val="178"/>
        </w:trPr>
        <w:tc>
          <w:tcPr>
            <w:tcW w:w="2860" w:type="dxa"/>
            <w:vAlign w:val="bottom"/>
          </w:tcPr>
          <w:p>
            <w:pPr>
              <w:spacing w:after="0"/>
              <w:rPr>
                <w:sz w:val="15"/>
                <w:szCs w:val="15"/>
                <w:color w:val="auto"/>
              </w:rPr>
            </w:pPr>
          </w:p>
        </w:tc>
        <w:tc>
          <w:tcPr>
            <w:tcW w:w="250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4"/>
                <w:szCs w:val="14"/>
                <w:b w:val="1"/>
                <w:bCs w:val="1"/>
                <w:color w:val="auto"/>
                <w:w w:val="98"/>
              </w:rPr>
              <w:t>Three Months Ended March 28, 2020</w:t>
            </w:r>
          </w:p>
        </w:tc>
        <w:tc>
          <w:tcPr>
            <w:tcW w:w="160" w:type="dxa"/>
            <w:vAlign w:val="bottom"/>
          </w:tcPr>
          <w:p>
            <w:pPr>
              <w:spacing w:after="0"/>
              <w:rPr>
                <w:sz w:val="15"/>
                <w:szCs w:val="15"/>
                <w:color w:val="auto"/>
              </w:rPr>
            </w:pPr>
          </w:p>
        </w:tc>
        <w:tc>
          <w:tcPr>
            <w:tcW w:w="248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4"/>
                <w:szCs w:val="14"/>
                <w:b w:val="1"/>
                <w:bCs w:val="1"/>
                <w:color w:val="auto"/>
                <w:w w:val="97"/>
              </w:rPr>
              <w:t>Three Months Ended March 30, 2019</w:t>
            </w:r>
          </w:p>
        </w:tc>
      </w:tr>
      <w:tr>
        <w:trPr>
          <w:trHeight w:val="304"/>
        </w:trPr>
        <w:tc>
          <w:tcPr>
            <w:tcW w:w="2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Value-Added</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Commodity-Based</w:t>
            </w: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Value-Added</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0"/>
              </w:rPr>
              <w:t>Commodity-Based</w:t>
            </w:r>
          </w:p>
        </w:tc>
      </w:tr>
      <w:tr>
        <w:trPr>
          <w:trHeight w:val="216"/>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Retail</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56.5 %</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43.5 %</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56.0 %</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44.0 %</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Industrial</w:t>
            </w:r>
          </w:p>
        </w:tc>
        <w:tc>
          <w:tcPr>
            <w:tcW w:w="1120" w:type="dxa"/>
            <w:vAlign w:val="bottom"/>
          </w:tcPr>
          <w:p>
            <w:pPr>
              <w:jc w:val="right"/>
              <w:spacing w:after="0"/>
              <w:rPr>
                <w:sz w:val="20"/>
                <w:szCs w:val="20"/>
                <w:color w:val="auto"/>
              </w:rPr>
            </w:pPr>
            <w:r>
              <w:rPr>
                <w:rFonts w:ascii="Arial" w:cs="Arial" w:eastAsia="Arial" w:hAnsi="Arial"/>
                <w:sz w:val="18"/>
                <w:szCs w:val="18"/>
                <w:color w:val="auto"/>
              </w:rPr>
              <w:t>66.8 %</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33.2 %</w:t>
            </w:r>
          </w:p>
        </w:tc>
        <w:tc>
          <w:tcPr>
            <w:tcW w:w="160" w:type="dxa"/>
            <w:vAlign w:val="bottom"/>
          </w:tcPr>
          <w:p>
            <w:pPr>
              <w:spacing w:after="0"/>
              <w:rPr>
                <w:sz w:val="18"/>
                <w:szCs w:val="18"/>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65.8 %</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34.2 %</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Construction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79.1 %</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80.0 %</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Total Net Sales</w:t>
            </w:r>
          </w:p>
        </w:tc>
        <w:tc>
          <w:tcPr>
            <w:tcW w:w="1120" w:type="dxa"/>
            <w:vAlign w:val="bottom"/>
          </w:tcPr>
          <w:p>
            <w:pPr>
              <w:jc w:val="right"/>
              <w:spacing w:after="0"/>
              <w:rPr>
                <w:sz w:val="20"/>
                <w:szCs w:val="20"/>
                <w:color w:val="auto"/>
              </w:rPr>
            </w:pPr>
            <w:r>
              <w:rPr>
                <w:rFonts w:ascii="Arial" w:cs="Arial" w:eastAsia="Arial" w:hAnsi="Arial"/>
                <w:sz w:val="18"/>
                <w:szCs w:val="18"/>
                <w:color w:val="auto"/>
              </w:rPr>
              <w:t>68.0 %</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32.0 %</w:t>
            </w:r>
          </w:p>
        </w:tc>
        <w:tc>
          <w:tcPr>
            <w:tcW w:w="16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67.9 %</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32.1 %</w:t>
            </w:r>
          </w:p>
        </w:tc>
      </w:tr>
    </w:tbl>
    <w:p>
      <w:pPr>
        <w:spacing w:after="0" w:line="187" w:lineRule="exact"/>
        <w:rPr>
          <w:sz w:val="20"/>
          <w:szCs w:val="20"/>
          <w:color w:val="auto"/>
        </w:rPr>
      </w:pPr>
    </w:p>
    <w:p>
      <w:pPr>
        <w:jc w:val="both"/>
        <w:ind w:left="880" w:right="79" w:hanging="317"/>
        <w:spacing w:after="0" w:line="296"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Developing new products. New products are defined as products that will generate sales of at least a $1 million per year within 4 years of launch and are still growing sales penetration. New product sales and gross profits in the first quarter were up 7% and 16%, respectively. Approximately $24 million of new product sales from March 30, 2019, while still sold, were sunset in 2020 and excluded from the table below because they no longer meet the definition above. Our goal is to achieve annual new product sales of at least $475 million in 2020.</w:t>
      </w:r>
    </w:p>
    <w:p>
      <w:pPr>
        <w:spacing w:after="0" w:line="18" w:lineRule="exact"/>
        <w:rPr>
          <w:sz w:val="20"/>
          <w:szCs w:val="20"/>
          <w:color w:val="auto"/>
        </w:rPr>
      </w:pPr>
    </w:p>
    <w:tbl>
      <w:tblPr>
        <w:tblLayout w:type="fixed"/>
        <w:tblInd w:w="960" w:type="dxa"/>
        <w:tblCellMar>
          <w:top w:w="0" w:type="dxa"/>
          <w:left w:w="0" w:type="dxa"/>
          <w:bottom w:w="0" w:type="dxa"/>
          <w:right w:w="0" w:type="dxa"/>
        </w:tblCellMar>
      </w:tblPr>
      <w:tr>
        <w:trPr>
          <w:trHeight w:val="178"/>
        </w:trPr>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New Product Sales by Segment</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r>
      <w:tr>
        <w:trPr>
          <w:trHeight w:val="155"/>
        </w:trPr>
        <w:tc>
          <w:tcPr>
            <w:tcW w:w="1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216"/>
              <w:spacing w:after="0" w:line="149" w:lineRule="exact"/>
              <w:rPr>
                <w:sz w:val="20"/>
                <w:szCs w:val="20"/>
                <w:color w:val="auto"/>
              </w:rPr>
            </w:pPr>
            <w:r>
              <w:rPr>
                <w:rFonts w:ascii="Arial" w:cs="Arial" w:eastAsia="Arial" w:hAnsi="Arial"/>
                <w:sz w:val="14"/>
                <w:szCs w:val="14"/>
                <w:b w:val="1"/>
                <w:bCs w:val="1"/>
                <w:color w:val="auto"/>
                <w:w w:val="99"/>
              </w:rPr>
              <w:t>Three Months Ended</w:t>
            </w: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r>
      <w:tr>
        <w:trPr>
          <w:trHeight w:val="126"/>
        </w:trPr>
        <w:tc>
          <w:tcPr>
            <w:tcW w:w="1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jc w:val="right"/>
              <w:ind w:right="317"/>
              <w:spacing w:after="0" w:line="126" w:lineRule="exact"/>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0"/>
                <w:szCs w:val="10"/>
                <w:color w:val="auto"/>
              </w:rPr>
            </w:pPr>
          </w:p>
        </w:tc>
        <w:tc>
          <w:tcPr>
            <w:tcW w:w="1440" w:type="dxa"/>
            <w:vAlign w:val="bottom"/>
          </w:tcPr>
          <w:p>
            <w:pPr>
              <w:jc w:val="right"/>
              <w:ind w:right="316"/>
              <w:spacing w:after="0" w:line="126" w:lineRule="exact"/>
              <w:rPr>
                <w:sz w:val="20"/>
                <w:szCs w:val="20"/>
                <w:color w:val="auto"/>
              </w:rPr>
            </w:pPr>
            <w:r>
              <w:rPr>
                <w:rFonts w:ascii="Arial" w:cs="Arial" w:eastAsia="Arial" w:hAnsi="Arial"/>
                <w:sz w:val="14"/>
                <w:szCs w:val="14"/>
                <w:b w:val="1"/>
                <w:bCs w:val="1"/>
                <w:color w:val="auto"/>
              </w:rPr>
              <w:t>March 30,</w:t>
            </w:r>
          </w:p>
        </w:tc>
        <w:tc>
          <w:tcPr>
            <w:tcW w:w="1220" w:type="dxa"/>
            <w:vAlign w:val="bottom"/>
            <w:gridSpan w:val="2"/>
          </w:tcPr>
          <w:p>
            <w:pPr>
              <w:jc w:val="right"/>
              <w:ind w:right="199"/>
              <w:spacing w:after="0" w:line="126"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0"/>
                <w:szCs w:val="10"/>
                <w:color w:val="auto"/>
              </w:rPr>
            </w:pPr>
          </w:p>
        </w:tc>
      </w:tr>
      <w:tr>
        <w:trPr>
          <w:trHeight w:val="191"/>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Segment Classification</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700" w:type="dxa"/>
            <w:vAlign w:val="bottom"/>
            <w:gridSpan w:val="2"/>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r>
      <w:tr>
        <w:trPr>
          <w:trHeight w:val="203"/>
        </w:trPr>
        <w:tc>
          <w:tcPr>
            <w:tcW w:w="1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1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64,601</w:t>
            </w:r>
          </w:p>
        </w:tc>
        <w:tc>
          <w:tcPr>
            <w:tcW w:w="2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59,038</w:t>
            </w:r>
          </w:p>
        </w:tc>
        <w:tc>
          <w:tcPr>
            <w:tcW w:w="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16,252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16,268</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(0.1) %</w:t>
            </w: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56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3,272</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(5.8) %</w:t>
            </w:r>
          </w:p>
        </w:tc>
      </w:tr>
      <w:tr>
        <w:trPr>
          <w:trHeight w:val="216"/>
        </w:trPr>
        <w:tc>
          <w:tcPr>
            <w:tcW w:w="2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New Product Sales</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97,666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91,398</w:t>
            </w:r>
          </w:p>
        </w:tc>
        <w:tc>
          <w:tcPr>
            <w:tcW w:w="1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left="540" w:right="59"/>
        <w:spacing w:after="0" w:line="253" w:lineRule="auto"/>
        <w:rPr>
          <w:sz w:val="20"/>
          <w:szCs w:val="20"/>
          <w:color w:val="auto"/>
        </w:rPr>
      </w:pPr>
      <w:r>
        <w:rPr>
          <w:rFonts w:ascii="Arial" w:cs="Arial" w:eastAsia="Arial" w:hAnsi="Arial"/>
          <w:sz w:val="14"/>
          <w:szCs w:val="14"/>
          <w:color w:val="auto"/>
        </w:rPr>
        <w:t>Note: Certain prior year product reclassifications and the change in designation of certain products as “new” resulted in a change in prior year’s sales.</w:t>
      </w:r>
    </w:p>
    <w:p>
      <w:pPr>
        <w:spacing w:after="0" w:line="178" w:lineRule="exact"/>
        <w:rPr>
          <w:sz w:val="20"/>
          <w:szCs w:val="20"/>
          <w:color w:val="auto"/>
        </w:rPr>
      </w:pPr>
    </w:p>
    <w:p>
      <w:pPr>
        <w:ind w:left="880" w:hanging="317"/>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Selling to new customers and markets.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Retail Segment</w:t>
      </w:r>
    </w:p>
    <w:p>
      <w:pPr>
        <w:spacing w:after="0" w:line="229"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Net sales in the first three months of 2020 increased approximately 6% compared to the same period of 2019, due to a 9% increase in unit sales, offset by a 3% decrease in selling prices primarily due to the Lumber Market. Acquired operations contributed 1% to our unit sales growth, and organic unit sales growth was 8%. Our organic unit growth was primarily driven by a 14% increase in each of our ProWood treated products and UFP Edge (siding, pattern, trim) products, an 8% increase in Fence, Lawn &amp; Garden, and a 26% increase in Home &amp; Décor products. These increases were offset by a 14% unit decrease in our Deckorators branded products, which was anticipated due to large first-time store builds that took place in the first quarter of last year. Our new product sales contributed to these increases and were up 9% for the quarter.</w:t>
      </w:r>
    </w:p>
    <w:p>
      <w:pPr>
        <w:spacing w:after="0" w:line="2" w:lineRule="exact"/>
        <w:rPr>
          <w:sz w:val="20"/>
          <w:szCs w:val="20"/>
          <w:color w:val="auto"/>
        </w:rPr>
      </w:pPr>
    </w:p>
    <w:p>
      <w:pPr>
        <w:jc w:val="both"/>
        <w:ind w:left="60" w:right="59" w:firstLine="84"/>
        <w:spacing w:after="0" w:line="260" w:lineRule="auto"/>
        <w:rPr>
          <w:sz w:val="20"/>
          <w:szCs w:val="20"/>
          <w:color w:val="auto"/>
        </w:rPr>
      </w:pPr>
      <w:r>
        <w:rPr>
          <w:rFonts w:ascii="Arial" w:cs="Arial" w:eastAsia="Arial" w:hAnsi="Arial"/>
          <w:sz w:val="18"/>
          <w:szCs w:val="18"/>
          <w:color w:val="auto"/>
        </w:rPr>
        <w:t>Finally, our customer mix remained consistent as our sales to big box customers increased 7%, and sales to other independent retailers increased 5%.</w:t>
      </w:r>
    </w:p>
    <w:p>
      <w:pPr>
        <w:spacing w:after="0" w:line="18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Gross profits increased by 22.7% to $45.2 million for the first three months of 2020 compared to the same period last year as gross margins increased to 12.8% compared to 11.1% for the same period of 2019. We estimate the lower level of lumber prices (see “Impact of the Lumber Market on Our Operating Results”) contributed 40 basis points to our improvement in gross margin. The remaining improvement in our profitability was primarily due to the impact of effective inventory positioning resulting in lower lumber costs, favorable changes in product mix, and strong organic growth which allowed us to leverage fixed costs.</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Selling, general and administrative (“SG&amp;A”) expenses increased by approximately $3.8 million, or 14.9%, in the first quarter of 2020 compared to the same period of 2019, while we reported a 9% increase in unit sales. Acquired operations since the first quarter of 2019 contributed approximately $0.8 million to this increase. Accrued bonus expense, which varies with our overall profitability and return on investment, increased approximately $0.8 million and totaled approximately $3.5 million for the quarter. The remaining increase was due to increases in salaries and wages, benefits, and sales incentive compensation.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Retail reportable segment increased in the first quarter of 2020 compared to 2019 by $4.5 million, or 40.6%, well in excess of our 9% increase in unit sales as a result of the factors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Industrial Segment</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sales in the first three months of 2020 decreased 7% compared to the same period of 2019, due to a 7% decrease in selling prices due to the Lumber Market. Unit sales remained flat year over year as recently acquired companies contributed 2% to unit growth but this was offset by a 2% decrease in sales out of existing locations. Sales to new customers contributed $5 million to our sales this quarter and helped mitigate the decline in demand of our existing customers.</w:t>
      </w:r>
    </w:p>
    <w:p>
      <w:pPr>
        <w:spacing w:after="0" w:line="18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Gross profits increased by 1.4% to $43.9 million for the first three months of 2020 compared to the same period of 2019. Gross margin increased to 17.1% from 15.8% for the same period last year. We estimate the lower level of lumber prices (see “Impact of the Lumber Market on Our Operating Results”) contributed 110 basis points to our improvement in gross margin. The remaining improvement in our profitability was primarily due to the impact of lower lumber costs on products we sell with fixed selling prices and a modest improvement in our sales mix value-added products.</w:t>
      </w:r>
    </w:p>
    <w:p>
      <w:pPr>
        <w:spacing w:after="0" w:line="16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Selling, general and administrative (“SG&amp;A”) expenses increased by approximately $1.3 million, or 5%, in the first quarter of 2020 compared to the same period of 2019. Acquired operations since the first quarter of 2019 contributed approximately $0.6 million to this increase. The remaining increase was due to increases in salaries and wages, benefits, and sales incentive compensation. Additionally, accrued bonus expense, which varies with our pre-bonus operating profit and return on investment, decreased approximately $0.5 million, and totaled $4.2 million for the quarter.</w:t>
      </w:r>
    </w:p>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Earnings from operations for the Industrial reportable segment decreased in the first quarter of 2020 compared to 2019 by $0.7 million, or 4.0%, due to the factors discussed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Construction Segment</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Net sales in the first three months of 2020 increased 4% compared to the same period of 2019, due to a 6% increase in unit sales, offset by a 2% decrease in selling prices primarily due to the Lumber Market. Our unit growth was organic and driven by a 15% increase in unit sales of concrete forming, a 12% unit increase to factory-built housing, a 3% unit increase to commercial, and a 1% unit increase to site-built construction. The increase in our unit sales of concrete forming was due to share gains. Our unit sales to producers of factory-built homes increased primarily due to an increase in industry production.</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Gross profits increased by 3.5% to $63.3 million for the first three months of 2020 compared to the same period of 2019. Gross margin declined slightly to 16.6% from 16.8% for the same period last year, in spite of the lower level of lumber prices (see “Impact of the Lumber Market on Our Operating Results”). The decline in our gross margin was primarily due to our commercial business unit as a result of customer and product mix.</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Selling, general and administrative (“SG&amp;A”) expenses increased by approximately $0.6 million, or 1.3%, in the first quarter of 2020 compared to the same period of 2019, while we reported a 6% increase in unit sales. Accrued bonus expense, which varies with our overall profitability and return on investment, totaled approximately $3.5 million for the quarter, which was comparable to last year.</w:t>
      </w:r>
    </w:p>
    <w:p>
      <w:pPr>
        <w:spacing w:after="0" w:line="187"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Earnings from operations for the Construction reportable segment increased in the first quarter of 2020 compared to 2019 by $1.9 million, or 12.2%, which compares favorably with our 6% increase in unit sales due to the factors above.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All Other Segment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All Other reportable segment consists of our International and Ardellis (our insurance captive) segments that are not significant.</w:t>
      </w:r>
    </w:p>
    <w:p>
      <w:pPr>
        <w:sectPr>
          <w:pgSz w:w="11900" w:h="16838" w:orient="portrait"/>
          <w:cols w:equalWidth="0" w:num="1">
            <w:col w:w="9019"/>
          </w:cols>
          <w:pgMar w:left="1440" w:top="544"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Corporate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corporate segment consists of over (under) allocated costs that are not significant.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NET</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Interest expense was lower in the first quarter of 2020 compared to the same period of 2019 primarily due to lower outstanding debt balances and variable interest rates in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UNREALIZED LOSS (GAIN) ON INVESTMENTS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Ardellis (our insurance captive) recorded a $3.2 million unrealized loss on equity investments held in its portfolio in the first three months of 2020 compared to a $1.3 million gain in the same period of the prior year.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state and local income taxes and permanent tax differences. Our effective tax rate was 24.7% in the first quarter of 2020 compared to 24.3% for same period in 2019. The slight increase was primarily due to an increase in the permanent tax difference for non-deductible officer compensation.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no significant off-balance sheet transactions.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5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Three Months Ended</w:t>
            </w:r>
          </w:p>
        </w:tc>
      </w:tr>
      <w:tr>
        <w:trPr>
          <w:trHeight w:val="126"/>
        </w:trPr>
        <w:tc>
          <w:tcPr>
            <w:tcW w:w="58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55"/>
              <w:spacing w:after="0" w:line="126" w:lineRule="exact"/>
              <w:rPr>
                <w:sz w:val="20"/>
                <w:szCs w:val="20"/>
                <w:color w:val="auto"/>
              </w:rPr>
            </w:pPr>
            <w:r>
              <w:rPr>
                <w:rFonts w:ascii="Arial" w:cs="Arial" w:eastAsia="Arial" w:hAnsi="Arial"/>
                <w:sz w:val="14"/>
                <w:szCs w:val="14"/>
                <w:b w:val="1"/>
                <w:bCs w:val="1"/>
                <w:color w:val="auto"/>
                <w:w w:val="95"/>
              </w:rPr>
              <w:t>March 28,</w:t>
            </w:r>
          </w:p>
        </w:tc>
        <w:tc>
          <w:tcPr>
            <w:tcW w:w="180" w:type="dxa"/>
            <w:vAlign w:val="bottom"/>
          </w:tcPr>
          <w:p>
            <w:pPr>
              <w:spacing w:after="0"/>
              <w:rPr>
                <w:sz w:val="10"/>
                <w:szCs w:val="10"/>
                <w:color w:val="auto"/>
              </w:rPr>
            </w:pPr>
          </w:p>
        </w:tc>
        <w:tc>
          <w:tcPr>
            <w:tcW w:w="800" w:type="dxa"/>
            <w:vAlign w:val="bottom"/>
            <w:gridSpan w:val="2"/>
          </w:tcPr>
          <w:p>
            <w:pPr>
              <w:jc w:val="right"/>
              <w:ind w:right="12"/>
              <w:spacing w:after="0" w:line="126" w:lineRule="exact"/>
              <w:rPr>
                <w:sz w:val="20"/>
                <w:szCs w:val="20"/>
                <w:color w:val="auto"/>
              </w:rPr>
            </w:pPr>
            <w:r>
              <w:rPr>
                <w:rFonts w:ascii="Arial" w:cs="Arial" w:eastAsia="Arial" w:hAnsi="Arial"/>
                <w:sz w:val="14"/>
                <w:szCs w:val="14"/>
                <w:b w:val="1"/>
                <w:bCs w:val="1"/>
                <w:color w:val="auto"/>
              </w:rPr>
              <w:t>March 30,</w:t>
            </w:r>
          </w:p>
        </w:tc>
      </w:tr>
      <w:tr>
        <w:trPr>
          <w:trHeight w:val="178"/>
        </w:trPr>
        <w:tc>
          <w:tcPr>
            <w:tcW w:w="580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(55,829)</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(48,210)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(15,551)</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(used in)/provided by financing activities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61,069</w:t>
            </w:r>
          </w:p>
        </w:tc>
      </w:tr>
      <w:tr>
        <w:trPr>
          <w:trHeight w:val="223"/>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all cash and cash equivalents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(135,813)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(10,063)</w:t>
            </w:r>
          </w:p>
        </w:tc>
      </w:tr>
      <w:tr>
        <w:trPr>
          <w:trHeight w:val="223"/>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168,666</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28,198</w:t>
            </w:r>
          </w:p>
        </w:tc>
      </w:tr>
      <w:tr>
        <w:trPr>
          <w:trHeight w:val="216"/>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18,135</w:t>
            </w:r>
          </w:p>
        </w:tc>
      </w:tr>
      <w:tr>
        <w:trPr>
          <w:trHeight w:val="20"/>
        </w:trPr>
        <w:tc>
          <w:tcPr>
            <w:tcW w:w="5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general, we funded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7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Seasonality has a significant impact on our working capital due to our primary selling season which occurs during the period from March to September. Consequently, our working capital increases during our first and second quarters which typically results in negative or modest cash flows from operations during those periods. Conversely, we experience a</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substantial decrease in working capital once we move beyond our peak selling season which typically results in significant cash flows from operations in our third and fourth quarters.</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improved to 59 days from 65 days during the first quarter of 2020 compared to the prior periods.</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r>
      <w:tr>
        <w:trPr>
          <w:trHeight w:val="126"/>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2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March 28,</w:t>
            </w:r>
          </w:p>
        </w:tc>
        <w:tc>
          <w:tcPr>
            <w:tcW w:w="64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5"/>
              </w:rPr>
              <w:t>March 30,</w:t>
            </w:r>
          </w:p>
        </w:tc>
      </w:tr>
      <w:tr>
        <w:trPr>
          <w:trHeight w:val="178"/>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500" w:type="dxa"/>
            <w:vAlign w:val="bottom"/>
            <w:gridSpan w:val="2"/>
          </w:tcPr>
          <w:p>
            <w:pPr>
              <w:jc w:val="right"/>
              <w:ind w:right="97"/>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640" w:type="dxa"/>
            <w:vAlign w:val="bottom"/>
          </w:tcPr>
          <w:p>
            <w:pPr>
              <w:jc w:val="right"/>
              <w:ind w:right="96"/>
              <w:spacing w:after="0"/>
              <w:rPr>
                <w:sz w:val="20"/>
                <w:szCs w:val="20"/>
                <w:color w:val="auto"/>
              </w:rPr>
            </w:pPr>
            <w:r>
              <w:rPr>
                <w:rFonts w:ascii="Arial" w:cs="Arial" w:eastAsia="Arial" w:hAnsi="Arial"/>
                <w:sz w:val="14"/>
                <w:szCs w:val="14"/>
                <w:b w:val="1"/>
                <w:bCs w:val="1"/>
                <w:color w:val="auto"/>
              </w:rPr>
              <w:t>2019</w:t>
            </w:r>
          </w:p>
        </w:tc>
      </w:tr>
      <w:tr>
        <w:trPr>
          <w:trHeight w:val="216"/>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of sales outstanding</w:t>
            </w:r>
          </w:p>
        </w:tc>
        <w:tc>
          <w:tcPr>
            <w:tcW w:w="18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Days supply of inventory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6"/>
        </w:trPr>
        <w:tc>
          <w:tcPr>
            <w:tcW w:w="20" w:type="dxa"/>
            <w:vAlign w:val="bottom"/>
          </w:tcPr>
          <w:p>
            <w:pPr>
              <w:spacing w:after="0"/>
              <w:rPr>
                <w:sz w:val="20"/>
                <w:szCs w:val="20"/>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payables outstanding</w:t>
            </w:r>
          </w:p>
        </w:tc>
        <w:tc>
          <w:tcPr>
            <w:tcW w:w="18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3"/>
        </w:trPr>
        <w:tc>
          <w:tcPr>
            <w:tcW w:w="3800" w:type="dxa"/>
            <w:vAlign w:val="bottom"/>
            <w:gridSpan w:val="2"/>
          </w:tcPr>
          <w:p>
            <w:pPr>
              <w:spacing w:after="0" w:line="203" w:lineRule="exact"/>
              <w:rPr>
                <w:sz w:val="20"/>
                <w:szCs w:val="20"/>
                <w:color w:val="auto"/>
              </w:rPr>
            </w:pPr>
            <w:r>
              <w:rPr>
                <w:rFonts w:ascii="Arial" w:cs="Arial" w:eastAsia="Arial" w:hAnsi="Arial"/>
                <w:sz w:val="18"/>
                <w:szCs w:val="18"/>
                <w:color w:val="auto"/>
              </w:rPr>
              <w:t>Days in cash cycle</w:t>
            </w:r>
          </w:p>
        </w:tc>
        <w:tc>
          <w:tcPr>
            <w:tcW w:w="1860" w:type="dxa"/>
            <w:vAlign w:val="bottom"/>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w:t>
            </w:r>
          </w:p>
        </w:tc>
        <w:tc>
          <w:tcPr>
            <w:tcW w:w="180" w:type="dxa"/>
            <w:vAlign w:val="bottom"/>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w:t>
            </w: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decrease in our days supply of inventory for the first three months of 2020 was primarily due to opportunistic buying when lumber prices were low during the fourth quarter of 2018 and into early 2019 to improve gross profits and higher levels of “safety stock” we carried to address transportation challenges and ensure timely deliveries to our customers. The company did not engage in this level of opportunistic buying in late 2019 and early 2020.</w:t>
      </w:r>
    </w:p>
    <w:p>
      <w:pPr>
        <w:spacing w:after="0" w:line="171"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 the first three months of 2020, our cash used in operating activities was $46.2 million, which was comprised of net earnings of $40.6 million and $21.9 million of non-cash expenses, offset by a $108.6 million seasonal increase in working capital since the end of December 2019. Our operating cash flow this year improved by $9.7 million compared to the same period of last year primarily due to an improvement in earnings and an increase in non-cash expenses and losses.</w:t>
      </w:r>
    </w:p>
    <w:p>
      <w:pPr>
        <w:spacing w:after="0" w:line="157"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Acquisitions and purchases of property, plant, and equipment comprised most of our cash used in investing activities during the first three months of 2020 and totaled $18.5 million and $27.2 million, respectively. Outstanding purchase commitments on existing capital projects totaled approximately $26.3 million on March 28, 2020. Notable areas of capital spending include projects to expand capacity and enhance the productivity of our Deckorators product line, several projects to expand manufacturing capacity to serve industrial customers and achieve efficiencies through automation, improvements to a number of facilities, and increase our transportation capacity (tractors, trailers) in order to meet higher volumes and replace old rolling stock. We intend to fund capital expenditures and purchase commitments through our operating cash flows or our revolving credit facility for the balance of the year. The sales and purchases of investments totaling $11.3 million and $14 million, respectively, are due to investment activity in our captive insurance subsidiary.</w:t>
      </w:r>
    </w:p>
    <w:p>
      <w:pPr>
        <w:spacing w:after="0" w:line="16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Cash flows from financing activities primarily consisted of net repayments of debt of approximately $2.8 million. Additionally, we paid a quarterly dividend totaling $7.8 million, or $0.125 per share, and repurchased approximately 756,000 shares of our common stock for $29.2 million resulting in an average price paid of $38.62.</w:t>
      </w:r>
    </w:p>
    <w:p>
      <w:pPr>
        <w:spacing w:after="0" w:line="16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March 28, 2020, we had $3.7 million outstanding on our $375 million revolving credit facility, and we had approximately $361.5 million in remaining availability after considering $9.8 million in outstanding letters of credit. Additionally, we have $150 million in availability under an existing “shelf agreement” for long term debt.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March 28, 2020.</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See Notes to Unaudited Consolidated Condensed Financial Statements, Note E, “Commitments, Contingencies, and Guarantees.”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28, 2019.</w:t>
      </w:r>
    </w:p>
    <w:p>
      <w:pPr>
        <w:spacing w:after="0" w:line="17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Under the recent re-organization of our reportable segments now centered on our primary markets (retail, industrial, and construction), there were no indicators for impairment for any of the new reporting units. We continue to monitor the results of idX (a reporting unit under the Construction segment) as they have performed below expectations through 2019. While it has faced challenging end market conditions resulting in this under-performance, we believe our growth and operating improvement strategies and related long-term projections for idX are still reasonable and attainable. Consequently, while the risk of impairment exists, management does not believe an impairment is currently required. Should the Company’s future analysis indicate a significant change in any of the triggering events for this reporting unit, it could result in impairment of the carrying value of goodwill to its implied fair value. There can be no assurance that the Company’s future goodwill impairment testing will not result in a charge to earnings. The total value of goodwill and identifiable intangibles associated with the idX reporting unit is $12.3 million and $4.5 million, respectively, at the end of March 2020.</w:t>
      </w:r>
    </w:p>
    <w:p>
      <w:pPr>
        <w:spacing w:after="0" w:line="188" w:lineRule="exact"/>
        <w:rPr>
          <w:sz w:val="20"/>
          <w:szCs w:val="20"/>
          <w:color w:val="auto"/>
        </w:rPr>
      </w:pPr>
    </w:p>
    <w:p>
      <w:pPr>
        <w:ind w:left="3560"/>
        <w:spacing w:after="0"/>
        <w:rPr>
          <w:sz w:val="20"/>
          <w:szCs w:val="20"/>
          <w:color w:val="auto"/>
        </w:rPr>
      </w:pPr>
      <w:r>
        <w:rPr>
          <w:rFonts w:ascii="Arial" w:cs="Arial" w:eastAsia="Arial" w:hAnsi="Arial"/>
          <w:sz w:val="18"/>
          <w:szCs w:val="18"/>
          <w:b w:val="1"/>
          <w:bCs w:val="1"/>
          <w:u w:val="single" w:color="auto"/>
          <w:color w:val="auto"/>
        </w:rPr>
        <w:t>FORWARD OUTLOOK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Most recently, the Company’s goals have been to:</w:t>
      </w:r>
    </w:p>
    <w:p>
      <w:pPr>
        <w:spacing w:after="0" w:line="63" w:lineRule="exact"/>
        <w:rPr>
          <w:sz w:val="20"/>
          <w:szCs w:val="20"/>
          <w:color w:val="auto"/>
        </w:rPr>
      </w:pPr>
    </w:p>
    <w:p>
      <w:pPr>
        <w:ind w:left="880" w:hanging="31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 long-term unit sales growth that exceeds positive U.S. GDP by 4 percent to 6 percent;</w:t>
      </w:r>
    </w:p>
    <w:p>
      <w:pPr>
        <w:spacing w:after="0" w:line="63" w:lineRule="exact"/>
        <w:rPr>
          <w:rFonts w:ascii="Arial" w:cs="Arial" w:eastAsia="Arial" w:hAnsi="Arial"/>
          <w:sz w:val="18"/>
          <w:szCs w:val="18"/>
          <w:color w:val="auto"/>
        </w:rPr>
      </w:pPr>
    </w:p>
    <w:p>
      <w:pPr>
        <w:ind w:left="880" w:hanging="31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Grow earnings from operations in excess of our unit sales growth; and</w:t>
      </w:r>
    </w:p>
    <w:p>
      <w:pPr>
        <w:spacing w:after="0" w:line="63" w:lineRule="exact"/>
        <w:rPr>
          <w:rFonts w:ascii="Arial" w:cs="Arial" w:eastAsia="Arial" w:hAnsi="Arial"/>
          <w:sz w:val="18"/>
          <w:szCs w:val="18"/>
          <w:color w:val="auto"/>
        </w:rPr>
      </w:pPr>
    </w:p>
    <w:p>
      <w:pPr>
        <w:ind w:left="880" w:hanging="31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 a return on invested capital in excess of our weighted average cost of capital.</w:t>
      </w:r>
    </w:p>
    <w:p>
      <w:pPr>
        <w:spacing w:after="0" w:line="27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While we believe the effective execution of our strategies will allow us to continue to achieve these long-term goals in the future, our ability to achieve them in 2020 has been adversely impacted by the COVID-19 pandemic. The following variables should be considered when evaluating our performance for the remainder of 2020.</w:t>
      </w:r>
    </w:p>
    <w:p>
      <w:pPr>
        <w:spacing w:after="0" w:line="165" w:lineRule="exact"/>
        <w:rPr>
          <w:sz w:val="20"/>
          <w:szCs w:val="20"/>
          <w:color w:val="auto"/>
        </w:rPr>
      </w:pPr>
    </w:p>
    <w:p>
      <w:pPr>
        <w:jc w:val="both"/>
        <w:ind w:left="880" w:right="79" w:hanging="317"/>
        <w:spacing w:after="0" w:line="296"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experienced a decrease in customer demand and sales. While the vast majority of our customers and operations have been deemed to be essential businesses under the numerous stay at home orders that have been issued by states in which we operate, some of our customers do not meet these requirements and have temporarily shut down. For those customers who remain operating, demand has declined for the majority of them. Market indicators that should be considered when evaluating future demand for our products include:</w:t>
      </w:r>
    </w:p>
    <w:p>
      <w:pPr>
        <w:spacing w:after="0" w:line="53" w:lineRule="exact"/>
        <w:rPr>
          <w:rFonts w:ascii="Arial" w:cs="Arial" w:eastAsia="Arial" w:hAnsi="Arial"/>
          <w:sz w:val="16"/>
          <w:szCs w:val="16"/>
          <w:color w:val="auto"/>
        </w:rPr>
      </w:pPr>
    </w:p>
    <w:p>
      <w:pPr>
        <w:jc w:val="both"/>
        <w:ind w:left="1220" w:right="79" w:hanging="333"/>
        <w:spacing w:after="0" w:line="263" w:lineRule="auto"/>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Same store sales growth of national home improvement retail customers, the leading indicator for remodeling activity and home improvement spending forecasts. Sales of our Retail segment comprises approximately 35% of our annual total sales.</w:t>
      </w:r>
    </w:p>
    <w:p>
      <w:pPr>
        <w:spacing w:after="0" w:line="21" w:lineRule="exact"/>
        <w:rPr>
          <w:rFonts w:ascii="Arial" w:cs="Arial" w:eastAsia="Arial" w:hAnsi="Arial"/>
          <w:sz w:val="18"/>
          <w:szCs w:val="18"/>
          <w:color w:val="auto"/>
        </w:rPr>
      </w:pPr>
    </w:p>
    <w:p>
      <w:pPr>
        <w:ind w:left="1220" w:right="79" w:hanging="333"/>
        <w:spacing w:after="0" w:line="298" w:lineRule="auto"/>
        <w:tabs>
          <w:tab w:leader="none" w:pos="12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Housing starts in the northeast and mid-Atlantic states, Colorado, and Texas. Sales of our Site Built business unit within our Construction segment comprises approximately 16% of our total annual sales.</w:t>
      </w:r>
    </w:p>
    <w:p>
      <w:pPr>
        <w:ind w:left="1220" w:right="79" w:hanging="333"/>
        <w:spacing w:after="0" w:line="277" w:lineRule="auto"/>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Production of manufactured housing. Sales of our Factory Built business unit within our Construction segment comprises 10% of our total annual sales.</w:t>
      </w:r>
    </w:p>
    <w:p>
      <w:pPr>
        <w:spacing w:after="0" w:line="8" w:lineRule="exact"/>
        <w:rPr>
          <w:rFonts w:ascii="Arial" w:cs="Arial" w:eastAsia="Arial" w:hAnsi="Arial"/>
          <w:sz w:val="18"/>
          <w:szCs w:val="18"/>
          <w:color w:val="auto"/>
        </w:rPr>
      </w:pPr>
    </w:p>
    <w:p>
      <w:pPr>
        <w:ind w:left="1220" w:right="79" w:hanging="333"/>
        <w:spacing w:after="0" w:line="277" w:lineRule="auto"/>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Non-residential construction spending. Sales of our Commercial and Concrete Forming business units within our Construction segment comprises approximately 10% of our total annual sales.</w:t>
      </w:r>
    </w:p>
    <w:p>
      <w:pPr>
        <w:spacing w:after="0" w:line="8" w:lineRule="exact"/>
        <w:rPr>
          <w:rFonts w:ascii="Arial" w:cs="Arial" w:eastAsia="Arial" w:hAnsi="Arial"/>
          <w:sz w:val="18"/>
          <w:szCs w:val="18"/>
          <w:color w:val="auto"/>
        </w:rPr>
      </w:pPr>
    </w:p>
    <w:p>
      <w:pPr>
        <w:ind w:left="1220" w:right="79" w:hanging="333"/>
        <w:spacing w:after="0" w:line="277" w:lineRule="auto"/>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Industrial production, Purchasing Managers Index, and U.S. GDP. Sales of our Industrial segment comprises approximately 25% of our total annual sales.</w:t>
      </w:r>
    </w:p>
    <w:p>
      <w:pPr>
        <w:spacing w:after="0" w:line="170" w:lineRule="exact"/>
        <w:rPr>
          <w:rFonts w:ascii="Arial" w:cs="Arial" w:eastAsia="Arial" w:hAnsi="Arial"/>
          <w:sz w:val="18"/>
          <w:szCs w:val="18"/>
          <w:color w:val="auto"/>
        </w:rPr>
      </w:pPr>
    </w:p>
    <w:p>
      <w:pPr>
        <w:ind w:left="880" w:right="79" w:hanging="317"/>
        <w:spacing w:after="0" w:line="342"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over 150 geographically dispersed plant locations, many of which have the ability to serve multiple market segments. These capabilities enhance our ability to supply our customers from multiple locations in</w:t>
      </w:r>
    </w:p>
    <w:p>
      <w:pPr>
        <w:sectPr>
          <w:pgSz w:w="11900" w:h="16838" w:orient="portrait"/>
          <w:cols w:equalWidth="0" w:num="1">
            <w:col w:w="9019"/>
          </w:cols>
          <w:pgMar w:left="1440" w:top="544"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880" w:right="79"/>
        <w:spacing w:after="0" w:line="273" w:lineRule="auto"/>
        <w:rPr>
          <w:sz w:val="20"/>
          <w:szCs w:val="20"/>
          <w:color w:val="auto"/>
        </w:rPr>
      </w:pPr>
      <w:r>
        <w:rPr>
          <w:rFonts w:ascii="Arial" w:cs="Arial" w:eastAsia="Arial" w:hAnsi="Arial"/>
          <w:sz w:val="17"/>
          <w:szCs w:val="17"/>
          <w:color w:val="auto"/>
        </w:rPr>
        <w:t>the event an operation is idled due to the pandemic. To date, two of our operations have been temporarily idled and one has been permanently idled. We do not anticipate a significant loss of sales from these actions. Depending on the length of the “stay at home” orders and the severity of the impact on future customer demand, we may temporarily or permanently idle additional locations in the future. These actions could result in certain losses including asset impairment charges to property, plant and equipment, right of use leased assets, inventory and other long-lived assets as well certain exit costs.</w:t>
      </w:r>
    </w:p>
    <w:p>
      <w:pPr>
        <w:spacing w:after="0" w:line="178" w:lineRule="exact"/>
        <w:rPr>
          <w:sz w:val="20"/>
          <w:szCs w:val="20"/>
          <w:color w:val="auto"/>
        </w:rPr>
      </w:pPr>
    </w:p>
    <w:p>
      <w:pPr>
        <w:jc w:val="both"/>
        <w:ind w:left="880" w:right="79" w:hanging="317"/>
        <w:spacing w:after="0" w:line="273"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a consolidated basis, and based on our 2019 results of operations and business mix, we believe our decremental operating margin is in a range of 10% to 15% of net sales. In other words, we believe for every dollar decrease in sales, relative to the prior year, our earnings from operations may decline by 10 cents to 15 cents. As a point of reference, our peak to trough decremental operating margin during the Great Recession was approximately 13.5% (2006 peak to 2011 trough). In addition to the variables above, factors that may cause our actual results to vary significantly from this range include:</w:t>
      </w:r>
    </w:p>
    <w:p>
      <w:pPr>
        <w:spacing w:after="0" w:line="69" w:lineRule="exact"/>
        <w:rPr>
          <w:rFonts w:ascii="Arial" w:cs="Arial" w:eastAsia="Arial" w:hAnsi="Arial"/>
          <w:sz w:val="17"/>
          <w:szCs w:val="17"/>
          <w:color w:val="auto"/>
        </w:rPr>
      </w:pPr>
    </w:p>
    <w:p>
      <w:pPr>
        <w:ind w:left="1220" w:hanging="333"/>
        <w:spacing w:after="0"/>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Changes in our selling prices</w:t>
      </w:r>
    </w:p>
    <w:p>
      <w:pPr>
        <w:spacing w:after="0" w:line="63" w:lineRule="exact"/>
        <w:rPr>
          <w:rFonts w:ascii="Arial" w:cs="Arial" w:eastAsia="Arial" w:hAnsi="Arial"/>
          <w:sz w:val="18"/>
          <w:szCs w:val="18"/>
          <w:color w:val="auto"/>
        </w:rPr>
      </w:pPr>
    </w:p>
    <w:p>
      <w:pPr>
        <w:ind w:left="1220" w:hanging="333"/>
        <w:spacing w:after="0"/>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Changes in our sales mix by market segment and product</w:t>
      </w:r>
    </w:p>
    <w:p>
      <w:pPr>
        <w:spacing w:after="0" w:line="63" w:lineRule="exact"/>
        <w:rPr>
          <w:rFonts w:ascii="Arial" w:cs="Arial" w:eastAsia="Arial" w:hAnsi="Arial"/>
          <w:sz w:val="18"/>
          <w:szCs w:val="18"/>
          <w:color w:val="auto"/>
        </w:rPr>
      </w:pPr>
    </w:p>
    <w:p>
      <w:pPr>
        <w:ind w:left="1220" w:hanging="333"/>
        <w:spacing w:after="0"/>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impact and level of the Lumber Market and trends in the commodity costs of our products</w:t>
      </w:r>
    </w:p>
    <w:p>
      <w:pPr>
        <w:spacing w:after="0" w:line="63" w:lineRule="exact"/>
        <w:rPr>
          <w:rFonts w:ascii="Arial" w:cs="Arial" w:eastAsia="Arial" w:hAnsi="Arial"/>
          <w:sz w:val="18"/>
          <w:szCs w:val="18"/>
          <w:color w:val="auto"/>
        </w:rPr>
      </w:pPr>
    </w:p>
    <w:p>
      <w:pPr>
        <w:ind w:left="1220" w:hanging="333"/>
        <w:spacing w:after="0"/>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Changes in labor rates</w:t>
      </w:r>
    </w:p>
    <w:p>
      <w:pPr>
        <w:spacing w:after="0" w:line="63" w:lineRule="exact"/>
        <w:rPr>
          <w:rFonts w:ascii="Arial" w:cs="Arial" w:eastAsia="Arial" w:hAnsi="Arial"/>
          <w:sz w:val="18"/>
          <w:szCs w:val="18"/>
          <w:color w:val="auto"/>
        </w:rPr>
      </w:pPr>
    </w:p>
    <w:p>
      <w:pPr>
        <w:ind w:left="1220" w:right="79" w:hanging="333"/>
        <w:spacing w:after="0" w:line="277" w:lineRule="auto"/>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Our ability to reduce variable manufacturing, freight, selling, general, and administrative costs, particularly certain personnel costs, in line with net sales</w:t>
      </w:r>
    </w:p>
    <w:p>
      <w:pPr>
        <w:spacing w:after="0" w:line="8" w:lineRule="exact"/>
        <w:rPr>
          <w:rFonts w:ascii="Arial" w:cs="Arial" w:eastAsia="Arial" w:hAnsi="Arial"/>
          <w:sz w:val="18"/>
          <w:szCs w:val="18"/>
          <w:color w:val="auto"/>
        </w:rPr>
      </w:pPr>
    </w:p>
    <w:p>
      <w:pPr>
        <w:ind w:left="1220" w:right="79" w:hanging="333"/>
        <w:spacing w:after="0" w:line="277" w:lineRule="auto"/>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results of our salaried bonus plan, which is based on pre-bonus profits and achieving minimum levels of pre-bonus return on investment over a required hurdle rate</w:t>
      </w:r>
    </w:p>
    <w:p>
      <w:pPr>
        <w:spacing w:after="0" w:line="224" w:lineRule="exact"/>
        <w:rPr>
          <w:rFonts w:ascii="Arial" w:cs="Arial" w:eastAsia="Arial" w:hAnsi="Arial"/>
          <w:sz w:val="18"/>
          <w:szCs w:val="18"/>
          <w:color w:val="auto"/>
        </w:rPr>
      </w:pPr>
    </w:p>
    <w:p>
      <w:pPr>
        <w:ind w:left="880" w:hanging="31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reduced our capital expenditure budget to $80 million from $100 million for 2020.</w:t>
      </w:r>
    </w:p>
    <w:p>
      <w:pPr>
        <w:spacing w:after="0" w:line="225" w:lineRule="exact"/>
        <w:rPr>
          <w:rFonts w:ascii="Arial" w:cs="Arial" w:eastAsia="Arial" w:hAnsi="Arial"/>
          <w:sz w:val="18"/>
          <w:szCs w:val="18"/>
          <w:color w:val="auto"/>
        </w:rPr>
      </w:pPr>
    </w:p>
    <w:p>
      <w:pPr>
        <w:jc w:val="both"/>
        <w:ind w:left="880" w:right="79" w:hanging="317"/>
        <w:spacing w:after="0" w:line="263"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CARES act allows us to defer certain payroll taxes from the end of March through the end of our 2020 fiscal year, which we estimate will total approximately $20 million. This liability must be paid in equal annual installments on December 31, 2021 and December 31, 2022.</w:t>
      </w:r>
    </w:p>
    <w:p>
      <w:pPr>
        <w:spacing w:after="0" w:line="183" w:lineRule="exact"/>
        <w:rPr>
          <w:rFonts w:ascii="Arial" w:cs="Arial" w:eastAsia="Arial" w:hAnsi="Arial"/>
          <w:sz w:val="18"/>
          <w:szCs w:val="18"/>
          <w:color w:val="auto"/>
        </w:rPr>
      </w:pPr>
    </w:p>
    <w:p>
      <w:pPr>
        <w:ind w:left="880" w:right="79" w:hanging="317"/>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believe our cash cycle will remain consistent with historical trends and result in a reduction in working capital and increase in cash as sales decline.</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has a strong balance sheet and liquidity position, which improved to $433 million at the end of April 2020. Based on current economic forecasts of GDP and other factors above, as well as our assumptions for projected sales for the balance of the year, we believe the Company will generate positive cash flow and net earnings for the full fiscal year of 2020, while continuing to enhance its strong liquidity position.</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9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entered into forward foreign exchange rate contracts in 2018, which have since expired, and may enter into further forward contracts in the future associated with mitigating the foreign currency exchange risk. Historically, our hedge contracts are deemed immaterial to the financial statements, however any material hedge contract in the future will be disclosed.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880" w:right="79" w:hanging="317"/>
        <w:spacing w:after="0" w:line="301"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quarter ended March 28, 2020 (the “Evaluation Date”), have concluded that, as of such date, our disclosure controls and procedures were effective.</w:t>
      </w:r>
    </w:p>
    <w:p>
      <w:pPr>
        <w:spacing w:after="0" w:line="157" w:lineRule="exact"/>
        <w:rPr>
          <w:rFonts w:ascii="Arial" w:cs="Arial" w:eastAsia="Arial" w:hAnsi="Arial"/>
          <w:sz w:val="16"/>
          <w:szCs w:val="16"/>
          <w:color w:val="auto"/>
        </w:rPr>
      </w:pPr>
    </w:p>
    <w:p>
      <w:pPr>
        <w:jc w:val="both"/>
        <w:ind w:left="880" w:right="79" w:hanging="317"/>
        <w:spacing w:after="0" w:line="279"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Changes in Internal Controls</w:t>
      </w:r>
      <w:r>
        <w:rPr>
          <w:rFonts w:ascii="Arial" w:cs="Arial" w:eastAsia="Arial" w:hAnsi="Arial"/>
          <w:sz w:val="17"/>
          <w:szCs w:val="17"/>
          <w:color w:val="auto"/>
        </w:rPr>
        <w:t>. During the quarter ended March 28, 2020, there were no changes in our internal control over financial reporting that materially affected, or is reasonably likely to materially affect, our internal control over financial reporting; however, due to the segment structure change, there was a material change in our internal controls specific to the segment structure change process.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b w:val="1"/>
          <w:bCs w:val="1"/>
          <w:i w:val="1"/>
          <w:iCs w:val="1"/>
          <w:color w:val="auto"/>
        </w:rPr>
        <w:t>We may be adversely affected by the impact of COVID-19 (Coronavirus) pandemic</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Disease outbreaks, such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COVID-19 pandemic, could have an adverse impact on the Company's operations and financial results. These outbreaks may adversely impact our business, consolidated results of operations and financial condition, such as the current COVID-19 pandemic. COVID-19, as well as measures taken by governmental authorities and businesses to limit the spread of this virus, may result in an adverse change in customer demand and our sales, interfere with the ability of our employees and suppliers to perform and function in a manner consistent with targeted objectives and otherwise adversely impact the efficiency of our operations. This has caused, and may continue to cause, us to materially curtail certain of our business operations, and has had and could continue to have, a material adverse effect on the results of our operations and cash flow.</w:t>
      </w:r>
    </w:p>
    <w:p>
      <w:pPr>
        <w:spacing w:after="0" w:line="163"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b w:val="1"/>
          <w:bCs w:val="1"/>
          <w:i w:val="1"/>
          <w:iCs w:val="1"/>
          <w:color w:val="auto"/>
        </w:rPr>
        <w:t xml:space="preserve">Adverse economic conditions and our customers’ ability to operate may impact their ability to pay. </w:t>
      </w:r>
      <w:r>
        <w:rPr>
          <w:rFonts w:ascii="Arial" w:cs="Arial" w:eastAsia="Arial" w:hAnsi="Arial"/>
          <w:sz w:val="18"/>
          <w:szCs w:val="18"/>
          <w:color w:val="auto"/>
        </w:rPr>
        <w:t>This may result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write-offs of receivables than we normally experience. We continue to monitor our customers’ business activities, payment patterns, and credit profiles carefully and make changes in our terms when necessary in response to this risk. As a result, our accounts receivable aging at the end of April was over 90% current. Most recently our bad debt expense as a percentage of sales was 0.09%, 0.03%, and 0.03%, in 2019, 2018, and 2017, respectively. During the most difficult collection period of the Great Recession, from 2008 through 2010, our bad debt expense as a percentage of sales averaged 0.25%.</w:t>
      </w:r>
    </w:p>
    <w:p>
      <w:pPr>
        <w:spacing w:after="0" w:line="19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 xml:space="preserve">There could be limited future availability of materials from our suppliers. </w:t>
      </w:r>
      <w:r>
        <w:rPr>
          <w:rFonts w:ascii="Arial" w:cs="Arial" w:eastAsia="Arial" w:hAnsi="Arial"/>
          <w:sz w:val="18"/>
          <w:szCs w:val="18"/>
          <w:color w:val="auto"/>
        </w:rPr>
        <w:t>While many of our suppliers have reduced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manufacturing capacity in response to the anticipated reduction in demand, we currently believe we have sufficient sources of supply to meet our customers’ needs in our primary product categories.</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r>
        <w:rPr>
          <w:rFonts w:ascii="Arial" w:cs="Arial" w:eastAsia="Arial" w:hAnsi="Arial"/>
          <w:sz w:val="18"/>
          <w:szCs w:val="18"/>
          <w:b w:val="1"/>
          <w:bCs w:val="1"/>
          <w:color w:val="auto"/>
        </w:rPr>
        <w:t>.</w:t>
      </w:r>
    </w:p>
    <w:p>
      <w:pPr>
        <w:spacing w:after="0" w:line="229" w:lineRule="exact"/>
        <w:rPr>
          <w:sz w:val="20"/>
          <w:szCs w:val="20"/>
          <w:color w:val="auto"/>
        </w:rPr>
      </w:pPr>
    </w:p>
    <w:p>
      <w:pPr>
        <w:ind w:left="880" w:hanging="31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80" w:hanging="31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80" w:hanging="31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70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Month</w:t>
            </w:r>
          </w:p>
        </w:tc>
        <w:tc>
          <w:tcPr>
            <w:tcW w:w="840" w:type="dxa"/>
            <w:vAlign w:val="bottom"/>
            <w:gridSpan w:val="2"/>
          </w:tcPr>
          <w:p>
            <w:pPr>
              <w:ind w:left="260"/>
              <w:spacing w:after="0"/>
              <w:rPr>
                <w:sz w:val="20"/>
                <w:szCs w:val="20"/>
                <w:color w:val="auto"/>
              </w:rPr>
            </w:pPr>
            <w:r>
              <w:rPr>
                <w:rFonts w:ascii="Arial" w:cs="Arial" w:eastAsia="Arial" w:hAnsi="Arial"/>
                <w:sz w:val="14"/>
                <w:szCs w:val="14"/>
                <w:b w:val="1"/>
                <w:bCs w:val="1"/>
                <w:color w:val="auto"/>
              </w:rPr>
              <w:t>(a)</w:t>
            </w:r>
          </w:p>
        </w:tc>
        <w:tc>
          <w:tcPr>
            <w:tcW w:w="660" w:type="dxa"/>
            <w:vAlign w:val="bottom"/>
            <w:gridSpan w:val="2"/>
          </w:tcPr>
          <w:p>
            <w:pPr>
              <w:ind w:left="180"/>
              <w:spacing w:after="0"/>
              <w:rPr>
                <w:sz w:val="20"/>
                <w:szCs w:val="20"/>
                <w:color w:val="auto"/>
              </w:rPr>
            </w:pPr>
            <w:r>
              <w:rPr>
                <w:rFonts w:ascii="Arial" w:cs="Arial" w:eastAsia="Arial" w:hAnsi="Arial"/>
                <w:sz w:val="14"/>
                <w:szCs w:val="14"/>
                <w:b w:val="1"/>
                <w:bCs w:val="1"/>
                <w:color w:val="auto"/>
              </w:rPr>
              <w:t>(b)</w:t>
            </w:r>
          </w:p>
        </w:tc>
        <w:tc>
          <w:tcPr>
            <w:tcW w:w="860" w:type="dxa"/>
            <w:vAlign w:val="bottom"/>
            <w:gridSpan w:val="2"/>
          </w:tcPr>
          <w:p>
            <w:pPr>
              <w:ind w:left="280"/>
              <w:spacing w:after="0"/>
              <w:rPr>
                <w:sz w:val="20"/>
                <w:szCs w:val="20"/>
                <w:color w:val="auto"/>
              </w:rPr>
            </w:pPr>
            <w:r>
              <w:rPr>
                <w:rFonts w:ascii="Arial" w:cs="Arial" w:eastAsia="Arial" w:hAnsi="Arial"/>
                <w:sz w:val="14"/>
                <w:szCs w:val="14"/>
                <w:b w:val="1"/>
                <w:bCs w:val="1"/>
                <w:color w:val="auto"/>
              </w:rPr>
              <w:t>(c)</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(d)</w:t>
            </w:r>
          </w:p>
        </w:tc>
      </w:tr>
      <w:tr>
        <w:trPr>
          <w:trHeight w:val="210"/>
        </w:trPr>
        <w:tc>
          <w:tcPr>
            <w:tcW w:w="55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29, 2019 – February 1, 2020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1,860,354</w:t>
            </w:r>
          </w:p>
        </w:tc>
      </w:tr>
      <w:tr>
        <w:trPr>
          <w:trHeight w:val="216"/>
        </w:trPr>
        <w:tc>
          <w:tcPr>
            <w:tcW w:w="5700" w:type="dxa"/>
            <w:vAlign w:val="bottom"/>
            <w:gridSpan w:val="3"/>
          </w:tcPr>
          <w:p>
            <w:pPr>
              <w:ind w:left="20"/>
              <w:spacing w:after="0"/>
              <w:rPr>
                <w:sz w:val="20"/>
                <w:szCs w:val="20"/>
                <w:color w:val="auto"/>
              </w:rPr>
            </w:pPr>
            <w:r>
              <w:rPr>
                <w:rFonts w:ascii="Arial" w:cs="Arial" w:eastAsia="Arial" w:hAnsi="Arial"/>
                <w:sz w:val="18"/>
                <w:szCs w:val="18"/>
                <w:color w:val="auto"/>
              </w:rPr>
              <w:t>February 2 – February 29, 2020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1,860,354</w:t>
            </w:r>
          </w:p>
        </w:tc>
      </w:tr>
      <w:tr>
        <w:trPr>
          <w:trHeight w:val="432"/>
        </w:trPr>
        <w:tc>
          <w:tcPr>
            <w:tcW w:w="5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March 1 – March 28, 2020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756,397</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38.62</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756,397</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1,103,957</w:t>
            </w:r>
          </w:p>
        </w:tc>
      </w:tr>
      <w:tr>
        <w:trPr>
          <w:trHeight w:val="108"/>
        </w:trPr>
        <w:tc>
          <w:tcPr>
            <w:tcW w:w="2240" w:type="dxa"/>
            <w:vAlign w:val="bottom"/>
            <w:tcBorders>
              <w:bottom w:val="single" w:sz="8" w:color="auto"/>
            </w:tcBorders>
          </w:tcPr>
          <w:p>
            <w:pPr>
              <w:spacing w:after="0"/>
              <w:rPr>
                <w:sz w:val="9"/>
                <w:szCs w:val="9"/>
                <w:color w:val="auto"/>
              </w:rPr>
            </w:pPr>
          </w:p>
        </w:tc>
        <w:tc>
          <w:tcPr>
            <w:tcW w:w="3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80" w:lineRule="exact"/>
        <w:rPr>
          <w:sz w:val="20"/>
          <w:szCs w:val="20"/>
          <w:color w:val="auto"/>
        </w:rPr>
      </w:pPr>
    </w:p>
    <w:p>
      <w:pPr>
        <w:ind w:left="380"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380"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On November 14, 2001, the Board of Directors approved a share repurchase program (which succeeded a previous program) allowing us to repurchase up to 2.5 million shares of our common stock. On October 14, 2010, our Board authorized an additional 2 million shares to be repurchased under our share repurchase program. The total number of remaining shares that may be repurchased under the program is approximately 1.1 million.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UFP INDUSTRIES, INC.</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r>
        <w:rPr>
          <w:rFonts w:ascii="Arial" w:cs="Arial" w:eastAsia="Arial" w:hAnsi="Arial"/>
          <w:sz w:val="18"/>
          <w:szCs w:val="18"/>
          <w:b w:val="1"/>
          <w:bCs w:val="1"/>
          <w:color w:val="auto"/>
        </w:rPr>
        <w:t>.</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r>
        <w:rPr>
          <w:rFonts w:ascii="Arial" w:cs="Arial" w:eastAsia="Arial" w:hAnsi="Arial"/>
          <w:sz w:val="18"/>
          <w:szCs w:val="18"/>
          <w:b w:val="1"/>
          <w:bCs w:val="1"/>
          <w:color w:val="auto"/>
        </w:rPr>
        <w:t>.</w:t>
      </w:r>
    </w:p>
    <w:p>
      <w:pPr>
        <w:spacing w:after="0" w:line="229" w:lineRule="exact"/>
        <w:rPr>
          <w:sz w:val="20"/>
          <w:szCs w:val="20"/>
          <w:color w:val="auto"/>
        </w:rPr>
      </w:pPr>
    </w:p>
    <w:p>
      <w:pPr>
        <w:ind w:left="540" w:right="419"/>
        <w:spacing w:after="0" w:line="277" w:lineRule="auto"/>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184" w:lineRule="exact"/>
        <w:rPr>
          <w:sz w:val="20"/>
          <w:szCs w:val="20"/>
          <w:color w:val="auto"/>
        </w:rPr>
      </w:pPr>
    </w:p>
    <w:p>
      <w:pPr>
        <w:ind w:left="540" w:hanging="490"/>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139" w:hanging="564"/>
        <w:spacing w:after="0" w:line="277" w:lineRule="auto"/>
        <w:tabs>
          <w:tab w:leader="none" w:pos="1100" w:val="left"/>
        </w:tabs>
        <w:numPr>
          <w:ilvl w:val="1"/>
          <w:numId w:val="25"/>
        </w:numPr>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Certificate of the Chief Executive Officer of UFP Industries, Inc., pursuant to Section 302 of the Sarbanes-</w:t>
        </w:r>
      </w:hyperlink>
      <w:hyperlink w:anchor="page32">
        <w:r>
          <w:rPr>
            <w:rFonts w:ascii="Arial" w:cs="Arial" w:eastAsia="Arial" w:hAnsi="Arial"/>
            <w:sz w:val="18"/>
            <w:szCs w:val="18"/>
            <w:u w:val="single" w:color="auto"/>
            <w:color w:val="0000EE"/>
          </w:rPr>
          <w:t>Oxley Act of 2002 (18 U.S.C. 1350).</w:t>
        </w:r>
      </w:hyperlink>
    </w:p>
    <w:p>
      <w:pPr>
        <w:spacing w:after="0" w:line="170" w:lineRule="exact"/>
        <w:rPr>
          <w:rFonts w:ascii="Arial" w:cs="Arial" w:eastAsia="Arial" w:hAnsi="Arial"/>
          <w:sz w:val="18"/>
          <w:szCs w:val="18"/>
          <w:u w:val="single" w:color="auto"/>
          <w:color w:val="0000EE"/>
        </w:rPr>
      </w:pPr>
    </w:p>
    <w:p>
      <w:pPr>
        <w:ind w:left="1100" w:right="139" w:hanging="564"/>
        <w:spacing w:after="0" w:line="277" w:lineRule="auto"/>
        <w:tabs>
          <w:tab w:leader="none" w:pos="1100" w:val="left"/>
        </w:tabs>
        <w:numPr>
          <w:ilvl w:val="1"/>
          <w:numId w:val="25"/>
        </w:numPr>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Certificate of the Chief Financial Officer of UFP Industries, Inc., pursuant to Section 302 of the Sarbanes-</w:t>
        </w:r>
      </w:hyperlink>
      <w:hyperlink w:anchor="page33">
        <w:r>
          <w:rPr>
            <w:rFonts w:ascii="Arial" w:cs="Arial" w:eastAsia="Arial" w:hAnsi="Arial"/>
            <w:sz w:val="18"/>
            <w:szCs w:val="18"/>
            <w:u w:val="single" w:color="auto"/>
            <w:color w:val="0000EE"/>
          </w:rPr>
          <w:t>Oxley Act of 2002 (18 U.S.C. 1350).</w:t>
        </w:r>
      </w:hyperlink>
    </w:p>
    <w:p>
      <w:pPr>
        <w:spacing w:after="0" w:line="170" w:lineRule="exact"/>
        <w:rPr>
          <w:rFonts w:ascii="Arial" w:cs="Arial" w:eastAsia="Arial" w:hAnsi="Arial"/>
          <w:sz w:val="18"/>
          <w:szCs w:val="18"/>
          <w:u w:val="single" w:color="auto"/>
          <w:color w:val="0000EE"/>
        </w:rPr>
      </w:pPr>
    </w:p>
    <w:p>
      <w:pPr>
        <w:ind w:left="540" w:hanging="490"/>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139" w:hanging="564"/>
        <w:spacing w:after="0" w:line="277" w:lineRule="auto"/>
        <w:tabs>
          <w:tab w:leader="none" w:pos="1100" w:val="left"/>
        </w:tabs>
        <w:numPr>
          <w:ilvl w:val="1"/>
          <w:numId w:val="25"/>
        </w:numPr>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Certificate of the Chief Executive Officer of UFP Industries, Inc., pursuant to Section 906 of the Sarbanes-</w:t>
        </w:r>
      </w:hyperlink>
      <w:hyperlink w:anchor="page34">
        <w:r>
          <w:rPr>
            <w:rFonts w:ascii="Arial" w:cs="Arial" w:eastAsia="Arial" w:hAnsi="Arial"/>
            <w:sz w:val="18"/>
            <w:szCs w:val="18"/>
            <w:u w:val="single" w:color="auto"/>
            <w:color w:val="0000EE"/>
          </w:rPr>
          <w:t>Oxley Act of 2002 (18 U.S.C. 1350).</w:t>
        </w:r>
      </w:hyperlink>
    </w:p>
    <w:p>
      <w:pPr>
        <w:spacing w:after="0" w:line="170" w:lineRule="exact"/>
        <w:rPr>
          <w:rFonts w:ascii="Arial" w:cs="Arial" w:eastAsia="Arial" w:hAnsi="Arial"/>
          <w:sz w:val="18"/>
          <w:szCs w:val="18"/>
          <w:u w:val="single" w:color="auto"/>
          <w:color w:val="0000EE"/>
        </w:rPr>
      </w:pPr>
    </w:p>
    <w:p>
      <w:pPr>
        <w:ind w:left="1100" w:right="139" w:hanging="564"/>
        <w:spacing w:after="0" w:line="277" w:lineRule="auto"/>
        <w:tabs>
          <w:tab w:leader="none" w:pos="1100" w:val="left"/>
        </w:tabs>
        <w:numPr>
          <w:ilvl w:val="1"/>
          <w:numId w:val="25"/>
        </w:numPr>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Certificate of the Chief Financial Officer of UFP Industries, Inc., pursuant to Section 906 of the Sarbanes-</w:t>
        </w:r>
      </w:hyperlink>
      <w:hyperlink w:anchor="page35">
        <w:r>
          <w:rPr>
            <w:rFonts w:ascii="Arial" w:cs="Arial" w:eastAsia="Arial" w:hAnsi="Arial"/>
            <w:sz w:val="18"/>
            <w:szCs w:val="18"/>
            <w:u w:val="single" w:color="auto"/>
            <w:color w:val="0000EE"/>
          </w:rPr>
          <w:t>Oxley Act of 2002 (18 U.S.C. 1350).</w:t>
        </w:r>
      </w:hyperlink>
    </w:p>
    <w:p>
      <w:pPr>
        <w:spacing w:after="0" w:line="170" w:lineRule="exact"/>
        <w:rPr>
          <w:rFonts w:ascii="Arial" w:cs="Arial" w:eastAsia="Arial" w:hAnsi="Arial"/>
          <w:sz w:val="18"/>
          <w:szCs w:val="18"/>
          <w:color w:val="auto"/>
        </w:rPr>
      </w:pPr>
    </w:p>
    <w:p>
      <w:pPr>
        <w:ind w:left="540" w:right="1859" w:hanging="490"/>
        <w:spacing w:after="0" w:line="50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Interactive Data File formatted in iXBRL (Inline eXtensible Business Reporting Language). (INS) iXBRL Instance Document.</w:t>
      </w:r>
    </w:p>
    <w:p>
      <w:pPr>
        <w:spacing w:after="0" w:line="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(SCH) iXBRL Schema Document.</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(CAL) iXBRL Taxonomy Extension Calculation Linkbase Document.</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(LAB) iXBRL Taxonomy Extension Label Linkbase Document.</w:t>
      </w:r>
    </w:p>
    <w:p>
      <w:pPr>
        <w:spacing w:after="0" w:line="225" w:lineRule="exact"/>
        <w:rPr>
          <w:rFonts w:ascii="Arial" w:cs="Arial" w:eastAsia="Arial" w:hAnsi="Arial"/>
          <w:sz w:val="18"/>
          <w:szCs w:val="18"/>
          <w:color w:val="auto"/>
        </w:rPr>
      </w:pPr>
    </w:p>
    <w:p>
      <w:pPr>
        <w:ind w:left="540"/>
        <w:spacing w:after="0"/>
        <w:rPr>
          <w:sz w:val="20"/>
          <w:szCs w:val="20"/>
          <w:color w:val="auto"/>
        </w:rPr>
      </w:pPr>
      <w:r>
        <w:rPr>
          <w:rFonts w:ascii="Arial" w:cs="Arial" w:eastAsia="Arial" w:hAnsi="Arial"/>
          <w:sz w:val="18"/>
          <w:szCs w:val="18"/>
          <w:color w:val="auto"/>
        </w:rPr>
        <w:t>(PRE)  iXBRL Taxonomy Extension Presentation Linkbase Document.</w:t>
      </w:r>
    </w:p>
    <w:p>
      <w:pPr>
        <w:spacing w:after="0" w:line="225" w:lineRule="exact"/>
        <w:rPr>
          <w:rFonts w:ascii="Arial" w:cs="Arial" w:eastAsia="Arial" w:hAnsi="Arial"/>
          <w:sz w:val="18"/>
          <w:szCs w:val="18"/>
          <w:color w:val="auto"/>
        </w:rPr>
      </w:pPr>
    </w:p>
    <w:p>
      <w:pPr>
        <w:ind w:left="540"/>
        <w:spacing w:after="0"/>
        <w:rPr>
          <w:sz w:val="20"/>
          <w:szCs w:val="20"/>
          <w:color w:val="auto"/>
        </w:rPr>
      </w:pPr>
      <w:r>
        <w:rPr>
          <w:rFonts w:ascii="Arial" w:cs="Arial" w:eastAsia="Arial" w:hAnsi="Arial"/>
          <w:sz w:val="18"/>
          <w:szCs w:val="18"/>
          <w:color w:val="auto"/>
        </w:rPr>
        <w:t>(DEF) iXBRL Taxonomy Extension Definition Linkbase Document.</w:t>
      </w:r>
    </w:p>
    <w:p>
      <w:pPr>
        <w:spacing w:after="0" w:line="225" w:lineRule="exact"/>
        <w:rPr>
          <w:rFonts w:ascii="Arial" w:cs="Arial" w:eastAsia="Arial" w:hAnsi="Arial"/>
          <w:sz w:val="18"/>
          <w:szCs w:val="18"/>
          <w:color w:val="auto"/>
        </w:rPr>
      </w:pPr>
    </w:p>
    <w:p>
      <w:pPr>
        <w:ind w:left="540" w:hanging="490"/>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Cover Page Interactive Data File (the cover page XBRL tags are embedded in the Inline XBRL document).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0" w:lineRule="exact"/>
        <w:rPr>
          <w:rFonts w:ascii="Arial" w:cs="Arial" w:eastAsia="Arial" w:hAnsi="Arial"/>
          <w:sz w:val="17"/>
          <w:szCs w:val="17"/>
          <w:color w:val="auto"/>
        </w:rPr>
      </w:pPr>
    </w:p>
    <w:p>
      <w:pPr>
        <w:ind w:left="4420"/>
        <w:spacing w:after="0"/>
        <w:rPr>
          <w:rFonts w:ascii="Arial" w:cs="Arial" w:eastAsia="Arial" w:hAnsi="Arial"/>
          <w:sz w:val="17"/>
          <w:szCs w:val="17"/>
          <w:color w:val="auto"/>
        </w:rPr>
      </w:pPr>
      <w:r>
        <w:rPr>
          <w:rFonts w:ascii="Arial" w:cs="Arial" w:eastAsia="Arial" w:hAnsi="Arial"/>
          <w:sz w:val="18"/>
          <w:szCs w:val="18"/>
          <w:color w:val="auto"/>
        </w:rPr>
        <w:t>30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May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May 6, 2020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14605</wp:posOffset>
            </wp:positionV>
            <wp:extent cx="26657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Matthew J. Missad,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Principal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14605</wp:posOffset>
            </wp:positionV>
            <wp:extent cx="26657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ectPr>
          <w:pgSz w:w="11900" w:h="16838" w:orient="portrait"/>
          <w:cols w:equalWidth="0" w:num="2">
            <w:col w:w="3700" w:space="720"/>
            <w:col w:w="4599"/>
          </w:cols>
          <w:pgMar w:left="1440" w:top="544" w:right="1440" w:bottom="1440" w:gutter="0" w:footer="0" w:header="0"/>
          <w:type w:val="continuous"/>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1" w:name="page32"/>
    <w:bookmarkEnd w:id="31"/>
    <w:p>
      <w:pPr>
        <w:jc w:val="right"/>
        <w:ind w:right="59"/>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Matthew J. Missad, certify that:</w:t>
      </w:r>
    </w:p>
    <w:p>
      <w:pPr>
        <w:spacing w:after="0" w:line="225" w:lineRule="exact"/>
        <w:rPr>
          <w:sz w:val="20"/>
          <w:szCs w:val="20"/>
          <w:color w:val="auto"/>
        </w:rPr>
      </w:pPr>
    </w:p>
    <w:p>
      <w:pPr>
        <w:ind w:left="540" w:hanging="496"/>
        <w:spacing w:after="0" w:line="207" w:lineRule="exact"/>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report on Form 10</w:t>
      </w:r>
      <w:r>
        <w:rPr>
          <w:rFonts w:ascii="MS PGothic" w:cs="MS PGothic" w:eastAsia="MS PGothic" w:hAnsi="MS PGothic"/>
          <w:sz w:val="18"/>
          <w:szCs w:val="18"/>
          <w:color w:val="auto"/>
        </w:rPr>
        <w:t>‑</w:t>
      </w:r>
      <w:r>
        <w:rPr>
          <w:rFonts w:ascii="Arial" w:cs="Arial" w:eastAsia="Arial" w:hAnsi="Arial"/>
          <w:sz w:val="18"/>
          <w:szCs w:val="18"/>
          <w:color w:val="auto"/>
        </w:rPr>
        <w:t>Q of UFP Industries, Inc.;</w:t>
      </w:r>
    </w:p>
    <w:p>
      <w:pPr>
        <w:spacing w:after="0" w:line="225" w:lineRule="exact"/>
        <w:rPr>
          <w:rFonts w:ascii="Arial" w:cs="Arial" w:eastAsia="Arial" w:hAnsi="Arial"/>
          <w:sz w:val="18"/>
          <w:szCs w:val="18"/>
          <w:color w:val="auto"/>
        </w:rPr>
      </w:pPr>
    </w:p>
    <w:p>
      <w:pPr>
        <w:jc w:val="both"/>
        <w:ind w:left="540" w:right="79" w:hanging="496"/>
        <w:spacing w:after="0" w:line="263"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540" w:right="59" w:hanging="496"/>
        <w:spacing w:after="0" w:line="263"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540" w:right="79" w:hanging="496"/>
        <w:spacing w:after="0" w:line="221" w:lineRule="exact"/>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201" w:lineRule="exact"/>
        <w:rPr>
          <w:rFonts w:ascii="Arial" w:cs="Arial" w:eastAsia="Arial" w:hAnsi="Arial"/>
          <w:sz w:val="17"/>
          <w:szCs w:val="17"/>
          <w:color w:val="auto"/>
        </w:rPr>
      </w:pPr>
    </w:p>
    <w:p>
      <w:pPr>
        <w:jc w:val="both"/>
        <w:ind w:left="860" w:right="59" w:hanging="330"/>
        <w:spacing w:after="0" w:line="259" w:lineRule="auto"/>
        <w:tabs>
          <w:tab w:leader="none" w:pos="8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60" w:right="59" w:hanging="330"/>
        <w:spacing w:after="0" w:line="259" w:lineRule="auto"/>
        <w:tabs>
          <w:tab w:leader="none" w:pos="8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60" w:right="59" w:hanging="330"/>
        <w:spacing w:after="0" w:line="263" w:lineRule="auto"/>
        <w:tabs>
          <w:tab w:leader="none" w:pos="8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860" w:right="59" w:hanging="330"/>
        <w:spacing w:after="0" w:line="259" w:lineRule="auto"/>
        <w:tabs>
          <w:tab w:leader="none" w:pos="8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540" w:right="59" w:hanging="496"/>
        <w:spacing w:after="0" w:line="263"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860" w:right="59" w:hanging="330"/>
        <w:spacing w:after="0" w:line="263" w:lineRule="auto"/>
        <w:tabs>
          <w:tab w:leader="none" w:pos="8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60" w:right="79" w:hanging="330"/>
        <w:spacing w:after="0" w:line="277" w:lineRule="auto"/>
        <w:tabs>
          <w:tab w:leader="none" w:pos="8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6"/>
          <w:szCs w:val="16"/>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25457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28289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 and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 w:name="page33"/>
    <w:bookmarkEnd w:id="32"/>
    <w:p>
      <w:pPr>
        <w:jc w:val="right"/>
        <w:ind w:right="59"/>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Michael R. Cole, certify that:</w:t>
      </w:r>
    </w:p>
    <w:p>
      <w:pPr>
        <w:spacing w:after="0" w:line="225" w:lineRule="exact"/>
        <w:rPr>
          <w:sz w:val="20"/>
          <w:szCs w:val="20"/>
          <w:color w:val="auto"/>
        </w:rPr>
      </w:pPr>
    </w:p>
    <w:p>
      <w:pPr>
        <w:ind w:left="540" w:hanging="496"/>
        <w:spacing w:after="0" w:line="207" w:lineRule="exact"/>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w:t>
      </w:r>
      <w:r>
        <w:rPr>
          <w:rFonts w:ascii="MS PGothic" w:cs="MS PGothic" w:eastAsia="MS PGothic" w:hAnsi="MS PGothic"/>
          <w:sz w:val="18"/>
          <w:szCs w:val="18"/>
          <w:color w:val="auto"/>
        </w:rPr>
        <w:t>‑</w:t>
      </w:r>
      <w:r>
        <w:rPr>
          <w:rFonts w:ascii="Arial" w:cs="Arial" w:eastAsia="Arial" w:hAnsi="Arial"/>
          <w:sz w:val="18"/>
          <w:szCs w:val="18"/>
          <w:color w:val="auto"/>
        </w:rPr>
        <w:t>Q of UFP Industries, Inc.;</w:t>
      </w:r>
    </w:p>
    <w:p>
      <w:pPr>
        <w:spacing w:after="0" w:line="225" w:lineRule="exact"/>
        <w:rPr>
          <w:rFonts w:ascii="Arial" w:cs="Arial" w:eastAsia="Arial" w:hAnsi="Arial"/>
          <w:sz w:val="18"/>
          <w:szCs w:val="18"/>
          <w:color w:val="auto"/>
        </w:rPr>
      </w:pPr>
    </w:p>
    <w:p>
      <w:pPr>
        <w:jc w:val="both"/>
        <w:ind w:left="540" w:right="79" w:hanging="496"/>
        <w:spacing w:after="0" w:line="263"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540" w:right="59" w:hanging="496"/>
        <w:spacing w:after="0" w:line="263"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540" w:right="79" w:hanging="496"/>
        <w:spacing w:after="0" w:line="221" w:lineRule="exact"/>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201" w:lineRule="exact"/>
        <w:rPr>
          <w:rFonts w:ascii="Arial" w:cs="Arial" w:eastAsia="Arial" w:hAnsi="Arial"/>
          <w:sz w:val="17"/>
          <w:szCs w:val="17"/>
          <w:color w:val="auto"/>
        </w:rPr>
      </w:pPr>
    </w:p>
    <w:p>
      <w:pPr>
        <w:jc w:val="both"/>
        <w:ind w:left="860" w:right="59" w:hanging="330"/>
        <w:spacing w:after="0" w:line="259" w:lineRule="auto"/>
        <w:tabs>
          <w:tab w:leader="none" w:pos="8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60" w:right="59" w:hanging="330"/>
        <w:spacing w:after="0" w:line="259" w:lineRule="auto"/>
        <w:tabs>
          <w:tab w:leader="none" w:pos="8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60" w:right="59" w:hanging="330"/>
        <w:spacing w:after="0" w:line="263" w:lineRule="auto"/>
        <w:tabs>
          <w:tab w:leader="none" w:pos="8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860" w:right="59" w:hanging="330"/>
        <w:spacing w:after="0" w:line="259" w:lineRule="auto"/>
        <w:tabs>
          <w:tab w:leader="none" w:pos="8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540" w:right="59" w:hanging="496"/>
        <w:spacing w:after="0" w:line="263"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860" w:right="59" w:hanging="330"/>
        <w:spacing w:after="0" w:line="263" w:lineRule="auto"/>
        <w:tabs>
          <w:tab w:leader="none" w:pos="8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60" w:right="79" w:hanging="330"/>
        <w:spacing w:after="0" w:line="277" w:lineRule="auto"/>
        <w:tabs>
          <w:tab w:leader="none" w:pos="8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6"/>
          <w:szCs w:val="16"/>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14605</wp:posOffset>
            </wp:positionV>
            <wp:extent cx="25457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28289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 w:name="page34"/>
    <w:bookmarkEnd w:id="33"/>
    <w:p>
      <w:pPr>
        <w:jc w:val="right"/>
        <w:ind w:right="59"/>
        <w:spacing w:after="0"/>
        <w:rPr>
          <w:sz w:val="20"/>
          <w:szCs w:val="20"/>
          <w:color w:val="auto"/>
        </w:rPr>
      </w:pPr>
      <w:r>
        <w:rPr>
          <w:rFonts w:ascii="Arial" w:cs="Arial" w:eastAsia="Arial" w:hAnsi="Arial"/>
          <w:sz w:val="18"/>
          <w:szCs w:val="18"/>
          <w:b w:val="1"/>
          <w:bCs w:val="1"/>
          <w:color w:val="auto"/>
        </w:rPr>
        <w:t>Exhibit 32(a)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UFP INDUSTRIES, INC.</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I, Matthew J. Missad, Chief Executive Officer of UFP Industries, Inc., certify, to the best of my knowledge and belief, pursuant to Section 906 of the Sarbanes-Oxley Act of 2002 (18 U.S.C. 1350) that:</w:t>
      </w:r>
    </w:p>
    <w:p>
      <w:pPr>
        <w:spacing w:after="0" w:line="170" w:lineRule="exact"/>
        <w:rPr>
          <w:sz w:val="20"/>
          <w:szCs w:val="20"/>
          <w:color w:val="auto"/>
        </w:rPr>
      </w:pPr>
    </w:p>
    <w:p>
      <w:pPr>
        <w:jc w:val="both"/>
        <w:ind w:left="600" w:right="59" w:hanging="556"/>
        <w:spacing w:after="0" w:line="220" w:lineRule="exact"/>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quarterly period ended March 28, 2020, which this statement accompanies, fully complies with requirements of Section 13(a) or 15(d) of the Securities Exchange Act of 1934; and</w:t>
      </w:r>
    </w:p>
    <w:p>
      <w:pPr>
        <w:spacing w:after="0" w:line="204" w:lineRule="exact"/>
        <w:rPr>
          <w:rFonts w:ascii="Arial" w:cs="Arial" w:eastAsia="Arial" w:hAnsi="Arial"/>
          <w:sz w:val="18"/>
          <w:szCs w:val="18"/>
          <w:color w:val="auto"/>
        </w:rPr>
      </w:pPr>
    </w:p>
    <w:p>
      <w:pPr>
        <w:ind w:left="640" w:right="79" w:hanging="596"/>
        <w:spacing w:after="0" w:line="224" w:lineRule="exact"/>
        <w:tabs>
          <w:tab w:leader="none" w:pos="5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for the quarterly period ended March 28, 2020, fairly presents, in all material respects, the financial condition and results of operations of UFP Industries, Inc.</w:t>
      </w:r>
    </w:p>
    <w:p>
      <w:pPr>
        <w:spacing w:after="0" w:line="2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UFP INDUSTRIES, INC.</w:t>
      </w:r>
    </w:p>
    <w:p>
      <w:pPr>
        <w:spacing w:after="0" w:line="225"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7"/>
          <w:szCs w:val="17"/>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25457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28289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 and Principal Executive Officer</w:t>
      </w:r>
    </w:p>
    <w:p>
      <w:pPr>
        <w:spacing w:after="0" w:line="211"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607695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4" w:name="page35"/>
    <w:bookmarkEnd w:id="34"/>
    <w:p>
      <w:pPr>
        <w:jc w:val="right"/>
        <w:ind w:right="59"/>
        <w:spacing w:after="0"/>
        <w:rPr>
          <w:sz w:val="20"/>
          <w:szCs w:val="20"/>
          <w:color w:val="auto"/>
        </w:rPr>
      </w:pPr>
      <w:r>
        <w:rPr>
          <w:rFonts w:ascii="Arial" w:cs="Arial" w:eastAsia="Arial" w:hAnsi="Arial"/>
          <w:sz w:val="18"/>
          <w:szCs w:val="18"/>
          <w:b w:val="1"/>
          <w:bCs w:val="1"/>
          <w:color w:val="auto"/>
        </w:rPr>
        <w:t>Exhibit 32(b)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UFP INDUSTRIES, INC.</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I, Michael R. Cole, Chief Financial Officer of UFP Industries, Inc., certify, to the best of my knowledge and belief, pursuant to Section 906 of the Sarbanes-Oxley Act of 2002 (18 U.S.C. 1350) that:</w:t>
      </w:r>
    </w:p>
    <w:p>
      <w:pPr>
        <w:spacing w:after="0" w:line="170" w:lineRule="exact"/>
        <w:rPr>
          <w:sz w:val="20"/>
          <w:szCs w:val="20"/>
          <w:color w:val="auto"/>
        </w:rPr>
      </w:pPr>
    </w:p>
    <w:p>
      <w:pPr>
        <w:jc w:val="both"/>
        <w:ind w:left="600" w:right="59" w:hanging="556"/>
        <w:spacing w:after="0" w:line="220" w:lineRule="exact"/>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quarterly period ended March 28, 2020, which this statement accompanies, fully complies with requirements of Section 13(a) or 15(d) of the Securities Exchange Act of 1934; and</w:t>
      </w:r>
    </w:p>
    <w:p>
      <w:pPr>
        <w:spacing w:after="0" w:line="204" w:lineRule="exact"/>
        <w:rPr>
          <w:rFonts w:ascii="Arial" w:cs="Arial" w:eastAsia="Arial" w:hAnsi="Arial"/>
          <w:sz w:val="18"/>
          <w:szCs w:val="18"/>
          <w:color w:val="auto"/>
        </w:rPr>
      </w:pPr>
    </w:p>
    <w:p>
      <w:pPr>
        <w:ind w:left="600" w:right="79" w:hanging="556"/>
        <w:spacing w:after="0" w:line="224" w:lineRule="exact"/>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for the quarterly period ended March 28, 2020, fairly presents, in all material respects, the financial condition and results of operations of UFP Industries, Inc.</w:t>
      </w:r>
    </w:p>
    <w:p>
      <w:pPr>
        <w:spacing w:after="0" w:line="2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UFP INDUSTRIES, INC.</w:t>
      </w:r>
    </w:p>
    <w:p>
      <w:pPr>
        <w:spacing w:after="0" w:line="225"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7"/>
          <w:szCs w:val="17"/>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25457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28289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 and Principal Financial Officer</w:t>
      </w:r>
    </w:p>
    <w:p>
      <w:pPr>
        <w:spacing w:after="0" w:line="211"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607695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upperLetter"/>
      <w:start w:val="1"/>
    </w:lvl>
  </w:abstractNum>
  <w:abstractNum w:abstractNumId="3">
    <w:nsid w:val="519B500D"/>
    <w:multiLevelType w:val="hybridMultilevel"/>
    <w:lvl w:ilvl="0">
      <w:lvlJc w:val="left"/>
      <w:lvlText w:val="%1."/>
      <w:numFmt w:val="upperLetter"/>
      <w:start w:val="2"/>
    </w:lvl>
  </w:abstractNum>
  <w:abstractNum w:abstractNumId="4">
    <w:nsid w:val="431BD7B7"/>
    <w:multiLevelType w:val="hybridMultilevel"/>
    <w:lvl w:ilvl="0">
      <w:lvlJc w:val="left"/>
      <w:lvlText w:val="%1."/>
      <w:numFmt w:val="upperLetter"/>
      <w:start w:val="3"/>
    </w:lvl>
  </w:abstractNum>
  <w:abstractNum w:abstractNumId="5">
    <w:nsid w:val="3F2DBA31"/>
    <w:multiLevelType w:val="hybridMultilevel"/>
    <w:lvl w:ilvl="0">
      <w:lvlJc w:val="left"/>
      <w:lvlText w:val="%1."/>
      <w:numFmt w:val="upperLetter"/>
      <w:start w:val="4"/>
    </w:lvl>
  </w:abstractNum>
  <w:abstractNum w:abstractNumId="6">
    <w:nsid w:val="7C83E458"/>
    <w:multiLevelType w:val="hybridMultilevel"/>
    <w:lvl w:ilvl="0">
      <w:lvlJc w:val="left"/>
      <w:lvlText w:val="%1."/>
      <w:numFmt w:val="upperLetter"/>
      <w:start w:val="5"/>
    </w:lvl>
  </w:abstractNum>
  <w:abstractNum w:abstractNumId="7">
    <w:nsid w:val="257130A3"/>
    <w:multiLevelType w:val="hybridMultilevel"/>
    <w:lvl w:ilvl="0">
      <w:lvlJc w:val="left"/>
      <w:lvlText w:val="%1."/>
      <w:numFmt w:val="upperLetter"/>
      <w:start w:val="6"/>
    </w:lvl>
  </w:abstractNum>
  <w:abstractNum w:abstractNumId="8">
    <w:nsid w:val="62BBD95A"/>
    <w:multiLevelType w:val="hybridMultilevel"/>
    <w:lvl w:ilvl="0">
      <w:lvlJc w:val="left"/>
      <w:lvlText w:val="%1."/>
      <w:numFmt w:val="upperLetter"/>
      <w:start w:val="7"/>
    </w:lvl>
  </w:abstractNum>
  <w:abstractNum w:abstractNumId="9">
    <w:nsid w:val="436C6125"/>
    <w:multiLevelType w:val="hybridMultilevel"/>
    <w:lvl w:ilvl="0">
      <w:lvlJc w:val="left"/>
      <w:lvlText w:val="%1."/>
      <w:numFmt w:val="upperLetter"/>
      <w:start w:val="8"/>
    </w:lvl>
  </w:abstractNum>
  <w:abstractNum w:abstractNumId="10">
    <w:nsid w:val="628C895D"/>
    <w:multiLevelType w:val="hybridMultilevel"/>
    <w:lvl w:ilvl="0">
      <w:lvlJc w:val="left"/>
      <w:lvlText w:val="%1."/>
      <w:numFmt w:val="upperLetter"/>
      <w:start w:val="9"/>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lvl w:ilvl="1">
      <w:lvlJc w:val="left"/>
      <w:lvlText w:val="-"/>
      <w:numFmt w:val="bullet"/>
      <w:start w:val="1"/>
    </w:lvl>
  </w:abstractNum>
  <w:abstractNum w:abstractNumId="20">
    <w:nsid w:val="B03E0C6"/>
    <w:multiLevelType w:val="hybridMultilevel"/>
    <w:lvl w:ilvl="0">
      <w:lvlJc w:val="left"/>
      <w:lvlText w:val="●"/>
      <w:numFmt w:val="bullet"/>
      <w:start w:val="1"/>
    </w:lvl>
    <w:lvl w:ilvl="1">
      <w:lvlJc w:val="left"/>
      <w:lvlText w:val="-"/>
      <w:numFmt w:val="bullet"/>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decimal"/>
      <w:start w:val="31"/>
    </w:lvl>
    <w:lvl w:ilvl="1">
      <w:lvlJc w:val="left"/>
      <w:lvlText w:val="(%2)"/>
      <w:numFmt w:val="lowerLetter"/>
      <w:start w:val="1"/>
    </w:lvl>
  </w:abstractNum>
  <w:abstractNum w:abstractNumId="25">
    <w:nsid w:val="836C40E"/>
    <w:multiLevelType w:val="hybridMultilevel"/>
    <w:lvl w:ilvl="0">
      <w:lvlJc w:val="left"/>
      <w:lvlText w:val="%1"/>
      <w:numFmt w:val="decimal"/>
      <w:start w:val="101"/>
    </w:lvl>
  </w:abstractNum>
  <w:abstractNum w:abstractNumId="26">
    <w:nsid w:val="2901D82"/>
    <w:multiLevelType w:val="hybridMultilevel"/>
    <w:lvl w:ilvl="0">
      <w:lvlJc w:val="left"/>
      <w:lvlText w:val="%1"/>
      <w:numFmt w:val="decimal"/>
      <w:start w:val="104"/>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2020-05-06T12:24:25Z</dcterms:created>
  <dcterms:modified xsi:type="dcterms:W3CDTF">2020-05-06T12:24:25Z</dcterms:modified>
</cp:coreProperties>
</file>